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70053ds4a.htm"/>
        <w:bookmarkStart w:id="1" w:name="ksd770053ds4a"/>
        <w:bookmarkEnd w:id="0"/>
        <w:bookmarkEnd w:id="1"/>
        <w:r>
          <w:rPr>
            <w:rStyle w:val="InternetLink"/>
          </w:rPr>
          <w:t>Table of Contents</w:t>
        </w:r>
      </w:hyperlink>
    </w:p>
    <w:p>
      <w:pPr>
        <w:pStyle w:val="TextBody"/>
        <w:bidi w:val="0"/>
        <w:spacing w:before="0" w:after="0"/>
        <w:jc w:val="center"/>
        <w:rPr>
          <w:rFonts w:ascii="Times New Roman" w:hAnsi="Times New Roman"/>
          <w:sz w:val="16"/>
        </w:rPr>
      </w:pPr>
      <w:r>
        <w:rPr>
          <w:rFonts w:ascii="Times New Roman" w:hAnsi="Times New Roman"/>
          <w:sz w:val="16"/>
        </w:rPr>
        <w:t>As filed with the Securities and Exchange Commission on April 1</w:t>
      </w:r>
    </w:p>
    <w:p>
      <w:pPr>
        <w:pStyle w:val="TextBody"/>
        <w:bidi w:val="0"/>
        <w:spacing w:before="0" w:after="0"/>
        <w:jc w:val="center"/>
        <w:rPr>
          <w:rFonts w:ascii="Times New Roman" w:hAnsi="Times New Roman"/>
          <w:sz w:val="16"/>
        </w:rPr>
      </w:pPr>
      <w:r>
        <w:rPr>
          <w:rFonts w:ascii="Times New Roman" w:hAnsi="Times New Roman"/>
          <w:sz w:val="16"/>
        </w:rPr>
        <w:t>5</w:t>
      </w:r>
    </w:p>
    <w:p>
      <w:pPr>
        <w:pStyle w:val="TextBody"/>
        <w:bidi w:val="0"/>
        <w:spacing w:before="0" w:after="0"/>
        <w:jc w:val="center"/>
        <w:rPr>
          <w:rFonts w:ascii="Times New Roman" w:hAnsi="Times New Roman"/>
          <w:sz w:val="16"/>
        </w:rPr>
      </w:pPr>
      <w:r>
        <w:rPr>
          <w:rFonts w:ascii="Times New Roman" w:hAnsi="Times New Roman"/>
          <w:sz w:val="16"/>
        </w:rPr>
        <w:t xml:space="preserve">, 2024 </w:t>
      </w:r>
    </w:p>
    <w:p>
      <w:pPr>
        <w:pStyle w:val="TextBody"/>
        <w:bidi w:val="0"/>
        <w:spacing w:before="0" w:after="0"/>
        <w:jc w:val="right"/>
        <w:rPr>
          <w:rFonts w:ascii="Times New Roman" w:hAnsi="Times New Roman"/>
          <w:b/>
          <w:spacing w:val="0"/>
          <w:sz w:val="16"/>
        </w:rPr>
      </w:pPr>
      <w:r>
        <w:rPr>
          <w:rFonts w:ascii="Times New Roman" w:hAnsi="Times New Roman"/>
          <w:b/>
          <w:spacing w:val="0"/>
          <w:sz w:val="16"/>
        </w:rPr>
        <w:t xml:space="preserve">Registration No. 333-277048 </w:t>
      </w:r>
    </w:p>
    <w:p>
      <w:pPr>
        <w:pStyle w:val="TextBody"/>
        <w:bidi w:val="0"/>
        <w:spacing w:before="0" w:after="0"/>
        <w:jc w:val="left"/>
        <w:rPr>
          <w:spacing w:val="0"/>
        </w:rPr>
      </w:pPr>
      <w:r>
        <w:rPr>
          <w:spacing w:val="0"/>
        </w:rPr>
        <w:t> </w:t>
      </w:r>
    </w:p>
    <w:p>
      <w:pPr>
        <w:pStyle w:val="TextBody"/>
        <w:bidi w:val="0"/>
        <w:spacing w:lineRule="atLeast" w:line="142" w:before="0" w:after="0"/>
        <w:jc w:val="left"/>
        <w:rPr>
          <w:spacing w:val="0"/>
        </w:rPr>
      </w:pPr>
      <w:r>
        <w:rPr>
          <w:spacing w:val="0"/>
        </w:rPr>
        <w:t> </w:t>
      </w:r>
    </w:p>
    <w:p>
      <w:pPr>
        <w:pStyle w:val="TextBody"/>
        <w:bidi w:val="0"/>
        <w:spacing w:lineRule="atLeast" w:line="142" w:before="0" w:after="40"/>
        <w:jc w:val="left"/>
        <w:rPr>
          <w:spacing w:val="0"/>
        </w:rPr>
      </w:pPr>
      <w:r>
        <w:rPr>
          <w:spacing w:val="0"/>
        </w:rPr>
        <w:t> </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 xml:space="preserve">UNITED </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S</w:t>
      </w:r>
    </w:p>
    <w:p>
      <w:pPr>
        <w:pStyle w:val="TextBody"/>
        <w:bidi w:val="0"/>
        <w:spacing w:before="80" w:after="0"/>
        <w:jc w:val="center"/>
        <w:rPr>
          <w:rFonts w:ascii="Times New Roman" w:hAnsi="Times New Roman"/>
          <w:b/>
          <w:spacing w:val="0"/>
          <w:sz w:val="28"/>
        </w:rPr>
      </w:pPr>
      <w:r>
        <w:rPr>
          <w:rFonts w:ascii="Times New Roman" w:hAnsi="Times New Roman"/>
          <w:b/>
          <w:spacing w:val="0"/>
          <w:sz w:val="28"/>
        </w:rPr>
        <w:t xml:space="preserve">TATES </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SECURITIES AND EXCHANGE COM</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M</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 xml:space="preserve">ISSION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Washington, D.C. 20549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ind w:left="0" w:right="0" w:hanging="0"/>
        <w:jc w:val="center"/>
        <w:rPr>
          <w:rFonts w:ascii="Times New Roman" w:hAnsi="Times New Roman"/>
          <w:b/>
          <w:spacing w:val="0"/>
          <w:sz w:val="28"/>
        </w:rPr>
      </w:pPr>
      <w:r>
        <w:rPr>
          <w:rFonts w:ascii="Times New Roman" w:hAnsi="Times New Roman"/>
          <w:b/>
          <w:spacing w:val="0"/>
          <w:sz w:val="28"/>
        </w:rPr>
        <w:t xml:space="preserve">AMENDMENT NO. 2 </w:t>
      </w:r>
    </w:p>
    <w:p>
      <w:pPr>
        <w:pStyle w:val="TextBody"/>
        <w:bidi w:val="0"/>
        <w:spacing w:before="0" w:after="0"/>
        <w:ind w:left="0" w:right="0" w:hanging="0"/>
        <w:jc w:val="center"/>
        <w:rPr>
          <w:rFonts w:ascii="Times New Roman" w:hAnsi="Times New Roman"/>
          <w:b/>
          <w:spacing w:val="0"/>
          <w:sz w:val="28"/>
        </w:rPr>
      </w:pPr>
      <w:r>
        <w:rPr>
          <w:rFonts w:ascii="Times New Roman" w:hAnsi="Times New Roman"/>
          <w:b/>
          <w:spacing w:val="0"/>
          <w:sz w:val="28"/>
        </w:rPr>
        <w:t xml:space="preserve">to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 xml:space="preserve">FORM </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S-4</w:t>
      </w:r>
    </w:p>
    <w:p>
      <w:pPr>
        <w:pStyle w:val="TextBody"/>
        <w:bidi w:val="0"/>
        <w:spacing w:before="0" w:after="0"/>
        <w:jc w:val="center"/>
        <w:rPr>
          <w:rFonts w:ascii="Times New Roman" w:hAnsi="Times New Roman"/>
          <w:b/>
          <w:spacing w:val="0"/>
          <w:sz w:val="28"/>
        </w:rPr>
      </w:pPr>
      <w:r>
        <w:rPr>
          <w:rFonts w:ascii="Times New Roman" w:hAnsi="Times New Roman"/>
          <w:b/>
          <w:spacing w:val="0"/>
          <w:sz w:val="28"/>
        </w:rPr>
        <w:t xml:space="preserve">REGISTRATION STATEMENT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SECURITIES ACT OF 1933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 xml:space="preserve">AVROBIO, INC.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240"/>
        <w:gridCol w:w="60"/>
        <w:gridCol w:w="4162"/>
        <w:gridCol w:w="60"/>
        <w:gridCol w:w="1683"/>
      </w:tblGrid>
      <w:tr>
        <w:trPr/>
        <w:tc>
          <w:tcPr>
            <w:tcW w:w="4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4240"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4162" w:type="dxa"/>
            <w:tcBorders/>
            <w:vAlign w:val="center"/>
          </w:tcPr>
          <w:p>
            <w:pPr>
              <w:pStyle w:val="TableContents"/>
              <w:bidi w:val="0"/>
              <w:spacing w:before="0" w:after="0"/>
              <w:jc w:val="center"/>
              <w:rPr>
                <w:b/>
                <w:spacing w:val="0"/>
              </w:rPr>
            </w:pPr>
            <w:r>
              <w:rPr>
                <w:b/>
                <w:spacing w:val="0"/>
              </w:rPr>
              <w:t>2836</w:t>
            </w:r>
          </w:p>
        </w:tc>
        <w:tc>
          <w:tcPr>
            <w:tcW w:w="60"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0"/>
              <w:jc w:val="center"/>
              <w:rPr>
                <w:b/>
                <w:spacing w:val="0"/>
              </w:rPr>
            </w:pPr>
            <w:r>
              <w:rPr>
                <w:b/>
                <w:spacing w:val="0"/>
              </w:rPr>
              <w:t>81-0710585</w:t>
            </w:r>
          </w:p>
        </w:tc>
      </w:tr>
      <w:tr>
        <w:trPr/>
        <w:tc>
          <w:tcPr>
            <w:tcW w:w="4240" w:type="dxa"/>
            <w:tcBorders/>
            <w:vAlign w:val="center"/>
          </w:tcPr>
          <w:p>
            <w:pPr>
              <w:pStyle w:val="TableContents"/>
              <w:bidi w:val="0"/>
              <w:spacing w:before="0" w:after="0"/>
              <w:jc w:val="center"/>
              <w:rPr>
                <w:b/>
                <w:spacing w:val="0"/>
              </w:rPr>
            </w:pPr>
            <w:r>
              <w:rPr>
                <w:b/>
                <w:spacing w:val="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4162" w:type="dxa"/>
            <w:tcBorders/>
            <w:vAlign w:val="center"/>
          </w:tcPr>
          <w:p>
            <w:pPr>
              <w:pStyle w:val="TableContents"/>
              <w:bidi w:val="0"/>
              <w:spacing w:before="0" w:after="0"/>
              <w:jc w:val="center"/>
              <w:rPr>
                <w:b/>
                <w:spacing w:val="0"/>
              </w:rPr>
            </w:pPr>
            <w:r>
              <w:rPr>
                <w:b/>
                <w:spacing w:val="0"/>
              </w:rPr>
              <w:t>(Primary Standard Industrial Classification Code Number)</w:t>
            </w:r>
          </w:p>
        </w:tc>
        <w:tc>
          <w:tcPr>
            <w:tcW w:w="60" w:type="dxa"/>
            <w:tcBorders/>
            <w:vAlign w:val="center"/>
          </w:tcPr>
          <w:p>
            <w:pPr>
              <w:pStyle w:val="TableContents"/>
              <w:bidi w:val="0"/>
              <w:spacing w:before="0" w:after="283"/>
              <w:jc w:val="left"/>
              <w:rPr/>
            </w:pPr>
            <w:r>
              <w:rPr/>
              <w:t> </w:t>
            </w:r>
          </w:p>
        </w:tc>
        <w:tc>
          <w:tcPr>
            <w:tcW w:w="1683"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80" w:after="0"/>
        <w:jc w:val="center"/>
        <w:rPr>
          <w:rFonts w:ascii="Times New Roman" w:hAnsi="Times New Roman"/>
          <w:b/>
          <w:spacing w:val="0"/>
          <w:sz w:val="16"/>
        </w:rPr>
      </w:pPr>
      <w:r>
        <w:rPr>
          <w:rFonts w:ascii="Times New Roman" w:hAnsi="Times New Roman"/>
          <w:b/>
          <w:spacing w:val="0"/>
          <w:sz w:val="16"/>
        </w:rPr>
        <w:t xml:space="preserve">100 Technology Square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Sixth Floor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02139 </w:t>
      </w:r>
    </w:p>
    <w:p>
      <w:pPr>
        <w:pStyle w:val="TextBody"/>
        <w:bidi w:val="0"/>
        <w:spacing w:before="0" w:after="0"/>
        <w:jc w:val="center"/>
        <w:rPr>
          <w:rFonts w:ascii="Times New Roman" w:hAnsi="Times New Roman"/>
          <w:b/>
          <w:sz w:val="16"/>
        </w:rPr>
      </w:pPr>
      <w:r>
        <w:rPr>
          <w:rFonts w:ascii="Times New Roman" w:hAnsi="Times New Roman"/>
          <w:b/>
          <w:sz w:val="16"/>
        </w:rPr>
        <w:t xml:space="preserve">(617)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914-8420</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(Address, including zip code, and telephone number, including area code, of registrant’s principal executive offices)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jc w:val="center"/>
        <w:rPr>
          <w:rFonts w:ascii="Times New Roman" w:hAnsi="Times New Roman"/>
          <w:b/>
          <w:spacing w:val="0"/>
          <w:sz w:val="16"/>
        </w:rPr>
      </w:pPr>
      <w:r>
        <w:rPr>
          <w:rFonts w:ascii="Times New Roman" w:hAnsi="Times New Roman"/>
          <w:b/>
          <w:spacing w:val="0"/>
          <w:sz w:val="16"/>
        </w:rPr>
        <w:t xml:space="preserve">Erik Ostrowski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President, Interim Chief Executive Officer, Chief Financial Officer and Treasurer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100 Technology Square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Sixth Floor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Cambridge,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MA</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02139 </w:t>
      </w:r>
    </w:p>
    <w:p>
      <w:pPr>
        <w:pStyle w:val="TextBody"/>
        <w:bidi w:val="0"/>
        <w:spacing w:before="0" w:after="0"/>
        <w:jc w:val="center"/>
        <w:rPr>
          <w:rFonts w:ascii="Times New Roman" w:hAnsi="Times New Roman"/>
          <w:b/>
          <w:sz w:val="16"/>
        </w:rPr>
      </w:pPr>
      <w:r>
        <w:rPr>
          <w:rFonts w:ascii="Times New Roman" w:hAnsi="Times New Roman"/>
          <w:b/>
          <w:sz w:val="16"/>
        </w:rPr>
        <w:t xml:space="preserve">(617)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914-8420</w:t>
      </w:r>
    </w:p>
    <w:p>
      <w:pPr>
        <w:pStyle w:val="TextBody"/>
        <w:bidi w:val="0"/>
        <w:spacing w:before="0" w:after="0"/>
        <w:jc w:val="center"/>
        <w:rPr>
          <w:rFonts w:ascii="Times New Roman" w:hAnsi="Times New Roman"/>
          <w:b/>
          <w:spacing w:val="0"/>
          <w:sz w:val="14"/>
        </w:rPr>
      </w:pPr>
      <w:r>
        <w:rPr>
          <w:rFonts w:ascii="Times New Roman" w:hAnsi="Times New Roman"/>
          <w:b/>
          <w:spacing w:val="0"/>
          <w:sz w:val="14"/>
        </w:rPr>
        <w:t xml:space="preserve">(Name, address, including zip code, and telephone number, including area code, of agent for service)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8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Copies of all communications, including communications sent to agent for service, should be sent to: </w:t>
      </w:r>
    </w:p>
    <w:p>
      <w:pPr>
        <w:pStyle w:val="TextBody"/>
        <w:bidi w:val="0"/>
        <w:spacing w:before="0" w:after="0"/>
        <w:jc w:val="left"/>
        <w:rPr>
          <w:spacing w:val="0"/>
        </w:rPr>
      </w:pPr>
      <w:r>
        <w:rPr>
          <w:spacing w:val="0"/>
        </w:rPr>
        <w:t> </w:t>
      </w:r>
    </w:p>
    <w:tbl>
      <w:tblPr>
        <w:tblW w:w="4330" w:type="dxa"/>
        <w:jc w:val="left"/>
        <w:tblInd w:w="0" w:type="dxa"/>
        <w:tblLayout w:type="fixed"/>
        <w:tblCellMar>
          <w:top w:w="0" w:type="dxa"/>
          <w:left w:w="0" w:type="dxa"/>
          <w:bottom w:w="0" w:type="dxa"/>
          <w:right w:w="0" w:type="dxa"/>
        </w:tblCellMar>
      </w:tblPr>
      <w:tblGrid>
        <w:gridCol w:w="2135"/>
        <w:gridCol w:w="60"/>
        <w:gridCol w:w="213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Mitchell Bloom,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Robert Masella,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James Ding,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Adam V. Johnson,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Goodwin Procter LLP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100 Northern Avenue</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Boston, Massachusetts 02210</w:t>
            </w:r>
          </w:p>
          <w:p>
            <w:pPr>
              <w:pStyle w:val="TableContents"/>
              <w:bidi w:val="0"/>
              <w:spacing w:before="0" w:after="20"/>
              <w:jc w:val="center"/>
              <w:rPr>
                <w:rFonts w:ascii="Times New Roman" w:hAnsi="Times New Roman"/>
                <w:b/>
                <w:sz w:val="16"/>
              </w:rPr>
            </w:pPr>
            <w:r>
              <w:rPr>
                <w:rFonts w:ascii="Times New Roman" w:hAnsi="Times New Roman"/>
                <w:b/>
                <w:sz w:val="16"/>
              </w:rP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570-1000</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Marc A. Recht,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Miguel J. Vega,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Courtney T. Thorne,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Michael Rohr, Esq.</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Cooley LLP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500 Boylston Street</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14</w:t>
            </w:r>
          </w:p>
          <w:p>
            <w:pPr>
              <w:pStyle w:val="TableContents"/>
              <w:bidi w:val="0"/>
              <w:spacing w:before="0" w:after="0"/>
              <w:jc w:val="center"/>
              <w:rPr>
                <w:rFonts w:ascii="Times New Roman" w:hAnsi="Times New Roman"/>
                <w:b/>
                <w:spacing w:val="0"/>
                <w:sz w:val="9"/>
              </w:rPr>
            </w:pPr>
            <w:r>
              <w:rPr>
                <w:rFonts w:ascii="Times New Roman" w:hAnsi="Times New Roman"/>
                <w:b/>
                <w:spacing w:val="0"/>
                <w:sz w:val="9"/>
              </w:rPr>
              <w:t>th</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Floor</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Boston, Massachusetts 02116</w:t>
            </w:r>
          </w:p>
          <w:p>
            <w:pPr>
              <w:pStyle w:val="TableContents"/>
              <w:bidi w:val="0"/>
              <w:spacing w:before="0" w:after="20"/>
              <w:jc w:val="center"/>
              <w:rPr>
                <w:rFonts w:ascii="Times New Roman" w:hAnsi="Times New Roman"/>
                <w:b/>
                <w:sz w:val="16"/>
              </w:rPr>
            </w:pPr>
            <w:r>
              <w:rPr>
                <w:rFonts w:ascii="Times New Roman" w:hAnsi="Times New Roman"/>
                <w:b/>
                <w:sz w:val="16"/>
              </w:rPr>
              <w:t xml:space="preserve">(617) </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937-2300</w:t>
            </w:r>
          </w:p>
        </w:tc>
      </w:tr>
    </w:tbl>
    <w:p>
      <w:pPr>
        <w:pStyle w:val="TextBody"/>
        <w:bidi w:val="0"/>
        <w:spacing w:before="80" w:after="0"/>
        <w:jc w:val="left"/>
        <w:rPr>
          <w:rFonts w:ascii="Times New Roman" w:hAnsi="Times New Roman"/>
          <w:b/>
          <w:spacing w:val="0"/>
          <w:sz w:val="16"/>
        </w:rPr>
      </w:pPr>
      <w:r>
        <w:rPr>
          <w:rFonts w:ascii="Times New Roman" w:hAnsi="Times New Roman"/>
          <w:b/>
          <w:spacing w:val="0"/>
          <w:sz w:val="16"/>
        </w:rPr>
        <w:t xml:space="preserve">Approximate date of commencement of proposed sale of the securities to the public: As soon as practicable after the effective date of this registration statement and the satisfaction or waiver of all other conditions under the Merger Agreement described herein.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8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80" w:after="0"/>
        <w:jc w:val="left"/>
        <w:rPr>
          <w:rFonts w:ascii="Times New Roman" w:hAnsi="Times New Roman"/>
          <w:sz w:val="16"/>
        </w:rPr>
      </w:pPr>
      <w:r>
        <w:rPr>
          <w:rFonts w:ascii="Times New Roman" w:hAnsi="Times New Roman"/>
          <w:sz w:val="16"/>
        </w:rPr>
        <w:t xml:space="preserve">filer, a smaller reporting company, or emerging growth company. See the definitions of “large accelerated filer,” “accelerated filer,” “smaller reporting company,” and “emerging growth company” in Rule </w:t>
      </w:r>
    </w:p>
    <w:p>
      <w:pPr>
        <w:pStyle w:val="TextBody"/>
        <w:bidi w:val="0"/>
        <w:spacing w:before="80" w:after="0"/>
        <w:jc w:val="left"/>
        <w:rPr>
          <w:rFonts w:ascii="Times New Roman" w:hAnsi="Times New Roman"/>
          <w:spacing w:val="0"/>
          <w:sz w:val="16"/>
        </w:rPr>
      </w:pPr>
      <w:r>
        <w:rPr>
          <w:rFonts w:ascii="Times New Roman" w:hAnsi="Times New Roman"/>
          <w:spacing w:val="0"/>
          <w:sz w:val="16"/>
        </w:rPr>
        <w:t>12b-2</w:t>
      </w:r>
    </w:p>
    <w:p>
      <w:pPr>
        <w:pStyle w:val="TextBody"/>
        <w:bidi w:val="0"/>
        <w:spacing w:before="8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xml:space="preserve">Accelerated filer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0"/>
        <w:jc w:val="left"/>
        <w:rPr>
          <w:rFonts w:ascii="Times New Roman" w:hAnsi="Times New Roman"/>
          <w:spacing w:val="0"/>
          <w:sz w:val="16"/>
        </w:rPr>
      </w:pPr>
      <w:r>
        <w:rPr>
          <w:rFonts w:ascii="Times New Roman" w:hAnsi="Times New Roman"/>
          <w:spacing w:val="0"/>
          <w:sz w:val="16"/>
        </w:rPr>
        <w:t xml:space="preserve">If applicable, place an X in the box to designate the appropriate rule provision relied upon in conducting this transaction: </w:t>
      </w:r>
    </w:p>
    <w:p>
      <w:pPr>
        <w:pStyle w:val="TextBody"/>
        <w:bidi w:val="0"/>
        <w:spacing w:before="8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80" w:after="0"/>
        <w:jc w:val="left"/>
        <w:rPr>
          <w:rFonts w:ascii="Times New Roman" w:hAnsi="Times New Roman"/>
          <w:spacing w:val="0"/>
          <w:sz w:val="16"/>
        </w:rPr>
      </w:pPr>
      <w:r>
        <w:rPr>
          <w:rFonts w:ascii="Times New Roman" w:hAnsi="Times New Roman"/>
          <w:spacing w:val="0"/>
          <w:sz w:val="16"/>
        </w:rPr>
        <w:t>13e-4(i)</w:t>
      </w:r>
    </w:p>
    <w:p>
      <w:pPr>
        <w:pStyle w:val="TextBody"/>
        <w:bidi w:val="0"/>
        <w:spacing w:before="80" w:after="0"/>
        <w:jc w:val="left"/>
        <w:rPr>
          <w:rFonts w:ascii="Times New Roman" w:hAnsi="Times New Roman"/>
          <w:sz w:val="16"/>
        </w:rPr>
      </w:pPr>
      <w:r>
        <w:rPr>
          <w:rFonts w:ascii="Times New Roman" w:hAnsi="Times New Roman"/>
          <w:sz w:val="16"/>
        </w:rPr>
        <w:t xml:space="preserve">(Cross-Border Issuer Tender Offer) ☐ </w:t>
      </w:r>
    </w:p>
    <w:p>
      <w:pPr>
        <w:pStyle w:val="TextBody"/>
        <w:bidi w:val="0"/>
        <w:spacing w:before="80" w:after="0"/>
        <w:jc w:val="left"/>
        <w:rPr>
          <w:rFonts w:ascii="Times New Roman" w:hAnsi="Times New Roman"/>
          <w:sz w:val="16"/>
        </w:rPr>
      </w:pPr>
      <w:r>
        <w:rPr>
          <w:rFonts w:ascii="Times New Roman" w:hAnsi="Times New Roman"/>
          <w:sz w:val="16"/>
        </w:rPr>
        <w:t xml:space="preserve">Exchange Act Rule </w:t>
      </w:r>
    </w:p>
    <w:p>
      <w:pPr>
        <w:pStyle w:val="TextBody"/>
        <w:bidi w:val="0"/>
        <w:spacing w:before="80" w:after="0"/>
        <w:jc w:val="left"/>
        <w:rPr>
          <w:rFonts w:ascii="Times New Roman" w:hAnsi="Times New Roman"/>
          <w:spacing w:val="0"/>
          <w:sz w:val="16"/>
        </w:rPr>
      </w:pPr>
      <w:r>
        <w:rPr>
          <w:rFonts w:ascii="Times New Roman" w:hAnsi="Times New Roman"/>
          <w:spacing w:val="0"/>
          <w:sz w:val="16"/>
        </w:rPr>
        <w:t>14d-1(d)</w:t>
      </w:r>
    </w:p>
    <w:p>
      <w:pPr>
        <w:pStyle w:val="TextBody"/>
        <w:bidi w:val="0"/>
        <w:spacing w:before="80" w:after="0"/>
        <w:jc w:val="left"/>
        <w:rPr>
          <w:rFonts w:ascii="Times New Roman" w:hAnsi="Times New Roman"/>
          <w:sz w:val="16"/>
        </w:rPr>
      </w:pPr>
      <w:r>
        <w:rPr>
          <w:rFonts w:ascii="Times New Roman" w:hAnsi="Times New Roman"/>
          <w:sz w:val="16"/>
        </w:rPr>
        <w:t xml:space="preserve">(Cross-Border Third-Party Tender Offer) ☐ </w:t>
      </w:r>
    </w:p>
    <w:p>
      <w:pPr>
        <w:pStyle w:val="TextBody"/>
        <w:bidi w:val="0"/>
        <w:spacing w:before="80" w:after="0"/>
        <w:jc w:val="left"/>
        <w:rPr>
          <w:rFonts w:ascii="Times New Roman" w:hAnsi="Times New Roman"/>
          <w:b/>
          <w:spacing w:val="0"/>
          <w:sz w:val="16"/>
        </w:rPr>
      </w:pPr>
      <w:r>
        <w:rPr>
          <w:rFonts w:ascii="Times New Roman" w:hAnsi="Times New Roman"/>
          <w:b/>
          <w:spacing w:val="0"/>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spacing w:val="0"/>
        </w:rPr>
      </w:pPr>
      <w:r>
        <w:rPr>
          <w:spacing w:val="0"/>
        </w:rPr>
        <w:t> </w:t>
      </w:r>
    </w:p>
    <w:p>
      <w:pPr>
        <w:pStyle w:val="TextBody"/>
        <w:bidi w:val="0"/>
        <w:spacing w:lineRule="atLeast" w:line="142" w:before="0" w:after="0"/>
        <w:jc w:val="left"/>
        <w:rPr>
          <w:spacing w:val="0"/>
        </w:rPr>
      </w:pPr>
      <w:r>
        <w:rPr>
          <w:spacing w:val="0"/>
        </w:rPr>
        <w:t> </w:t>
      </w:r>
    </w:p>
    <w:p>
      <w:pPr>
        <w:pStyle w:val="TextBody"/>
        <w:bidi w:val="0"/>
        <w:spacing w:lineRule="atLeast" w:line="142" w:before="0" w:after="40"/>
        <w:jc w:val="left"/>
        <w:rPr>
          <w:spacing w:val="0"/>
        </w:rPr>
      </w:pPr>
      <w:r>
        <w:rPr>
          <w:spacing w:val="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proxy statement/prospectus is not complete and may be changed. AVROBIO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STATEMENT/PROSPECTUS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APRIL 15, 2024 </w:t>
      </w:r>
    </w:p>
    <w:p>
      <w:pPr>
        <w:pStyle w:val="TextBody"/>
        <w:bidi w:val="0"/>
        <w:spacing w:before="0" w:after="0"/>
        <w:jc w:val="left"/>
        <w:rPr/>
      </w:pPr>
      <w:r>
        <w:rPr/>
        <w:t> </w:t>
      </w:r>
    </w:p>
    <w:tbl>
      <w:tblPr>
        <w:tblW w:w="921" w:type="dxa"/>
        <w:jc w:val="left"/>
        <w:tblInd w:w="0" w:type="dxa"/>
        <w:tblLayout w:type="fixed"/>
        <w:tblCellMar>
          <w:top w:w="0" w:type="dxa"/>
          <w:left w:w="0" w:type="dxa"/>
          <w:bottom w:w="0" w:type="dxa"/>
          <w:right w:w="0" w:type="dxa"/>
        </w:tblCellMar>
      </w:tblPr>
      <w:tblGrid>
        <w:gridCol w:w="437"/>
        <w:gridCol w:w="120"/>
        <w:gridCol w:w="364"/>
      </w:tblGrid>
      <w:tr>
        <w:trPr/>
        <w:tc>
          <w:tcPr>
            <w:tcW w:w="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37" w:type="dxa"/>
            <w:tcBorders/>
            <w:vAlign w:val="center"/>
          </w:tcPr>
          <w:p>
            <w:pPr>
              <w:pStyle w:val="TableContents"/>
              <w:bidi w:val="0"/>
              <w:spacing w:before="0" w:after="283"/>
              <w:jc w:val="center"/>
              <w:rPr/>
            </w:pPr>
            <w:r>
              <w:rPr/>
              <w:drawing>
                <wp:inline distT="0" distB="0" distL="0" distR="0">
                  <wp:extent cx="229870" cy="546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870" cy="546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center"/>
              <w:rPr/>
            </w:pPr>
            <w:r>
              <w:rPr/>
              <w:drawing>
                <wp:inline distT="0" distB="0" distL="0" distR="0">
                  <wp:extent cx="183515" cy="4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515" cy="476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AVROBIO, Inc. and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a Delaware corporation (“AVROBIO”), and Tectonic Therapeutic, Inc., a Delaware corporation (“Tectonic”), entered into an Agreement and Plan of Merger and Reorganization (the “Merger Agreement”) on January 30, 2024, pursuant to which, among other matters, Alpine Merger Subsidiary, Inc., a direct, wholly owned subsidiary of AVROBIO (“Merger Sub”), will merge with and into Tectonic, with Tectonic surviving as a wholly owned subsidiary of AVROBIO (such transaction, the “merger”). After the completion of the merger, AVROBIO will change its corporate name to “Tectonic Therapeutic, Inc.” The surviving corporation following the merger is referred to herein as the “combined company.” </w:t>
      </w:r>
    </w:p>
    <w:p>
      <w:pPr>
        <w:pStyle w:val="TextBody"/>
        <w:bidi w:val="0"/>
        <w:spacing w:before="240" w:after="0"/>
        <w:jc w:val="left"/>
        <w:rPr>
          <w:rFonts w:ascii="Times New Roman" w:hAnsi="Times New Roman"/>
          <w:sz w:val="20"/>
        </w:rPr>
      </w:pPr>
      <w:r>
        <w:rPr>
          <w:rFonts w:ascii="Times New Roman" w:hAnsi="Times New Roman"/>
          <w:sz w:val="20"/>
        </w:rPr>
        <w:t>At the effective time of the merger (the “effective time”), each share of Tectonic common stock, par value $0.0001 per share (“Tectonic common stock”), after giving effect to the conversion of each share of Tectonic preferred stock, par value $0.0001 per share (“Tectonic preferred stock”), into Tectonic common stock as well as the issuance of the private financing shares (as defined below) and of Company SAFEs (as defined below) will be converted into the right to receive a number of shares of AVROBIO common stock, par value $0.0001 per share (“AVROBIO common stock”), equal to the exchange ratio described in more detail in the section titled “</w:t>
      </w:r>
      <w:r>
        <w:rPr>
          <w:rFonts w:ascii="Times New Roman" w:hAnsi="Times New Roman"/>
          <w:i/>
          <w:sz w:val="20"/>
        </w:rPr>
        <w:t>The Merger Agreement—Exchange Ratio</w:t>
      </w:r>
      <w:r>
        <w:rPr>
          <w:rFonts w:ascii="Times New Roman" w:hAnsi="Times New Roman"/>
          <w:sz w:val="20"/>
        </w:rPr>
        <w:t xml:space="preserve">” beginning on page 240 of this proxy statement/prospectus. The final exchange ratio is subject to adjustment prior to the closing of the merger (the “closing”) based upon AVROBIO’s net cash (as defined in the Merger Agreement) (“AVROBIO’s net cash”) at closing. As a result, AVROBIO securityholders could own more, and Tectonic securityholders could own less, or vice versa, of the combined company. Based on AVROBIO’s and Tectonic’s capitalization as of January 30, 2024, the date the Merger Agreement was executed, and taking into account AVROBIO’s anticipated closing cash position, giving effect to the proposed AVROBIO reverse stock split (the “reverse stock split”) and based on certain other assumptions, the exchange ratio (the “exchange ratio”) is currently estimated to be equal to approximately 0.74458326 shares of AVROBIO common stock for each share of Tectonic capital stock. The exchange ratio is subject to adjustment as described below, including if AVROBIO’s net cash as of closing is lower than $64.5 million or greater than $65.5 million. AVROBIO management currently anticipates that AVROBIO’s net cash as of closing will be approximately $65.0 million to $75.0 million, and the exchange ratio is currently estimated to be equal to approximately 0.74458326 (assuming (i) $65.0 million in AVROBIO net cash as of closing, (ii) a one-for-ten reverse stock split, and (iii) the private financings (as defined below) in Tectonic being in the amount of $130.7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AVROBIO will assume Tectonic’s Equity Incentive Plan (as defined below). Each outstanding and unexercised option to purchase shares of Tectonic common stock immediately prior to the effective time will be assumed by AVROBIO and will be converted into an option to purchase shares of AVROBIO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certain investors have agreed to purchase shares of Tectonic common stock at a purchase price of $12.39908 per share subject to and immediately prior to the closing, pursuant to the terms of a subscription agreement entered into by such investors and Tectonic (the “Subscription Agreement”), and certain investors have consummated or will consummate certain additional purchases of Tectonic common stock pursuant to the conversion of certain simple agreements for future equity (“SAFEs”) entered into by such investors and Tectonic (the “Company SAFEs”), for an aggregate purchase price among the transactions contemplated by the Subscription Agreement and such Company SAFEs of approximately $130.7 million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(collectively, the “private financings” and such shares of Tectonic common stock issued pursuant thereto, the “private financing shares”). The closing of the private financing contemplated by the Subscription Agreement is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The private financings are more fully described in the section titled “</w:t>
      </w:r>
      <w:r>
        <w:rPr>
          <w:rFonts w:ascii="Times New Roman" w:hAnsi="Times New Roman"/>
          <w:i/>
          <w:sz w:val="20"/>
        </w:rPr>
        <w:t>Agreements Related to the Merger–Subscription Agreement</w:t>
      </w:r>
      <w:r>
        <w:rPr>
          <w:rFonts w:ascii="Times New Roman" w:hAnsi="Times New Roman"/>
          <w:sz w:val="20"/>
        </w:rPr>
        <w:t xml:space="preserv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share of AVROBIO common stock, each option to purchase AVROBIO common stock (each, an “AVROBIO option”) and each award of restricted stock units convertible into AVROBIO common stock (each, an “AVROBIO RSU”) that is issued and outstanding at the effective time will remain issued and outstanding in accordance with its terms and such shares, options and RSUs, subject to the proposed reverse stock split and any extension to the expiration time provided for in connection with the merger, will be unaffected by the merger (subject to, in the case of options and RSUs, the terms of AVROBIO’s existing equity incentive plans and the award agreements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$65.0 million in AVROBIO’s net cash as of closing. </w:t>
      </w:r>
    </w:p>
    <w:p>
      <w:pPr>
        <w:pStyle w:val="TextBody"/>
        <w:bidi w:val="0"/>
        <w:spacing w:before="240" w:after="0"/>
        <w:jc w:val="left"/>
        <w:rPr>
          <w:rFonts w:ascii="Times New Roman" w:hAnsi="Times New Roman"/>
          <w:sz w:val="20"/>
        </w:rPr>
      </w:pPr>
      <w:r>
        <w:rPr>
          <w:rFonts w:ascii="Times New Roman" w:hAnsi="Times New Roman"/>
          <w:sz w:val="20"/>
        </w:rPr>
        <w:t>Shares of AVROBIO common stock are currently listed on The Nasdaq Global Select (“Nasdaq”) under the symbol “AVRO.” AVROBIO intends to file an initial listing application for the combined company with Nasdaq. After completion of the merger, AVROBIO will be renamed “Tectonic Therapeutic, Inc.” and it is expected that the common stock of the combined company will trade on Nasdaq under the symbol “TECX.” It is a condition to the consummation of the merger in favor of each of AVROBIO, Tectonic and Merger Sub that the approval of the listing on Nasdaq of the additional shares of AVROBIO common stock will have been obtained and the shares of AVROBIO common stock to be issued in the transactions contemplated by the Merger Agreement pursuant to the Merger Agreement will have been approved for listing (subject to official notice of issuance) on Nasdaq.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Nasdaq has not yet made a determination with respect to this approval, and the status of such approval may not yet be known at the time that AVROBIO stockholders are expected to vote at the special meeting. For additional information, please see the sections titled “</w:t>
      </w:r>
      <w:r>
        <w:rPr>
          <w:rFonts w:ascii="Times New Roman" w:hAnsi="Times New Roman"/>
          <w:i/>
          <w:sz w:val="20"/>
        </w:rPr>
        <w:t>Risk Factors—Risks Related to Merger—AVROBIO or Tectonic may waive one or more of the conditions to the merger without recirculation of this proxy statement/prospectus or resoliciting stockholder approval</w:t>
      </w:r>
      <w:r>
        <w:rPr>
          <w:rFonts w:ascii="Times New Roman" w:hAnsi="Times New Roman"/>
          <w:sz w:val="20"/>
        </w:rPr>
        <w:t>” on page 37 of this proxy statement/prospectus and “</w:t>
      </w:r>
      <w:r>
        <w:rPr>
          <w:rFonts w:ascii="Times New Roman" w:hAnsi="Times New Roman"/>
          <w:i/>
          <w:sz w:val="20"/>
        </w:rPr>
        <w:t>Risk Factors—Risks Related to the Proposed Reverse Stock Split</w:t>
      </w:r>
      <w:r>
        <w:rPr>
          <w:rFonts w:ascii="Times New Roman" w:hAnsi="Times New Roman"/>
          <w:sz w:val="20"/>
        </w:rPr>
        <w:t>—</w:t>
      </w:r>
      <w:r>
        <w:rPr>
          <w:rFonts w:ascii="Times New Roman" w:hAnsi="Times New Roman"/>
          <w:i/>
          <w:sz w:val="20"/>
        </w:rPr>
        <w:t>The reverse stock split may not increase the combined company’s stock price over the short- or long-term, which may further impact the combined company’s ability to obtain or maintain listing on Nasdaq</w:t>
      </w:r>
      <w:r>
        <w:rPr>
          <w:rFonts w:ascii="Times New Roman" w:hAnsi="Times New Roman"/>
          <w:sz w:val="20"/>
        </w:rPr>
        <w:t xml:space="preserve">” on page 43 of this proxy statement/prospectus. On     , 2024, the last trading day before the date of this proxy statement/prospectus, the closing sale price of AVROBIO common stock as reported on Nasdaq was $    per share.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stockholders (“AVROBIO stockholders”) are cordially invited to attend the special meeting of AVROBIO stockholders (the “special meeting”) on     , 2024, at    a.m. Eastern Time, unless postponed or adjourned to a later date, in order to obtain the stockholder approvals necessary to complete the merger and related matters. The special meeting will be held entirely online. AVROBIO stockholders will be able to attend and participate in the special meeting online by visiting </w:t>
      </w:r>
      <w:r>
        <w:rPr>
          <w:rFonts w:ascii="Times New Roman" w:hAnsi="Times New Roman"/>
          <w:i/>
          <w:sz w:val="20"/>
        </w:rPr>
        <w:t>www.proxydocs.com/AVRO</w:t>
      </w:r>
      <w:r>
        <w:rPr>
          <w:rFonts w:ascii="Times New Roman" w:hAnsi="Times New Roman"/>
          <w:sz w:val="20"/>
        </w:rPr>
        <w:t xml:space="preserve">, where they will be able to listen to the meeting live, submit questions and vote. At the special meeting, AVROBIO will ask its stockholders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AVROBIO common stock, which will represent more than 20% of the shares of AVROBIO common stock outstanding immediately prior to such transaction, to stockholders of Tectonic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AVROBIO’s fourth amended and restated certificate of incorporation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of directors (the “AVROBIO Board”) and the Tectonic board of directors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(the “Reverse Stock Split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(the “Officer Exculpation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Tectonic Therapeutic, Inc. 2024 Equity Incentive Plan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which will become effective as of and contingent on the completion of the merger (the “Incentive Plan Proposal” or “Proposal No. 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Tectonic Therapeutic, Inc. 2024 Employee Stock Purchase Plan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which will become effective as of and contingent on the completion of the merger (the “ESPP Proposal” or “Proposal No. 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on a non-binding advisory vote basis, compensation that will or may become payable by AVROBIO to its named executive officers in connection with the merger, each as described in the accompanying proxy statement/prospectus (the “Executive Compensation Arrangements Proposal” or “Proposal No. 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special meeting, if necessary, to solicit additional proxies if there are not sufficient votes in favor of the Nasdaq Stock Issuance Proposal and/or the Reverse Stock Split Proposal (the “Adjournment Proposal” or “Proposal No. 7”).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this proxy statement/prospectus, certain AVROBIO stockholders holding shares of AVROBIO capital stock representing approximately 10.8% of the outstanding shares of AVROBIO capital stock of AVROBIO as of January 30, 2024, and certain Tectonic stockholders holding shares of Tectonic capital stock representing approximately 88.0% of the voting power of Tectonic as of January 30, 2024, are parties to stockholder support agreements with AVROBIO and Tectonic, respectively, whereby AVROBIO stockholders have agreed to vote in favor of the Proposals herein and against any alternative acquisition proposals and the Tectonic stockholders have agreed to vote in favor of the adoption of the Merger Agreement and the approval of the merger and related transactions contemplated by the Merger Agreement, subject to the terms of their respective support agreements. Following the effectiveness of the Registration Statement on Form S-4 of which this proxy statement/prospectus is a part and pursuant to the Merger Agreement, Tectonic stockholders holding shares of Tectonic capital stock representing approximately 88.0% of the voting power of Tectonic will be asked to execute a written consent to adopt the Merger Agreement and approve the merger and related transactions.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After careful consideration, each of the AVROBIO Board and Tectonic Board have unanimously approved the Merger Agreement and have determined that it is advisable to consummate the merger. The AVROBIO Board has approved the Proposals described in this proxy statement/prospectus and unanimously recommends that AVROBIO stockholders vote “</w:t>
      </w:r>
      <w:r>
        <w:rPr>
          <w:rFonts w:ascii="Times New Roman" w:hAnsi="Times New Roman"/>
          <w:b/>
          <w:sz w:val="20"/>
        </w:rPr>
        <w:t>FOR</w:t>
      </w:r>
      <w:r>
        <w:rPr>
          <w:rFonts w:ascii="Times New Roman" w:hAnsi="Times New Roman"/>
          <w:sz w:val="20"/>
        </w:rPr>
        <w:t xml:space="preserve">” the Proposals described in this proxy statement/prospectus. </w:t>
      </w:r>
    </w:p>
    <w:p>
      <w:pPr>
        <w:pStyle w:val="TextBody"/>
        <w:bidi w:val="0"/>
        <w:spacing w:before="240" w:after="0"/>
        <w:jc w:val="left"/>
        <w:rPr/>
      </w:pPr>
      <w:r>
        <w:rPr>
          <w:rFonts w:ascii="Times New Roman" w:hAnsi="Times New Roman"/>
          <w:b/>
          <w:sz w:val="24"/>
        </w:rPr>
        <w:t>More information about AVROBIO, Tectonic, the Merger Agreement and transactions contemplated thereby and the foregoing Proposals is contained in this proxy statement/prospectus. AVROBIO urges you to read this proxy statement/prospectus carefully and in its entirety. IN PARTICULAR, YOU SHOULD CAREFULLY CONSIDER THE MATTERS DISCUSSED UNDER “</w:t>
      </w:r>
      <w:hyperlink w:anchor="toc770053_20">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BEGINNING ON PAGE 36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and Tectonic are excited about the opportunities that the merger brings to our respective stockholders and thank you for your consideration and continued support. </w:t>
      </w:r>
    </w:p>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7760"/>
        <w:gridCol w:w="120"/>
        <w:gridCol w:w="2165"/>
      </w:tblGrid>
      <w:tr>
        <w:trPr/>
        <w:tc>
          <w:tcPr>
            <w:tcW w:w="7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7760" w:type="dxa"/>
            <w:tcBorders/>
            <w:vAlign w:val="center"/>
          </w:tcPr>
          <w:p>
            <w:pPr>
              <w:pStyle w:val="TableContents"/>
              <w:bidi w:val="0"/>
              <w:spacing w:before="0" w:after="283"/>
              <w:jc w:val="center"/>
              <w:rPr/>
            </w:pPr>
            <w:r>
              <w:rPr/>
              <w:t>Erik Ostrowski</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Alise Reicin, M.D.</w:t>
            </w:r>
          </w:p>
        </w:tc>
      </w:tr>
      <w:tr>
        <w:trPr/>
        <w:tc>
          <w:tcPr>
            <w:tcW w:w="7760" w:type="dxa"/>
            <w:tcBorders/>
            <w:vAlign w:val="center"/>
          </w:tcPr>
          <w:p>
            <w:pPr>
              <w:pStyle w:val="TableContents"/>
              <w:bidi w:val="0"/>
              <w:spacing w:before="0" w:after="283"/>
              <w:jc w:val="center"/>
              <w:rPr>
                <w:i/>
              </w:rPr>
            </w:pPr>
            <w:r>
              <w:rPr>
                <w:i/>
              </w:rPr>
              <w:t>President, Interim Chief Executive Officer, Chief Financial Officer and Treasurer</w:t>
            </w:r>
          </w:p>
        </w:tc>
        <w:tc>
          <w:tcPr>
            <w:tcW w:w="120" w:type="dxa"/>
            <w:vMerge w:val="restart"/>
            <w:tcBorders/>
            <w:vAlign w:val="center"/>
          </w:tcPr>
          <w:p>
            <w:pPr>
              <w:pStyle w:val="TableContents"/>
              <w:bidi w:val="0"/>
              <w:spacing w:before="0" w:after="283"/>
              <w:jc w:val="left"/>
              <w:rPr/>
            </w:pPr>
            <w:r>
              <w:rPr/>
              <w:t>  </w:t>
            </w:r>
          </w:p>
        </w:tc>
        <w:tc>
          <w:tcPr>
            <w:tcW w:w="2165" w:type="dxa"/>
            <w:vMerge w:val="restart"/>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Tectonic Therapeutic, Inc.</w:t>
            </w:r>
          </w:p>
        </w:tc>
      </w:tr>
      <w:tr>
        <w:trPr/>
        <w:tc>
          <w:tcPr>
            <w:tcW w:w="7760" w:type="dxa"/>
            <w:tcBorders/>
            <w:vAlign w:val="center"/>
          </w:tcPr>
          <w:p>
            <w:pPr>
              <w:pStyle w:val="TableContents"/>
              <w:bidi w:val="0"/>
              <w:spacing w:before="0" w:after="283"/>
              <w:jc w:val="center"/>
              <w:rPr/>
            </w:pPr>
            <w:r>
              <w:rPr/>
              <w:t>AVROBIO, Inc.</w:t>
            </w:r>
          </w:p>
        </w:tc>
        <w:tc>
          <w:tcPr>
            <w:tcW w:w="120" w:type="dxa"/>
            <w:vMerge w:val="continue"/>
            <w:tcBorders/>
            <w:vAlign w:val="center"/>
          </w:tcPr>
          <w:p>
            <w:pPr>
              <w:pStyle w:val="Normal"/>
              <w:bidi w:val="0"/>
              <w:jc w:val="left"/>
              <w:rPr/>
            </w:pPr>
            <w:r>
              <w:rPr/>
            </w:r>
          </w:p>
        </w:tc>
        <w:tc>
          <w:tcPr>
            <w:tcW w:w="2165" w:type="dxa"/>
            <w:vMerge w:val="continue"/>
            <w:tcBorders/>
            <w:vAlign w:val="center"/>
          </w:tcPr>
          <w:p>
            <w:pPr>
              <w:pStyle w:val="Normal"/>
              <w:bidi w:val="0"/>
              <w:jc w:val="left"/>
              <w:rPr/>
            </w:pPr>
            <w:r>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statement/prospectus is dated     , 2024, and is first being mailed to AVROBIO stockholders on or about    , 2024.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 xml:space="preserve">100 Technology Square, 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02139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AVROBIO stockholders: </w:t>
      </w:r>
    </w:p>
    <w:p>
      <w:pPr>
        <w:pStyle w:val="TextBody"/>
        <w:bidi w:val="0"/>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special meeting will be held on    , 2024 at    a.m. Eastern Time, unless postponed or adjourned to a later date. The special meeting will be held entirely online. You will be able to attend and participate in the special meeting online by visiting </w:t>
      </w:r>
      <w:r>
        <w:rPr>
          <w:rFonts w:ascii="Times New Roman" w:hAnsi="Times New Roman"/>
          <w:i/>
          <w:sz w:val="20"/>
        </w:rPr>
        <w:t>www.proxydocs.com/AVRO</w:t>
      </w:r>
      <w:r>
        <w:rPr>
          <w:rFonts w:ascii="Times New Roman" w:hAnsi="Times New Roman"/>
          <w:sz w:val="20"/>
        </w:rPr>
        <w:t xml:space="preserve">, where you will be able to listen to the meeting live, submit questions and vote. </w:t>
      </w:r>
    </w:p>
    <w:p>
      <w:pPr>
        <w:pStyle w:val="TextBody"/>
        <w:bidi w:val="0"/>
        <w:spacing w:before="240" w:after="0"/>
        <w:jc w:val="left"/>
        <w:rPr>
          <w:rFonts w:ascii="Times New Roman" w:hAnsi="Times New Roman"/>
          <w:b/>
          <w:sz w:val="20"/>
        </w:rPr>
      </w:pPr>
      <w:r>
        <w:rPr>
          <w:rFonts w:ascii="Times New Roman" w:hAnsi="Times New Roman"/>
          <w:b/>
          <w:sz w:val="20"/>
        </w:rPr>
        <w:t xml:space="preserve">The special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“Nasdaq Stock Issuance Proposal” or “Proposal No.</w:t>
            </w:r>
            <w:r>
              <w:rPr>
                <w:rFonts w:ascii="Times New Roman" w:hAnsi="Times New Roman"/>
                <w:sz w:val="20"/>
                <w:u w:val="single"/>
              </w:rPr>
              <w:t> </w:t>
            </w:r>
            <w:r>
              <w:rPr>
                <w:rFonts w:ascii="Times New Roman" w:hAnsi="Times New Roman"/>
                <w:b/>
                <w:sz w:val="20"/>
                <w:u w:val="single"/>
              </w:rPr>
              <w:t>1”</w:t>
            </w:r>
            <w:r>
              <w:rPr>
                <w:rFonts w:ascii="Times New Roman" w:hAnsi="Times New Roman"/>
                <w:sz w:val="20"/>
              </w:rPr>
              <w:t xml:space="preserve">: To approve (i) the issuance of shares of AVROBIO common stock, which will represent more than 20% of the shares of AVROBIO common stock outstanding immediately prior to the merger,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the merger, pursuant to Nasdaq Listing Rules 5635(a) and 5635(b),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2.</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“Reverse Stock Split Proposal” or “Proposal No.</w:t>
            </w:r>
            <w:r>
              <w:rPr>
                <w:rFonts w:ascii="Times New Roman" w:hAnsi="Times New Roman"/>
                <w:sz w:val="20"/>
                <w:u w:val="single"/>
              </w:rPr>
              <w:t> </w:t>
            </w:r>
            <w:r>
              <w:rPr>
                <w:rFonts w:ascii="Times New Roman" w:hAnsi="Times New Roman"/>
                <w:b/>
                <w:sz w:val="20"/>
                <w:u w:val="single"/>
              </w:rPr>
              <w:t>2”</w:t>
            </w:r>
            <w:r>
              <w:rPr>
                <w:rFonts w:ascii="Times New Roman" w:hAnsi="Times New Roman"/>
                <w:sz w:val="20"/>
              </w:rPr>
              <w:t xml:space="preserve">: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“Officer Exculpation Proposal” or “Proposal No.</w:t>
            </w:r>
            <w:r>
              <w:rPr>
                <w:rFonts w:ascii="Times New Roman" w:hAnsi="Times New Roman"/>
                <w:sz w:val="20"/>
                <w:u w:val="single"/>
              </w:rPr>
              <w:t> </w:t>
            </w:r>
            <w:r>
              <w:rPr>
                <w:rFonts w:ascii="Times New Roman" w:hAnsi="Times New Roman"/>
                <w:b/>
                <w:sz w:val="20"/>
                <w:u w:val="single"/>
              </w:rPr>
              <w:t>3”</w:t>
            </w:r>
            <w:r>
              <w:rPr>
                <w:rFonts w:ascii="Times New Roman" w:hAnsi="Times New Roman"/>
                <w:sz w:val="20"/>
              </w:rPr>
              <w:t xml:space="preserve">: 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“Incentive Plan Proposal” or “Proposal No.</w:t>
            </w:r>
            <w:r>
              <w:rPr>
                <w:rFonts w:ascii="Times New Roman" w:hAnsi="Times New Roman"/>
                <w:sz w:val="20"/>
                <w:u w:val="single"/>
              </w:rPr>
              <w:t> </w:t>
            </w:r>
            <w:r>
              <w:rPr>
                <w:rFonts w:ascii="Times New Roman" w:hAnsi="Times New Roman"/>
                <w:b/>
                <w:sz w:val="20"/>
                <w:u w:val="single"/>
              </w:rPr>
              <w:t>4”</w:t>
            </w:r>
            <w:r>
              <w:rPr>
                <w:rFonts w:ascii="Times New Roman" w:hAnsi="Times New Roman"/>
                <w:sz w:val="20"/>
              </w:rPr>
              <w:t xml:space="preserve">: 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“ESPP Proposal” or “Proposal No.</w:t>
            </w:r>
            <w:r>
              <w:rPr>
                <w:rFonts w:ascii="Times New Roman" w:hAnsi="Times New Roman"/>
                <w:sz w:val="20"/>
                <w:u w:val="single"/>
              </w:rPr>
              <w:t> </w:t>
            </w:r>
            <w:r>
              <w:rPr>
                <w:rFonts w:ascii="Times New Roman" w:hAnsi="Times New Roman"/>
                <w:b/>
                <w:sz w:val="20"/>
                <w:u w:val="single"/>
              </w:rPr>
              <w:t>5”</w:t>
            </w:r>
            <w:r>
              <w:rPr>
                <w:rFonts w:ascii="Times New Roman" w:hAnsi="Times New Roman"/>
                <w:sz w:val="20"/>
              </w:rPr>
              <w:t xml:space="preserve">: 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“Executive Compensation Arrangements Proposal” or “Proposal No.</w:t>
            </w:r>
            <w:r>
              <w:rPr>
                <w:rFonts w:ascii="Times New Roman" w:hAnsi="Times New Roman"/>
                <w:sz w:val="20"/>
                <w:u w:val="single"/>
              </w:rPr>
              <w:t> </w:t>
            </w:r>
            <w:r>
              <w:rPr>
                <w:rFonts w:ascii="Times New Roman" w:hAnsi="Times New Roman"/>
                <w:b/>
                <w:sz w:val="20"/>
                <w:u w:val="single"/>
              </w:rPr>
              <w:t>6”</w:t>
            </w:r>
            <w:r>
              <w:rPr>
                <w:rFonts w:ascii="Times New Roman" w:hAnsi="Times New Roman"/>
                <w:sz w:val="20"/>
              </w:rPr>
              <w:t xml:space="preserve">: To approve, on a non-binding advisory vote basis, compensation that will or may become payable by AVROBIO to its named executive officers in connection with the merger, each as described in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7.</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u w:val="single"/>
              </w:rPr>
              <w:t>The “Adjournment Proposal” or “Proposal No.</w:t>
            </w:r>
            <w:r>
              <w:rPr>
                <w:rFonts w:ascii="Times New Roman" w:hAnsi="Times New Roman"/>
                <w:sz w:val="20"/>
                <w:u w:val="single"/>
              </w:rPr>
              <w:t> </w:t>
            </w:r>
            <w:r>
              <w:rPr>
                <w:rFonts w:ascii="Times New Roman" w:hAnsi="Times New Roman"/>
                <w:b/>
                <w:sz w:val="20"/>
                <w:u w:val="single"/>
              </w:rPr>
              <w:t>7”</w:t>
            </w:r>
            <w:r>
              <w:rPr>
                <w:rFonts w:ascii="Times New Roman" w:hAnsi="Times New Roman"/>
                <w:sz w:val="20"/>
              </w:rPr>
              <w:t xml:space="preserve">: To approve an adjournment of the special meeting, if necessary, to solicit additional proxies if there are not sufficient votes in favor of the Nasdaq Stock Issuance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8.</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proposals are collectively referred to as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has fixed    , 2024 as the record date (the “record date”) for the determination of AVROBIO stockholders entitled to notice of, and to vote at, the special meeting and any adjournment or postponement thereof. Only holders of record of shares of AVROBIO common stock at the close of business on the record date are entitled to notice of, and to vote at, the special meeting. At the close of business on the record date, AVROBIO had    shares of common stock outstanding and entitled to vote.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AVROBIO common stock at the special meeting, assuming a quorum is present, is required for approval of Proposal Nos. 1, 2, 4, 5, 6 and 7. The affirmative vote of a majority of the outstanding shares of AVROBIO common stock entitled to vote at the special meeting is required for approval of Proposal No. 3. Proposal Nos. 4 and 5 are conditioned upon the approval of Proposal No. 1. However, approval of each of Proposal Nos. 1 and 2 is a condition to the completion of the merger. Therefore, the merger cannot be consummated without the approval of Proposal Nos. 1 and 2.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special meeting, AVROBIO requests that you sign and return the enclosed proxy or vote by mail or online to ensure that your shares will be represented at the special meeting if you are unable to virtually attend. You may change or revoke your proxy at any time before it is voted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AVROBIO BOARD HAS UNANIMOUSLY DETERMINED AND BELIEVES THAT EACH OF THE PROPOSALS OUTLINED ABOVE IS FAIR TO, IN THE BEST INTERESTS OF, AND ADVISABLE TO AVROBIO AND ITS STOCKHOLDERS AND HAS APPROVED EACH SUCH PROPOSAL. THE AVROBIO BOARD UNANIMOUSLY RECOMMENDS THAT AVROBIO STOCKHOLDERS VOTE “FOR” EACH SUCH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 2024 at    a.m. Eastern Time via the Internet. </w:t>
      </w:r>
    </w:p>
    <w:p>
      <w:pPr>
        <w:pStyle w:val="TextBody"/>
        <w:bidi w:val="0"/>
        <w:spacing w:before="240" w:after="0"/>
        <w:jc w:val="center"/>
        <w:rPr>
          <w:rFonts w:ascii="Times New Roman" w:hAnsi="Times New Roman"/>
          <w:sz w:val="20"/>
        </w:rPr>
      </w:pPr>
      <w:r>
        <w:rPr>
          <w:rFonts w:ascii="Times New Roman" w:hAnsi="Times New Roman"/>
          <w:sz w:val="20"/>
        </w:rPr>
        <w:t xml:space="preserve">The proxy statement/prospectus and annual report to stockholders are available at </w:t>
      </w:r>
      <w:r>
        <w:rPr>
          <w:rFonts w:ascii="Times New Roman" w:hAnsi="Times New Roman"/>
          <w:i/>
          <w:sz w:val="20"/>
        </w:rPr>
        <w:t>www.proxydocs.com/AVRO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AVROBIO Board, </w:t>
      </w:r>
    </w:p>
    <w:p>
      <w:pPr>
        <w:pStyle w:val="TextBody"/>
        <w:bidi w:val="0"/>
        <w:spacing w:before="960" w:after="0"/>
        <w:jc w:val="left"/>
        <w:rPr>
          <w:rFonts w:ascii="Times New Roman" w:hAnsi="Times New Roman"/>
          <w:sz w:val="20"/>
        </w:rPr>
      </w:pPr>
      <w:r>
        <w:rPr>
          <w:rFonts w:ascii="Times New Roman" w:hAnsi="Times New Roman"/>
          <w:sz w:val="20"/>
        </w:rPr>
        <w:t xml:space="preserve">Erik Ostrowski </w:t>
      </w:r>
    </w:p>
    <w:p>
      <w:pPr>
        <w:pStyle w:val="TextBody"/>
        <w:bidi w:val="0"/>
        <w:spacing w:before="120" w:after="0"/>
        <w:jc w:val="left"/>
        <w:rPr>
          <w:rFonts w:ascii="Times New Roman" w:hAnsi="Times New Roman"/>
          <w:sz w:val="20"/>
        </w:rPr>
      </w:pPr>
      <w:r>
        <w:rPr>
          <w:rFonts w:ascii="Times New Roman" w:hAnsi="Times New Roman"/>
          <w:sz w:val="20"/>
        </w:rPr>
        <w:t xml:space="preserve">President, Interim Chief Executive Officer, Chief Financial Officer and Treasurer </w:t>
      </w:r>
    </w:p>
    <w:p>
      <w:pPr>
        <w:pStyle w:val="TextBody"/>
        <w:bidi w:val="0"/>
        <w:spacing w:before="120" w:after="0"/>
        <w:jc w:val="left"/>
        <w:rPr/>
      </w:pPr>
      <w:r>
        <w:rPr/>
        <w:t>    </w:t>
      </w:r>
      <w:r>
        <w:rPr>
          <w:rFonts w:ascii="Times New Roman" w:hAnsi="Times New Roman"/>
          <w:sz w:val="20"/>
        </w:rPr>
        <w:t xml:space="preserve">, 2024 </w:t>
      </w:r>
    </w:p>
    <w:p>
      <w:pPr>
        <w:pStyle w:val="TextBody"/>
        <w:bidi w:val="0"/>
        <w:spacing w:before="48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AVROBIO that is not included in or delivered with this document. You may obtain this information without charge through the Securities and Exchange Commission (“SEC”)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AVROBIO, Inc. by calling (617) 752-7011 or via email to CorporateSecretary@AVROBIO.com. </w:t>
      </w:r>
    </w:p>
    <w:p>
      <w:pPr>
        <w:pStyle w:val="TextBody"/>
        <w:bidi w:val="0"/>
        <w:spacing w:before="240" w:after="0"/>
        <w:jc w:val="left"/>
        <w:rPr>
          <w:rFonts w:ascii="Times New Roman" w:hAnsi="Times New Roman"/>
          <w:b/>
          <w:sz w:val="20"/>
        </w:rPr>
      </w:pPr>
      <w:r>
        <w:rPr>
          <w:rFonts w:ascii="Times New Roman" w:hAnsi="Times New Roman"/>
          <w:b/>
          <w:sz w:val="20"/>
        </w:rPr>
        <w:t xml:space="preserve">To ensure timely delivery of these documents, any request should be made no later than    , 2024 to receive them before the special meeting.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AVROBIO,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738" w:type="dxa"/>
        <w:jc w:val="left"/>
        <w:tblInd w:w="0" w:type="dxa"/>
        <w:tblLayout w:type="fixed"/>
        <w:tblCellMar>
          <w:top w:w="0" w:type="dxa"/>
          <w:left w:w="0" w:type="dxa"/>
          <w:bottom w:w="0" w:type="dxa"/>
          <w:right w:w="0" w:type="dxa"/>
        </w:tblCellMar>
      </w:tblPr>
      <w:tblGrid>
        <w:gridCol w:w="52"/>
        <w:gridCol w:w="82"/>
        <w:gridCol w:w="7969"/>
        <w:gridCol w:w="120"/>
        <w:gridCol w:w="60"/>
        <w:gridCol w:w="380"/>
        <w:gridCol w:w="75"/>
      </w:tblGrid>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79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vAlign w:val="center"/>
          </w:tcPr>
          <w:p>
            <w:pPr>
              <w:pStyle w:val="TableContents"/>
              <w:bidi w:val="0"/>
              <w:spacing w:before="0" w:after="283"/>
              <w:jc w:val="left"/>
              <w:rPr/>
            </w:pPr>
            <w:hyperlink w:anchor="toc770053_1">
              <w:r>
                <w:rPr>
                  <w:rStyle w:val="InternetLink"/>
                </w:rPr>
                <w:t xml:space="preserve">QUESTIONS AND ANSWERS ABOUT 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2">
              <w:r>
                <w:rPr>
                  <w:rStyle w:val="InternetLink"/>
                </w:rPr>
                <w:t xml:space="preserve">PROSPECTUS SUMMARY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
              <w:r>
                <w:rPr>
                  <w:rStyle w:val="InternetLink"/>
                  <w:rFonts w:ascii="Times New Roman" w:hAnsi="Times New Roman"/>
                  <w:sz w:val="20"/>
                </w:rPr>
                <w:t>The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
              <w:r>
                <w:rPr>
                  <w:rStyle w:val="InternetLink"/>
                  <w:rFonts w:ascii="Times New Roman" w:hAnsi="Times New Roman"/>
                  <w:sz w:val="20"/>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
              <w:r>
                <w:rPr>
                  <w:rStyle w:val="InternetLink"/>
                  <w:rFonts w:ascii="Times New Roman" w:hAnsi="Times New Roman"/>
                  <w:sz w:val="20"/>
                </w:rPr>
                <w:t>AVROBIO’s Reasons for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6">
              <w:r>
                <w:rPr>
                  <w:rStyle w:val="InternetLink"/>
                  <w:rFonts w:ascii="Times New Roman" w:hAnsi="Times New Roman"/>
                  <w:sz w:val="20"/>
                </w:rPr>
                <w:t>Recommendation of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7">
              <w:r>
                <w:rPr>
                  <w:rStyle w:val="InternetLink"/>
                  <w:rFonts w:ascii="Times New Roman" w:hAnsi="Times New Roman"/>
                  <w:sz w:val="20"/>
                </w:rPr>
                <w:t>Interests of AVROBIO’s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8">
              <w:r>
                <w:rPr>
                  <w:rStyle w:val="InternetLink"/>
                  <w:rFonts w:ascii="Times New Roman" w:hAnsi="Times New Roman"/>
                  <w:sz w:val="20"/>
                </w:rPr>
                <w:t>Interests of Tectonic’s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9">
              <w:r>
                <w:rPr>
                  <w:rStyle w:val="InternetLink"/>
                  <w:rFonts w:ascii="Times New Roman" w:hAnsi="Times New Roman"/>
                  <w:sz w:val="20"/>
                </w:rPr>
                <w:t>Opinion of Houlihan Lokey to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0">
              <w:r>
                <w:rPr>
                  <w:rStyle w:val="InternetLink"/>
                  <w:rFonts w:ascii="Times New Roman" w:hAnsi="Times New Roman"/>
                  <w:sz w:val="20"/>
                </w:rPr>
                <w:t>Management Following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1">
              <w:r>
                <w:rPr>
                  <w:rStyle w:val="InternetLink"/>
                  <w:rFonts w:ascii="Times New Roman" w:hAnsi="Times New Roman"/>
                  <w:sz w:val="20"/>
                </w:rPr>
                <w:t>Material U.S. Federal Income Tax Consequences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2">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3">
              <w:r>
                <w:rPr>
                  <w:rStyle w:val="InternetLink"/>
                  <w:rFonts w:ascii="Times New Roman" w:hAnsi="Times New Roman"/>
                  <w:sz w:val="20"/>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4">
              <w:r>
                <w:rPr>
                  <w:rStyle w:val="InternetLink"/>
                  <w:rFonts w:ascii="Times New Roman" w:hAnsi="Times New Roman"/>
                  <w:sz w:val="20"/>
                </w:rPr>
                <w:t>Nasdaq Stock Market 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5">
              <w:r>
                <w:rPr>
                  <w:rStyle w:val="InternetLink"/>
                  <w:rFonts w:ascii="Times New Roman" w:hAnsi="Times New Roman"/>
                  <w:sz w:val="20"/>
                </w:rPr>
                <w:t>Anticipated Accounting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6">
              <w:r>
                <w:rPr>
                  <w:rStyle w:val="InternetLink"/>
                  <w:rFonts w:ascii="Times New Roman" w:hAnsi="Times New Roman"/>
                  <w:sz w:val="20"/>
                </w:rPr>
                <w:t>Appraisal Rights and Dissenters’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7">
              <w:r>
                <w:rPr>
                  <w:rStyle w:val="InternetLink"/>
                  <w:rFonts w:ascii="Times New Roman" w:hAnsi="Times New Roman"/>
                  <w:sz w:val="20"/>
                </w:rPr>
                <w:t>Comparison of Stockholder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18">
              <w:r>
                <w:rPr>
                  <w:rStyle w:val="InternetLink"/>
                </w:rPr>
                <w:t xml:space="preserve">MARKET PRICE AND DIVIDEND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19">
              <w:r>
                <w:rPr>
                  <w:rStyle w:val="InternetLink"/>
                  <w:rFonts w:ascii="Times New Roman" w:hAnsi="Times New Roman"/>
                  <w:sz w:val="20"/>
                </w:rPr>
                <w:t xml:space="preserve">Dividends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20">
              <w:r>
                <w:rPr>
                  <w:rStyle w:val="InternetLink"/>
                </w:rPr>
                <w:t xml:space="preserve">RISK FACTORS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21">
              <w:r>
                <w:rPr>
                  <w:rStyle w:val="InternetLink"/>
                  <w:rFonts w:ascii="Times New Roman" w:hAnsi="Times New Roman"/>
                  <w:sz w:val="20"/>
                </w:rPr>
                <w:t>Risks Related to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22">
              <w:r>
                <w:rPr>
                  <w:rStyle w:val="InternetLink"/>
                  <w:rFonts w:ascii="Times New Roman" w:hAnsi="Times New Roman"/>
                  <w:sz w:val="20"/>
                </w:rPr>
                <w:t>Risks Related to the Proposed 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24">
              <w:r>
                <w:rPr>
                  <w:rStyle w:val="InternetLink"/>
                  <w:rFonts w:ascii="Times New Roman" w:hAnsi="Times New Roman"/>
                  <w:sz w:val="20"/>
                </w:rPr>
                <w:t>Risks Related to AVROBIO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3">
              <w:r>
                <w:rPr>
                  <w:rStyle w:val="InternetLink"/>
                  <w:rFonts w:ascii="Times New Roman" w:hAnsi="Times New Roman"/>
                  <w:sz w:val="20"/>
                </w:rPr>
                <w:t>Risks Related to Tectonic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4">
              <w:r>
                <w:rPr>
                  <w:rStyle w:val="InternetLink"/>
                  <w:rFonts w:ascii="Times New Roman" w:hAnsi="Times New Roman"/>
                  <w:sz w:val="20"/>
                </w:rPr>
                <w:t>Risks Related to the Combined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159</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35">
              <w:r>
                <w:rPr>
                  <w:rStyle w:val="InternetLink"/>
                </w:rPr>
                <w:t xml:space="preserve">CAUTIONARY NOTE REGARDING FORWARD-LOOKING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171</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36">
              <w:r>
                <w:rPr>
                  <w:rStyle w:val="InternetLink"/>
                </w:rPr>
                <w:t xml:space="preserve">THE SPECIAL MEETING OF AVROBIO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7">
              <w:r>
                <w:rPr>
                  <w:rStyle w:val="InternetLink"/>
                  <w:rFonts w:ascii="Times New Roman" w:hAnsi="Times New Roman"/>
                  <w:sz w:val="20"/>
                </w:rPr>
                <w:t>Date, Time and Place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8">
              <w:r>
                <w:rPr>
                  <w:rStyle w:val="InternetLink"/>
                  <w:rFonts w:ascii="Times New Roman" w:hAnsi="Times New Roman"/>
                  <w:sz w:val="20"/>
                </w:rPr>
                <w:t>Purposes of the Special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39">
              <w:r>
                <w:rPr>
                  <w:rStyle w:val="InternetLink"/>
                  <w:rFonts w:ascii="Times New Roman" w:hAnsi="Times New Roman"/>
                  <w:sz w:val="20"/>
                </w:rPr>
                <w:t>Recommendation of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0">
              <w:r>
                <w:rPr>
                  <w:rStyle w:val="InternetLink"/>
                  <w:rFonts w:ascii="Times New Roman" w:hAnsi="Times New Roman"/>
                  <w:sz w:val="20"/>
                </w:rPr>
                <w:t>Record Date and Voting Power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1">
              <w:r>
                <w:rPr>
                  <w:rStyle w:val="InternetLink"/>
                  <w:rFonts w:ascii="Times New Roman" w:hAnsi="Times New Roman"/>
                  <w:sz w:val="20"/>
                </w:rPr>
                <w:t>Voting and Revocation of Proxies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2">
              <w:r>
                <w:rPr>
                  <w:rStyle w:val="InternetLink"/>
                  <w:rFonts w:ascii="Times New Roman" w:hAnsi="Times New Roman"/>
                  <w:sz w:val="20"/>
                </w:rPr>
                <w:t>Required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3">
              <w:r>
                <w:rPr>
                  <w:rStyle w:val="InternetLink"/>
                  <w:rFonts w:ascii="Times New Roman" w:hAnsi="Times New Roman"/>
                  <w:sz w:val="20"/>
                </w:rPr>
                <w:t>Solicitation of Proxies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4">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178</w:t>
            </w:r>
          </w:p>
        </w:tc>
        <w:tc>
          <w:tcPr>
            <w:tcW w:w="75" w:type="dxa"/>
            <w:tcBorders/>
            <w:vAlign w:val="center"/>
          </w:tcPr>
          <w:p>
            <w:pPr>
              <w:pStyle w:val="TableContents"/>
              <w:bidi w:val="0"/>
              <w:spacing w:before="0" w:after="283"/>
              <w:jc w:val="left"/>
              <w:rPr/>
            </w:pPr>
            <w:r>
              <w:rPr/>
              <w:t> </w:t>
            </w:r>
          </w:p>
        </w:tc>
      </w:tr>
      <w:tr>
        <w:trPr/>
        <w:tc>
          <w:tcPr>
            <w:tcW w:w="8103" w:type="dxa"/>
            <w:gridSpan w:val="3"/>
            <w:tcBorders/>
            <w:vAlign w:val="center"/>
          </w:tcPr>
          <w:p>
            <w:pPr>
              <w:pStyle w:val="TableContents"/>
              <w:bidi w:val="0"/>
              <w:spacing w:before="0" w:after="283"/>
              <w:jc w:val="left"/>
              <w:rPr/>
            </w:pPr>
            <w:hyperlink w:anchor="toc770053_45">
              <w:r>
                <w:rPr>
                  <w:rStyle w:val="InternetLink"/>
                </w:rPr>
                <w:t xml:space="preserve">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179</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6">
              <w:r>
                <w:rPr>
                  <w:rStyle w:val="InternetLink"/>
                  <w:rFonts w:ascii="Times New Roman" w:hAnsi="Times New Roman"/>
                  <w:sz w:val="20"/>
                </w:rPr>
                <w:t>Background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179</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7">
              <w:r>
                <w:rPr>
                  <w:rStyle w:val="InternetLink"/>
                  <w:rFonts w:ascii="Times New Roman" w:hAnsi="Times New Roman"/>
                  <w:sz w:val="20"/>
                </w:rPr>
                <w:t>AVROBIO’s Reasons for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8">
              <w:r>
                <w:rPr>
                  <w:rStyle w:val="InternetLink"/>
                  <w:rFonts w:ascii="Times New Roman" w:hAnsi="Times New Roman"/>
                  <w:sz w:val="20"/>
                </w:rPr>
                <w:t>Opinion of Houlihan Lokey to the AVROBIO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208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9">
              <w:r>
                <w:rPr>
                  <w:rStyle w:val="InternetLink"/>
                  <w:rFonts w:ascii="Times New Roman" w:hAnsi="Times New Roman"/>
                  <w:sz w:val="20"/>
                </w:rPr>
                <w:t>Interests of AVROBIO’s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49a">
              <w:r>
                <w:rPr>
                  <w:rStyle w:val="InternetLink"/>
                  <w:rFonts w:ascii="Times New Roman" w:hAnsi="Times New Roman"/>
                  <w:sz w:val="20"/>
                </w:rPr>
                <w:t>Interests of Tectonic’s Directors and Executive Officers in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227</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0">
              <w:r>
                <w:rPr>
                  <w:rStyle w:val="InternetLink"/>
                  <w:rFonts w:ascii="Times New Roman" w:hAnsi="Times New Roman"/>
                  <w:sz w:val="20"/>
                </w:rPr>
                <w:t>Form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1">
              <w:r>
                <w:rPr>
                  <w:rStyle w:val="InternetLink"/>
                  <w:rFonts w:ascii="Times New Roman" w:hAnsi="Times New Roman"/>
                  <w:sz w:val="20"/>
                </w:rPr>
                <w:t>Merger Consideration and Adjustment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2">
              <w:r>
                <w:rPr>
                  <w:rStyle w:val="InternetLink"/>
                  <w:rFonts w:ascii="Times New Roman" w:hAnsi="Times New Roman"/>
                  <w:sz w:val="20"/>
                </w:rPr>
                <w:t>Calculation of AVROBIO’s Net Cash</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228</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3">
              <w:r>
                <w:rPr>
                  <w:rStyle w:val="InternetLink"/>
                  <w:rFonts w:ascii="Times New Roman" w:hAnsi="Times New Roman"/>
                  <w:sz w:val="20"/>
                </w:rPr>
                <w:t>Procedures for Exchanging Stock Certificates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230</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4">
              <w:r>
                <w:rPr>
                  <w:rStyle w:val="InternetLink"/>
                  <w:rFonts w:ascii="Times New Roman" w:hAnsi="Times New Roman"/>
                  <w:sz w:val="20"/>
                </w:rPr>
                <w:t>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5">
              <w:r>
                <w:rPr>
                  <w:rStyle w:val="InternetLink"/>
                  <w:rFonts w:ascii="Times New Roman" w:hAnsi="Times New Roman"/>
                  <w:sz w:val="20"/>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6">
              <w:r>
                <w:rPr>
                  <w:rStyle w:val="InternetLink"/>
                  <w:rFonts w:ascii="Times New Roman" w:hAnsi="Times New Roman"/>
                  <w:sz w:val="20"/>
                </w:rPr>
                <w:t>Material U.S. Federal Income Tax Consequences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7">
              <w:r>
                <w:rPr>
                  <w:rStyle w:val="InternetLink"/>
                  <w:rFonts w:ascii="Times New Roman" w:hAnsi="Times New Roman"/>
                  <w:sz w:val="20"/>
                </w:rPr>
                <w:t>Nasdaq Stock Market 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234</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8">
              <w:r>
                <w:rPr>
                  <w:rStyle w:val="InternetLink"/>
                  <w:rFonts w:ascii="Times New Roman" w:hAnsi="Times New Roman"/>
                  <w:sz w:val="20"/>
                </w:rPr>
                <w:t>Anticipated Accounting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r>
        <w:trPr/>
        <w:tc>
          <w:tcPr>
            <w:tcW w:w="5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pPr>
            <w:r>
              <w:rPr/>
              <w:t> </w:t>
            </w:r>
          </w:p>
        </w:tc>
        <w:tc>
          <w:tcPr>
            <w:tcW w:w="7969" w:type="dxa"/>
            <w:tcBorders/>
            <w:vAlign w:val="center"/>
          </w:tcPr>
          <w:p>
            <w:pPr>
              <w:pStyle w:val="TableContents"/>
              <w:bidi w:val="0"/>
              <w:spacing w:before="0" w:after="0"/>
              <w:jc w:val="left"/>
              <w:rPr/>
            </w:pPr>
            <w:hyperlink w:anchor="toc770053_59">
              <w:r>
                <w:rPr>
                  <w:rStyle w:val="InternetLink"/>
                  <w:rFonts w:ascii="Times New Roman" w:hAnsi="Times New Roman"/>
                  <w:sz w:val="20"/>
                </w:rPr>
                <w:t>Appraisal Rights and Dissenters’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1"/>
        <w:gridCol w:w="99"/>
        <w:gridCol w:w="9409"/>
        <w:gridCol w:w="120"/>
        <w:gridCol w:w="60"/>
        <w:gridCol w:w="380"/>
        <w:gridCol w:w="76"/>
      </w:tblGrid>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4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69" w:type="dxa"/>
            <w:gridSpan w:val="3"/>
            <w:tcBorders/>
            <w:vAlign w:val="center"/>
          </w:tcPr>
          <w:p>
            <w:pPr>
              <w:pStyle w:val="TableContents"/>
              <w:bidi w:val="0"/>
              <w:spacing w:before="0" w:after="283"/>
              <w:jc w:val="left"/>
              <w:rPr/>
            </w:pPr>
            <w:hyperlink w:anchor="toc770053_60">
              <w:r>
                <w:rPr>
                  <w:rStyle w:val="InternetLink"/>
                </w:rPr>
                <w:t xml:space="preserve">THE MERGER AGREEMENT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1">
              <w:r>
                <w:rPr>
                  <w:rStyle w:val="InternetLink"/>
                  <w:rFonts w:ascii="Times New Roman" w:hAnsi="Times New Roman"/>
                  <w:sz w:val="20"/>
                </w:rPr>
                <w:t>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2">
              <w:r>
                <w:rPr>
                  <w:rStyle w:val="InternetLink"/>
                  <w:rFonts w:ascii="Times New Roman" w:hAnsi="Times New Roman"/>
                  <w:sz w:val="20"/>
                </w:rPr>
                <w:t>Completion and Effectiveness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3">
              <w:r>
                <w:rPr>
                  <w:rStyle w:val="InternetLink"/>
                  <w:rFonts w:ascii="Times New Roman" w:hAnsi="Times New Roman"/>
                  <w:sz w:val="20"/>
                </w:rPr>
                <w:t>Merger Consideration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239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4">
              <w:r>
                <w:rPr>
                  <w:rStyle w:val="InternetLink"/>
                  <w:rFonts w:ascii="Times New Roman" w:hAnsi="Times New Roman"/>
                  <w:sz w:val="20"/>
                </w:rPr>
                <w:t>Exchange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240</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5">
              <w:r>
                <w:rPr>
                  <w:rStyle w:val="InternetLink"/>
                  <w:rFonts w:ascii="Times New Roman" w:hAnsi="Times New Roman"/>
                  <w:sz w:val="20"/>
                </w:rPr>
                <w:t>Calculation of AVROBIO’s Net Cash</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242</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6">
              <w:r>
                <w:rPr>
                  <w:rStyle w:val="InternetLink"/>
                  <w:rFonts w:ascii="Times New Roman" w:hAnsi="Times New Roman"/>
                  <w:sz w:val="20"/>
                </w:rPr>
                <w:t>Treatment of Tectonic Options and the Tectonic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243</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7">
              <w:r>
                <w:rPr>
                  <w:rStyle w:val="InternetLink"/>
                  <w:rFonts w:ascii="Times New Roman" w:hAnsi="Times New Roman"/>
                  <w:sz w:val="20"/>
                </w:rPr>
                <w:t>Treatment of AVROBIO Common Stock, AVROBIO Options and AVROBIO RSUs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8">
              <w:r>
                <w:rPr>
                  <w:rStyle w:val="InternetLink"/>
                  <w:rFonts w:ascii="Times New Roman" w:hAnsi="Times New Roman"/>
                  <w:sz w:val="20"/>
                </w:rPr>
                <w:t>Procedures for Exchanging Tectonic Stock Certificates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69">
              <w:r>
                <w:rPr>
                  <w:rStyle w:val="InternetLink"/>
                  <w:rFonts w:ascii="Times New Roman" w:hAnsi="Times New Roman"/>
                  <w:sz w:val="20"/>
                </w:rPr>
                <w:t>Amendment of the Amended and Restated Certificate of Incorporation of AVROBIO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245</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0">
              <w:r>
                <w:rPr>
                  <w:rStyle w:val="InternetLink"/>
                  <w:rFonts w:ascii="Times New Roman" w:hAnsi="Times New Roman"/>
                  <w:sz w:val="20"/>
                </w:rPr>
                <w:t>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246</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1">
              <w:r>
                <w:rPr>
                  <w:rStyle w:val="InternetLink"/>
                  <w:rFonts w:ascii="Times New Roman" w:hAnsi="Times New Roman"/>
                  <w:sz w:val="20"/>
                </w:rPr>
                <w:t>Covenants; Conduct of Business Pending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247</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2">
              <w:r>
                <w:rPr>
                  <w:rStyle w:val="InternetLink"/>
                  <w:rFonts w:ascii="Times New Roman" w:hAnsi="Times New Roman"/>
                  <w:sz w:val="20"/>
                </w:rPr>
                <w:t>CVRs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250</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3">
              <w:r>
                <w:rPr>
                  <w:rStyle w:val="InternetLink"/>
                  <w:rFonts w:ascii="Times New Roman" w:hAnsi="Times New Roman"/>
                  <w:sz w:val="20"/>
                </w:rPr>
                <w:t>Non-Solicitation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250</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4">
              <w:r>
                <w:rPr>
                  <w:rStyle w:val="InternetLink"/>
                  <w:rFonts w:ascii="Times New Roman" w:hAnsi="Times New Roman"/>
                  <w:sz w:val="20"/>
                </w:rPr>
                <w:t>Board Recommendation Change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252</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5">
              <w:r>
                <w:rPr>
                  <w:rStyle w:val="InternetLink"/>
                  <w:rFonts w:ascii="Times New Roman" w:hAnsi="Times New Roman"/>
                  <w:sz w:val="20"/>
                </w:rPr>
                <w:t>Required Stockholder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6">
              <w:r>
                <w:rPr>
                  <w:rStyle w:val="InternetLink"/>
                  <w:rFonts w:ascii="Times New Roman" w:hAnsi="Times New Roman"/>
                  <w:sz w:val="20"/>
                </w:rPr>
                <w:t>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7">
              <w:r>
                <w:rPr>
                  <w:rStyle w:val="InternetLink"/>
                  <w:rFonts w:ascii="Times New Roman" w:hAnsi="Times New Roman"/>
                  <w:sz w:val="20"/>
                </w:rPr>
                <w:t>Indemnification and Insurance for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8">
              <w:r>
                <w:rPr>
                  <w:rStyle w:val="InternetLink"/>
                  <w:rFonts w:ascii="Times New Roman" w:hAnsi="Times New Roman"/>
                  <w:sz w:val="20"/>
                </w:rPr>
                <w:t>Additional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255</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79">
              <w:r>
                <w:rPr>
                  <w:rStyle w:val="InternetLink"/>
                  <w:rFonts w:ascii="Times New Roman" w:hAnsi="Times New Roman"/>
                  <w:sz w:val="20"/>
                </w:rPr>
                <w:t>Conditions to the Completion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256</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0">
              <w:r>
                <w:rPr>
                  <w:rStyle w:val="InternetLink"/>
                  <w:rFonts w:ascii="Times New Roman" w:hAnsi="Times New Roman"/>
                  <w:sz w:val="20"/>
                </w:rPr>
                <w:t>Termination and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259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1">
              <w:r>
                <w:rPr>
                  <w:rStyle w:val="InternetLink"/>
                  <w:rFonts w:ascii="Times New Roman" w:hAnsi="Times New Roman"/>
                  <w:sz w:val="20"/>
                </w:rPr>
                <w:t>Amendment and 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261</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2">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262</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83">
              <w:r>
                <w:rPr>
                  <w:rStyle w:val="InternetLink"/>
                </w:rPr>
                <w:t xml:space="preserve">AGREEMENTS RELATED TO 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263</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4">
              <w:r>
                <w:rPr>
                  <w:rStyle w:val="InternetLink"/>
                  <w:rFonts w:ascii="Times New Roman" w:hAnsi="Times New Roman"/>
                  <w:sz w:val="20"/>
                </w:rPr>
                <w:t>Support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263</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5">
              <w:r>
                <w:rPr>
                  <w:rStyle w:val="InternetLink"/>
                  <w:rFonts w:ascii="Times New Roman" w:hAnsi="Times New Roman"/>
                  <w:sz w:val="20"/>
                </w:rPr>
                <w:t>Lock-Up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6">
              <w:r>
                <w:rPr>
                  <w:rStyle w:val="InternetLink"/>
                  <w:rFonts w:ascii="Times New Roman" w:hAnsi="Times New Roman"/>
                  <w:sz w:val="20"/>
                </w:rPr>
                <w:t>Subscription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264</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87">
              <w:r>
                <w:rPr>
                  <w:rStyle w:val="InternetLink"/>
                  <w:rFonts w:ascii="Times New Roman" w:hAnsi="Times New Roman"/>
                  <w:sz w:val="20"/>
                </w:rPr>
                <w:t>CVR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266</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88">
              <w:r>
                <w:rPr>
                  <w:rStyle w:val="InternetLink"/>
                </w:rPr>
                <w:t xml:space="preserve">AVROBIO DIRECTORS, OFFICERS AND CORPORATE GOVERNANCE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273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96">
              <w:r>
                <w:rPr>
                  <w:rStyle w:val="InternetLink"/>
                </w:rPr>
                <w:t xml:space="preserve">AVROBIO EXECUTIVE COMPENSATION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284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98">
              <w:r>
                <w:rPr>
                  <w:rStyle w:val="InternetLink"/>
                </w:rPr>
                <w:t>AVROBIO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294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99">
              <w:r>
                <w:rPr>
                  <w:rStyle w:val="InternetLink"/>
                </w:rPr>
                <w:t>AVROBIO 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296</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00">
              <w:r>
                <w:rPr>
                  <w:rStyle w:val="InternetLink"/>
                </w:rPr>
                <w:t>TECTONIC EXECUTIVE AND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297</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08">
              <w:r>
                <w:rPr>
                  <w:rStyle w:val="InternetLink"/>
                </w:rPr>
                <w:t xml:space="preserve">MATTERS BEING SUBMITTED TO A VOTE OF AVROBIO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307</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09">
              <w:r>
                <w:rPr>
                  <w:rStyle w:val="InternetLink"/>
                  <w:rFonts w:ascii="Times New Roman" w:hAnsi="Times New Roman"/>
                  <w:sz w:val="20"/>
                </w:rPr>
                <w:t>PROPOSAL NO. 1—THE NASDAQ STOCK ISSUANCE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307</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0">
              <w:r>
                <w:rPr>
                  <w:rStyle w:val="InternetLink"/>
                  <w:rFonts w:ascii="Times New Roman" w:hAnsi="Times New Roman"/>
                  <w:sz w:val="20"/>
                </w:rPr>
                <w:t>PROPOSAL NO. 2—THE REVERSE STOCK SPLIT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309</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1">
              <w:r>
                <w:rPr>
                  <w:rStyle w:val="InternetLink"/>
                  <w:rFonts w:ascii="Times New Roman" w:hAnsi="Times New Roman"/>
                  <w:sz w:val="20"/>
                </w:rPr>
                <w:t>PROPOSAL NO. 3—THE OFFICER EXCULPATION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316</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2">
              <w:r>
                <w:rPr>
                  <w:rStyle w:val="InternetLink"/>
                  <w:rFonts w:ascii="Times New Roman" w:hAnsi="Times New Roman"/>
                  <w:sz w:val="20"/>
                </w:rPr>
                <w:t>PROPOSAL NO. 4—THE INCENTIVE PLAN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318</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3">
              <w:r>
                <w:rPr>
                  <w:rStyle w:val="InternetLink"/>
                  <w:rFonts w:ascii="Times New Roman" w:hAnsi="Times New Roman"/>
                  <w:sz w:val="20"/>
                </w:rPr>
                <w:t>PROPOSAL NO. 5—THE ESPP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328</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4">
              <w:r>
                <w:rPr>
                  <w:rStyle w:val="InternetLink"/>
                  <w:rFonts w:ascii="Times New Roman" w:hAnsi="Times New Roman"/>
                  <w:sz w:val="20"/>
                </w:rPr>
                <w:t>PROPOSAL NO. 6—EXECUTIVE COMPENSATION ARRANGEMENTS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332</w:t>
            </w:r>
          </w:p>
        </w:tc>
        <w:tc>
          <w:tcPr>
            <w:tcW w:w="76" w:type="dxa"/>
            <w:tcBorders/>
            <w:vAlign w:val="center"/>
          </w:tcPr>
          <w:p>
            <w:pPr>
              <w:pStyle w:val="TableContents"/>
              <w:bidi w:val="0"/>
              <w:spacing w:before="0" w:after="283"/>
              <w:jc w:val="left"/>
              <w:rPr/>
            </w:pPr>
            <w:r>
              <w:rPr/>
              <w:t> </w:t>
            </w:r>
          </w:p>
        </w:tc>
      </w:tr>
      <w:tr>
        <w:trPr/>
        <w:tc>
          <w:tcPr>
            <w:tcW w:w="61"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0"/>
              <w:jc w:val="left"/>
              <w:rPr/>
            </w:pPr>
            <w:hyperlink w:anchor="toc770053_115">
              <w:r>
                <w:rPr>
                  <w:rStyle w:val="InternetLink"/>
                  <w:rFonts w:ascii="Times New Roman" w:hAnsi="Times New Roman"/>
                  <w:sz w:val="20"/>
                </w:rPr>
                <w:t>PROPOSAL NO. 7—THE ADJOURNMENT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333</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16">
              <w:r>
                <w:rPr>
                  <w:rStyle w:val="InternetLink"/>
                </w:rPr>
                <w:t xml:space="preserve">AVROBIO’S BUSINESS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27">
              <w:r>
                <w:rPr>
                  <w:rStyle w:val="InternetLink"/>
                </w:rPr>
                <w:t xml:space="preserve">TECTONIC’S BUSINESS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358</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53">
              <w:r>
                <w:rPr>
                  <w:rStyle w:val="InternetLink"/>
                </w:rPr>
                <w:t xml:space="preserve">AVROBIO’S MANAGEMENT’S DISCUSSION AND ANALYSIS OF FINANCIAL CONDITION AND RESULTS OF OPERATIONS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397</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60">
              <w:r>
                <w:rPr>
                  <w:rStyle w:val="InternetLink"/>
                </w:rPr>
                <w:t xml:space="preserve">TECTONIC MANAGEMENT’S DISCUSSION AND ANALYSIS OF FINANCIAL CONDITION AND RESULTS OF OPERATIONS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410</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70">
              <w:r>
                <w:rPr>
                  <w:rStyle w:val="InternetLink"/>
                </w:rPr>
                <w:t xml:space="preserve">MANAGEMENT FOLLOWING THE MERGER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427</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77">
              <w:r>
                <w:rPr>
                  <w:rStyle w:val="InternetLink"/>
                </w:rPr>
                <w:t xml:space="preserve">CERTAIN RELATIONSHIPS AND RELATED PARTY TRANSACTIONS OF THE COMBINED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434</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80">
              <w:r>
                <w:rPr>
                  <w:rStyle w:val="InternetLink"/>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440</w:t>
            </w:r>
          </w:p>
        </w:tc>
        <w:tc>
          <w:tcPr>
            <w:tcW w:w="76" w:type="dxa"/>
            <w:tcBorders/>
            <w:vAlign w:val="center"/>
          </w:tcPr>
          <w:p>
            <w:pPr>
              <w:pStyle w:val="TableContents"/>
              <w:bidi w:val="0"/>
              <w:spacing w:before="0" w:after="283"/>
              <w:jc w:val="left"/>
              <w:rPr/>
            </w:pPr>
            <w:r>
              <w:rPr/>
              <w:t> </w:t>
            </w:r>
          </w:p>
        </w:tc>
      </w:tr>
      <w:tr>
        <w:trPr/>
        <w:tc>
          <w:tcPr>
            <w:tcW w:w="9569" w:type="dxa"/>
            <w:gridSpan w:val="3"/>
            <w:tcBorders/>
            <w:vAlign w:val="center"/>
          </w:tcPr>
          <w:p>
            <w:pPr>
              <w:pStyle w:val="TableContents"/>
              <w:bidi w:val="0"/>
              <w:spacing w:before="0" w:after="283"/>
              <w:jc w:val="left"/>
              <w:rPr/>
            </w:pPr>
            <w:hyperlink w:anchor="toc770053_181">
              <w:r>
                <w:rPr>
                  <w:rStyle w:val="InternetLink"/>
                </w:rPr>
                <w:t>NOTES TO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444</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371"/>
        <w:gridCol w:w="2588"/>
        <w:gridCol w:w="2598"/>
        <w:gridCol w:w="120"/>
        <w:gridCol w:w="60"/>
        <w:gridCol w:w="391"/>
        <w:gridCol w:w="77"/>
      </w:tblGrid>
      <w:tr>
        <w:trPr/>
        <w:tc>
          <w:tcPr>
            <w:tcW w:w="437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557" w:type="dxa"/>
            <w:gridSpan w:val="3"/>
            <w:tcBorders/>
            <w:vAlign w:val="center"/>
          </w:tcPr>
          <w:p>
            <w:pPr>
              <w:pStyle w:val="TableContents"/>
              <w:bidi w:val="0"/>
              <w:spacing w:before="0" w:after="283"/>
              <w:jc w:val="left"/>
              <w:rPr/>
            </w:pPr>
            <w:hyperlink w:anchor="toc770053_182">
              <w:r>
                <w:rPr>
                  <w:rStyle w:val="InternetLink"/>
                </w:rPr>
                <w:t>DESCRIPTION OF AVROBIO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453</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2a">
              <w:r>
                <w:rPr>
                  <w:rStyle w:val="InternetLink"/>
                </w:rPr>
                <w:t>SECURITIES ACT RESTRICTIONS ON RESALE OF AVROBIO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456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7">
              <w:r>
                <w:rPr>
                  <w:rStyle w:val="InternetLink"/>
                </w:rPr>
                <w:t xml:space="preserve">COMPARISON OF RIGHTS OF HOLDERS OF AVROBIO CAPITAL STOCK AND TECTONIC CAPITAL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457</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8">
              <w:r>
                <w:rPr>
                  <w:rStyle w:val="InternetLink"/>
                </w:rPr>
                <w:t xml:space="preserve">PRINCIPAL AVROBIO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467</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89">
              <w:r>
                <w:rPr>
                  <w:rStyle w:val="InternetLink"/>
                </w:rPr>
                <w:t xml:space="preserve">PRINCIPAL TECTONIC STOCKHOLDERS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469</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0">
              <w:r>
                <w:rPr>
                  <w:rStyle w:val="InternetLink"/>
                </w:rPr>
                <w:t xml:space="preserve">PRINCIPAL STOCKHOLDERS OF THE COMBINED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472</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1">
              <w:r>
                <w:rPr>
                  <w:rStyle w:val="InternetLink"/>
                </w:rPr>
                <w:t xml:space="preserve">LEGAL MATTERS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2">
              <w:r>
                <w:rPr>
                  <w:rStyle w:val="InternetLink"/>
                </w:rPr>
                <w:t xml:space="preserve">EXPERTS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3">
              <w:r>
                <w:rPr>
                  <w:rStyle w:val="InternetLink"/>
                </w:rPr>
                <w:t xml:space="preserve">WHERE YOU CAN FIND MORE INFORMATION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476</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4">
              <w:r>
                <w:rPr>
                  <w:rStyle w:val="InternetLink"/>
                </w:rPr>
                <w:t xml:space="preserve">STOCKHOLDER PROPOSALS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478</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283"/>
              <w:jc w:val="left"/>
              <w:rPr/>
            </w:pPr>
            <w:hyperlink w:anchor="toc770053_198">
              <w:r>
                <w:rPr>
                  <w:rStyle w:val="InternetLink"/>
                </w:rPr>
                <w:t xml:space="preserve">INDEX TO CONSOLIDATED FINANCIAL STATEMENTS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F-1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1">
              <w:r>
                <w:rPr>
                  <w:rStyle w:val="InternetLink"/>
                  <w:rFonts w:ascii="Times New Roman" w:hAnsi="Times New Roman"/>
                  <w:sz w:val="20"/>
                </w:rPr>
                <w:t>ANNEX A AGREEMENT AND PLAN OF MERGER AND REORGANIZATION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A-1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2">
              <w:r>
                <w:rPr>
                  <w:rStyle w:val="InternetLink"/>
                  <w:rFonts w:ascii="Times New Roman" w:hAnsi="Times New Roman"/>
                  <w:sz w:val="20"/>
                </w:rPr>
                <w:t>ANNEX B OPINION OF HOULIHAN LOKEY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B-1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3">
              <w:r>
                <w:rPr>
                  <w:rStyle w:val="InternetLink"/>
                  <w:rFonts w:ascii="Times New Roman" w:hAnsi="Times New Roman"/>
                  <w:sz w:val="20"/>
                </w:rPr>
                <w:t>ANNEX C FORM OF AVROBIO SUPPORT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C-1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4">
              <w:r>
                <w:rPr>
                  <w:rStyle w:val="InternetLink"/>
                  <w:rFonts w:ascii="Times New Roman" w:hAnsi="Times New Roman"/>
                  <w:sz w:val="20"/>
                </w:rPr>
                <w:t>ANNEX D FORM OF TECTONIC SUPPORT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D-1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5">
              <w:r>
                <w:rPr>
                  <w:rStyle w:val="InternetLink"/>
                  <w:rFonts w:ascii="Times New Roman" w:hAnsi="Times New Roman"/>
                  <w:sz w:val="20"/>
                </w:rPr>
                <w:t>ANNEX E FORM OF LOCK-UP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E-1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6">
              <w:r>
                <w:rPr>
                  <w:rStyle w:val="InternetLink"/>
                  <w:rFonts w:ascii="Times New Roman" w:hAnsi="Times New Roman"/>
                  <w:sz w:val="20"/>
                </w:rPr>
                <w:t>ANNEX F FORM OF CVR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F-1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7">
              <w:r>
                <w:rPr>
                  <w:rStyle w:val="InternetLink"/>
                  <w:rFonts w:ascii="Times New Roman" w:hAnsi="Times New Roman"/>
                  <w:sz w:val="20"/>
                </w:rPr>
                <w:t xml:space="preserve">ANNEX G FORM OF AVROBIO CERTIFICATE OF AMENDMENT FOR THE REVERSE STOCK SPLIT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G-1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8">
              <w:r>
                <w:rPr>
                  <w:rStyle w:val="InternetLink"/>
                  <w:rFonts w:ascii="Times New Roman" w:hAnsi="Times New Roman"/>
                  <w:sz w:val="20"/>
                </w:rPr>
                <w:t>ANNEX H FORM OF AVROBIO CERTIFICATE OF AMENDMENT FOR OFFICER EXCULPATION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H-1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09">
              <w:r>
                <w:rPr>
                  <w:rStyle w:val="InternetLink"/>
                  <w:rFonts w:ascii="Times New Roman" w:hAnsi="Times New Roman"/>
                  <w:sz w:val="20"/>
                </w:rPr>
                <w:t>ANNEX I FORM OF 2024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I-1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10">
              <w:r>
                <w:rPr>
                  <w:rStyle w:val="InternetLink"/>
                  <w:rFonts w:ascii="Times New Roman" w:hAnsi="Times New Roman"/>
                  <w:sz w:val="20"/>
                </w:rPr>
                <w:t>ANNEX J FORM OF 2024 ESPP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J-1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11">
              <w:r>
                <w:rPr>
                  <w:rStyle w:val="InternetLink"/>
                  <w:rFonts w:ascii="Times New Roman" w:hAnsi="Times New Roman"/>
                  <w:sz w:val="20"/>
                </w:rPr>
                <w:t>ANNEX K SECTION 262 OF THE DELAWARE GENERAL CORPORATION LAW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K-1</w:t>
            </w:r>
          </w:p>
        </w:tc>
        <w:tc>
          <w:tcPr>
            <w:tcW w:w="77" w:type="dxa"/>
            <w:tcBorders/>
            <w:vAlign w:val="center"/>
          </w:tcPr>
          <w:p>
            <w:pPr>
              <w:pStyle w:val="TableContents"/>
              <w:bidi w:val="0"/>
              <w:spacing w:before="0" w:after="283"/>
              <w:jc w:val="left"/>
              <w:rPr/>
            </w:pPr>
            <w:r>
              <w:rPr/>
              <w:t> </w:t>
            </w:r>
          </w:p>
        </w:tc>
      </w:tr>
      <w:tr>
        <w:trPr/>
        <w:tc>
          <w:tcPr>
            <w:tcW w:w="9557" w:type="dxa"/>
            <w:gridSpan w:val="3"/>
            <w:tcBorders/>
            <w:vAlign w:val="center"/>
          </w:tcPr>
          <w:p>
            <w:pPr>
              <w:pStyle w:val="TableContents"/>
              <w:bidi w:val="0"/>
              <w:spacing w:before="0" w:after="0"/>
              <w:jc w:val="left"/>
              <w:rPr/>
            </w:pPr>
            <w:hyperlink w:anchor="toc770053_212">
              <w:r>
                <w:rPr>
                  <w:rStyle w:val="InternetLink"/>
                  <w:rFonts w:ascii="Times New Roman" w:hAnsi="Times New Roman"/>
                  <w:sz w:val="20"/>
                </w:rPr>
                <w:t xml:space="preserve">ANNEX L FORM OF AVROBIO, INC. PROXY CARD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L-1</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770053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sz w:val="20"/>
        </w:rPr>
      </w:pPr>
      <w:r>
        <w:rPr>
          <w:rFonts w:ascii="Times New Roman" w:hAnsi="Times New Roman"/>
          <w:i/>
          <w:sz w:val="20"/>
        </w:rPr>
        <w:t>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rPr>
        <w:t> </w:t>
      </w:r>
      <w:r>
        <w:rPr>
          <w:rFonts w:ascii="Times New Roman" w:hAnsi="Times New Roman"/>
          <w:i/>
          <w:sz w:val="20"/>
        </w:rPr>
        <w:t>2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b/>
              </w:rPr>
            </w:pPr>
            <w:r>
              <w:rPr>
                <w:b/>
              </w:rPr>
              <w:t>Q:</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30, 2024, AVROBIO, Tectonic and Merger Sub entered into the Merger Agreement, a copy of which is attached as </w:t>
            </w:r>
            <w:r>
              <w:rPr>
                <w:rFonts w:ascii="Times New Roman" w:hAnsi="Times New Roman"/>
                <w:sz w:val="20"/>
                <w:u w:val="single"/>
              </w:rPr>
              <w:t>Annex A</w:t>
            </w:r>
            <w:r>
              <w:rPr>
                <w:rFonts w:ascii="Times New Roman" w:hAnsi="Times New Roman"/>
                <w:sz w:val="20"/>
              </w:rPr>
              <w:t xml:space="preserve">. The Merger Agreement contains the terms and conditions of the proposed merger. Pursuant to the Merger Agreement, Merger Sub will merge with and into Tectonic, with Tectonic surviving as a wholly owned subsidiary of AVROBIO. After the completion of the merger, AVROBIO will change its corporate name to “Tectonic Therapeutic, Inc.” </w:t>
            </w:r>
          </w:p>
        </w:tc>
      </w:tr>
    </w:tbl>
    <w:p>
      <w:pPr>
        <w:pStyle w:val="TextBody"/>
        <w:bidi w:val="0"/>
        <w:spacing w:before="120" w:after="0"/>
        <w:jc w:val="left"/>
        <w:rPr>
          <w:rFonts w:ascii="Times New Roman" w:hAnsi="Times New Roman"/>
          <w:sz w:val="20"/>
        </w:rPr>
      </w:pPr>
      <w:r>
        <w:rPr>
          <w:rFonts w:ascii="Times New Roman" w:hAnsi="Times New Roman"/>
          <w:sz w:val="20"/>
        </w:rPr>
        <w:t>At the effective time, each share of Tectonic common stock, after giving effect to the conversion of each share of Tectonic preferred stock into Tectonic common stock as well as the issuance of the private financing shares and of the Company SAFEs, will be converted into the right to receive a number of shares of AVROBIO common stock equal to the exchange ratio described in more detail in the section titled “</w:t>
      </w:r>
      <w:r>
        <w:rPr>
          <w:rFonts w:ascii="Times New Roman" w:hAnsi="Times New Roman"/>
          <w:i/>
          <w:sz w:val="20"/>
        </w:rPr>
        <w:t>The Merger Agreement—Exchange Ratio</w:t>
      </w:r>
      <w:r>
        <w:rPr>
          <w:rFonts w:ascii="Times New Roman" w:hAnsi="Times New Roman"/>
          <w:sz w:val="20"/>
        </w:rPr>
        <w:t xml:space="preserve">” beginning on page 240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AVROBIO will assume Tectonic’s Equity Incentive Plan, as amended (the “Tectonic Equity Incentive Plan”). Each outstanding and unexercised option to purchase shares of Tectonic common stock immediately prior to the effective time will be assumed by AVROBIO and will be converted into an option to purchase shares of AVROBIO common stock, with necessary adjustments to the number of shares and exercise price to reflect the exchange ratio. </w:t>
      </w:r>
    </w:p>
    <w:p>
      <w:pPr>
        <w:pStyle w:val="TextBody"/>
        <w:bidi w:val="0"/>
        <w:spacing w:before="120" w:after="0"/>
        <w:jc w:val="left"/>
        <w:rPr>
          <w:rFonts w:ascii="Times New Roman" w:hAnsi="Times New Roman"/>
          <w:sz w:val="20"/>
        </w:rPr>
      </w:pPr>
      <w:r>
        <w:rPr>
          <w:rFonts w:ascii="Times New Roman" w:hAnsi="Times New Roman"/>
          <w:sz w:val="20"/>
        </w:rPr>
        <w:t xml:space="preserve">Each share of AVROBIO common stock that is issued and outstanding at the effective time will remain issued and outstanding subject to the proposed reverse stock split and any extension to the expiration time provided for in connection with the merger, will be unaffected by the merger. </w:t>
      </w:r>
    </w:p>
    <w:p>
      <w:pPr>
        <w:pStyle w:val="TextBody"/>
        <w:bidi w:val="0"/>
        <w:spacing w:before="120" w:after="0"/>
        <w:jc w:val="left"/>
        <w:rPr>
          <w:rFonts w:ascii="Times New Roman" w:hAnsi="Times New Roman"/>
          <w:sz w:val="20"/>
        </w:rPr>
      </w:pPr>
      <w:r>
        <w:rPr>
          <w:rFonts w:ascii="Times New Roman" w:hAnsi="Times New Roman"/>
          <w:sz w:val="20"/>
        </w:rPr>
        <w:t xml:space="preserve">Further, the Merger Agreement provides that (i) the vesting and exercisability of each unexpired, unexercised and unvested “in the money” AVROBIO option outstanding as of immediately prior to the effective time and (A) is held by a current AVROBIO employee, director or consultant as of the date of the Merger Agreement will be accelerated in full effective as of immediately prior to the effective time and (B) each “in the money” AVROBIO option that is unexpired, unexercised, and outstanding as of immediately prior to the effective time and is held by a current AVROBIO employee director or consultant as of the date of the Merger Agreement who is or will be party to a lock-up agreement will remain outstanding and exercisable until six months after the expiration of the applicable “restricted period” and (ii) the vesting and exercisability of 50% of certain unexpired, unexercised and unvested AVROBIO options that remain outstanding as of immediately prior to the effective time (A) that is held by a current AVROBIO employee, director, or consultant as of the date of the Merger Agreement will be accelerated in full effective as of immediately prior to the effective time and (B) each such option held by such person who is or will be party to a lock-up agreement will remain outstanding and exercisable until six months after the expiration of the applicable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$65.0 million in AVROBIO’s net cash as of closing. While Tectonic will assume AVROBIO’s product candidates and related intellectual property rights as part of the merger, the combined company will focus on developing Tectonic’s product candidates and at the present time, it is anticipated that the combined company will not continue to develop AVROBIO’s legacy product candidates.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90"/>
        <w:gridCol w:w="4205"/>
      </w:tblGrid>
      <w:tr>
        <w:trPr/>
        <w:tc>
          <w:tcPr>
            <w:tcW w:w="290" w:type="dxa"/>
            <w:tcBorders/>
            <w:vAlign w:val="center"/>
          </w:tcPr>
          <w:p>
            <w:pPr>
              <w:pStyle w:val="TableContents"/>
              <w:bidi w:val="0"/>
              <w:spacing w:before="0" w:after="283"/>
              <w:jc w:val="left"/>
              <w:rPr>
                <w:b/>
              </w:rPr>
            </w:pPr>
            <w:r>
              <w:rPr>
                <w:b/>
              </w:rPr>
              <w:t>Q:</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 and Tectonic believe that combining the two companies will result in a company with a promising pipeline, a strong leadership team and capital resources, positioning it to become a company focusing on transforming the discovery of antibodies and other biologic drugs targeting G-protein coupled receptors (“GPCRs”) to develop novel therapies for patients inadequately served by current treatments. For a more complete description of the reasons for the merger, please see the sections titled “</w:t>
            </w:r>
            <w:r>
              <w:rPr>
                <w:rFonts w:ascii="Times New Roman" w:hAnsi="Times New Roman"/>
                <w:i/>
                <w:sz w:val="20"/>
              </w:rPr>
              <w:t>The Merger—AVROBIO’s Reasons for the Merger</w:t>
            </w:r>
            <w:r>
              <w:rPr>
                <w:rFonts w:ascii="Times New Roman" w:hAnsi="Times New Roman"/>
                <w:sz w:val="20"/>
              </w:rPr>
              <w:t>” and “</w:t>
            </w:r>
            <w:r>
              <w:rPr>
                <w:rFonts w:ascii="Times New Roman" w:hAnsi="Times New Roman"/>
                <w:i/>
                <w:sz w:val="20"/>
              </w:rPr>
              <w:t>The Merger—Tectonic’s Reasons for the Merger</w:t>
            </w:r>
            <w:r>
              <w:rPr>
                <w:rFonts w:ascii="Times New Roman" w:hAnsi="Times New Roman"/>
                <w:sz w:val="20"/>
              </w:rPr>
              <w:t xml:space="preserve">” beginning on pages 197 and 200, respectively, of this proxy statement/prospectus.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290"/>
        <w:gridCol w:w="4580"/>
      </w:tblGrid>
      <w:tr>
        <w:trPr/>
        <w:tc>
          <w:tcPr>
            <w:tcW w:w="290" w:type="dxa"/>
            <w:tcBorders/>
            <w:vAlign w:val="center"/>
          </w:tcPr>
          <w:p>
            <w:pPr>
              <w:pStyle w:val="TableContents"/>
              <w:bidi w:val="0"/>
              <w:spacing w:before="0" w:after="283"/>
              <w:jc w:val="left"/>
              <w:rPr>
                <w:b/>
              </w:rPr>
            </w:pPr>
            <w:r>
              <w:rPr>
                <w:b/>
              </w:rPr>
              <w:t>Q:</w:t>
            </w:r>
          </w:p>
        </w:tc>
        <w:tc>
          <w:tcPr>
            <w:tcW w:w="4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an AVROBIO stockholder and/or a Tectonic stockholder as of the applicable record date, and you are entitled to vote to approve the matters set forth herein. This document serves as: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AVROBIO used to solicit proxies for the special meeting to vote on the matters set forth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AVROBIO used to offer shares of AVROBIO common stock in exchange for shares of Tectonic common stock (including shares of Tectonic common stock issued upon conversion of Tectonic preferred stock as well as the private financing shares and the Company SAFEs) in the merger.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290"/>
        <w:gridCol w:w="2855"/>
      </w:tblGrid>
      <w:tr>
        <w:trPr/>
        <w:tc>
          <w:tcPr>
            <w:tcW w:w="290" w:type="dxa"/>
            <w:tcBorders/>
            <w:vAlign w:val="center"/>
          </w:tcPr>
          <w:p>
            <w:pPr>
              <w:pStyle w:val="TableContents"/>
              <w:bidi w:val="0"/>
              <w:spacing w:before="0" w:after="283"/>
              <w:jc w:val="left"/>
              <w:rPr>
                <w:b/>
              </w:rPr>
            </w:pPr>
            <w:r>
              <w:rPr>
                <w:b/>
              </w:rPr>
              <w:t>Q:</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private financings?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Tectonic entered into the Subscription Agreement with certain investors named therein, pursuant to which such investors agreed to purchase shares of Tectonic common stock, at a purchase price of $12.39908 per share, and certain investors have consummated or will consummate certain additional purchases of Tectonic common stock pursuant to the conversion of the Company SAFEs entered into by such investors and Tectonic, for an aggregate purchase price among the private financings contemplated by such Subscription Agreement and such Company SAFEs of approximately $130.7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after the merger, the shares of Tectonic common stock issued in the private financings are expected to represent approximately 38.0% of the outstanding shares of capital stock of the combined company, subject to certain assumptions. The closings of the private financings are conditioned upon the satisfaction or waiver of the conditions to the closing as well as certain other conditions. As such, at the time that AVROBIO stockholders are expected to vote at the special meeting, whether the private financings will close in a timely manner or at all will not be known.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condition, there can be no assurance that AVROBIO and Tectonic will ultimately determine, in their sole discretion, not to waive this or any other condition to the merger. In the event the merger closes without receipt of the $114.5 million from the private financings, the combined company would not have the same liquidity at closing as it would have had if the condition was satisfied. Without taking into account any portion of the proceeds from the private financings, AVROBIO’s estimated cash at closing of $65.0 million to $75.0 million will permit the combined company to continue its operations, but its ability to fund its operating expenses and capital expenditure requirements into mid-2027 would be adversely affected. If the Company does not receive any portion of the $114.5 million proceeds from the private financings, the combined company would have to raise significant additional capital by issuing equity securities or through additional debt or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beginning on page 264 of this proxy statement/prospectus. For more information related to risks related to the merger and private financings, see the section titled “</w:t>
      </w:r>
      <w:r>
        <w:rPr>
          <w:rFonts w:ascii="Times New Roman" w:hAnsi="Times New Roman"/>
          <w:i/>
          <w:sz w:val="20"/>
        </w:rPr>
        <w:t>Risk Factors—Risks Related to the Merger.</w:t>
      </w:r>
      <w:r>
        <w:rPr>
          <w:rFonts w:ascii="Times New Roman" w:hAnsi="Times New Roman"/>
          <w:sz w:val="20"/>
        </w:rPr>
        <w:t xml:space="preserve">”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90"/>
        <w:gridCol w:w="7295"/>
      </w:tblGrid>
      <w:tr>
        <w:trPr/>
        <w:tc>
          <w:tcPr>
            <w:tcW w:w="290" w:type="dxa"/>
            <w:tcBorders/>
            <w:vAlign w:val="center"/>
          </w:tcPr>
          <w:p>
            <w:pPr>
              <w:pStyle w:val="TableContents"/>
              <w:bidi w:val="0"/>
              <w:spacing w:before="0" w:after="283"/>
              <w:jc w:val="left"/>
              <w:rPr>
                <w:b/>
              </w:rPr>
            </w:pPr>
            <w:r>
              <w:rPr>
                <w:b/>
              </w:rPr>
              <w:t>Q:</w:t>
            </w:r>
          </w:p>
        </w:tc>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special meeting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special meeting in order for the merger to close: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Proposal No. 1—The Nasdaq Stock Issuance Proposal </w:t>
            </w:r>
            <w:r>
              <w:rPr>
                <w:rFonts w:ascii="Times New Roman" w:hAnsi="Times New Roman"/>
                <w:sz w:val="20"/>
              </w:rPr>
              <w:t xml:space="preserve">to approve (i) the issuance of shares of AVROBIO common stock, which will represent more than 20% of the shares of AVROBIO common stock outstanding immediately prior to such transaction,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 pursuant to Nasdaq Listing Rules 5635(a) and 5635(b);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2—The Reverse Stock Split Proposal</w:t>
            </w:r>
            <w:r>
              <w:rPr>
                <w:rFonts w:ascii="Times New Roman" w:hAnsi="Times New Roman"/>
                <w:sz w:val="20"/>
              </w:rPr>
              <w:t xml:space="preserve">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AVROBIO common stock in connection with the merger and the change of control of AVROBIO resulting from the merger will not take place unless Proposal No. 1 is approved by AVROBIO stockholders and the merger is consummated. The amendment to AVROBIO’s charter to effect a reverse stock split of AVROBIO’s issued and outstanding common stock will not take place unless Proposal No. 2 is approved by the requisite AVROBIO stockholders. The AVROBIO Board may determine, following the special meeting, to effect the reverse stock split if Proposal No. 2 is approved by AVROBIO stockholders even if Proposal No. 1 is not approved by AVROBIO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addition to the requirement of obtaining AVROBIO stockholder approval of Proposal Nos. 1 and 2,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by accessing online or being represented by proxy, at the special meeting of the holders of a majority of the shares of AVROBIO common stock outstanding and entitled to vote at the special meeting is necessary to constitute a quorum at the special meeting for the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b/>
              </w:rPr>
            </w:pPr>
            <w:r>
              <w:rPr>
                <w:b/>
              </w:rPr>
              <w:t>Q:</w:t>
            </w:r>
          </w:p>
        </w:tc>
        <w:tc>
          <w:tcPr>
            <w:tcW w:w="9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special meeting, other than the Nasdaq Stock Issuance Proposal and the Reverse Stock Split Proposal?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275"/>
        <w:gridCol w:w="9695"/>
      </w:tblGrid>
      <w:tr>
        <w:trPr/>
        <w:tc>
          <w:tcPr>
            <w:tcW w:w="275" w:type="dxa"/>
            <w:tcBorders/>
            <w:vAlign w:val="center"/>
          </w:tcPr>
          <w:p>
            <w:pPr>
              <w:pStyle w:val="TableContents"/>
              <w:bidi w:val="0"/>
              <w:spacing w:before="0" w:after="283"/>
              <w:jc w:val="left"/>
              <w:rPr/>
            </w:pPr>
            <w:r>
              <w:rPr/>
              <w:t>A:</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the holders of AVROBIO common stock will also be asked to consider the following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3—The Officer Exculpation Proposal</w:t>
            </w:r>
            <w:r>
              <w:rPr>
                <w:rFonts w:ascii="Times New Roman" w:hAnsi="Times New Roman"/>
                <w:sz w:val="20"/>
              </w:rPr>
              <w:t xml:space="preserve"> 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4—Incentive Plan Proposal</w:t>
            </w:r>
            <w:r>
              <w:rPr>
                <w:rFonts w:ascii="Times New Roman" w:hAnsi="Times New Roman"/>
                <w:sz w:val="20"/>
              </w:rPr>
              <w:t xml:space="preserve"> 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which will become effective as of and contingent on the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5—ESPP Proposal</w:t>
            </w:r>
            <w:r>
              <w:rPr>
                <w:rFonts w:ascii="Times New Roman" w:hAnsi="Times New Roman"/>
                <w:sz w:val="20"/>
              </w:rPr>
              <w:t xml:space="preserve"> 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which will become effective as of and contingent on the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Proposal No. 6—Executive Compensation Arrangements Proposal </w:t>
            </w:r>
            <w:r>
              <w:rPr>
                <w:rFonts w:ascii="Times New Roman" w:hAnsi="Times New Roman"/>
                <w:sz w:val="20"/>
              </w:rPr>
              <w:t xml:space="preserve">to approve, on a non-binding advisory vote basis, compensation that will or may become payable by AVROBIO to its named executive officers in connection with the merger, each as described in the accompanying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7—The Adjournment Proposal</w:t>
            </w:r>
            <w:r>
              <w:rPr>
                <w:rFonts w:ascii="Times New Roman" w:hAnsi="Times New Roman"/>
                <w:sz w:val="20"/>
              </w:rPr>
              <w:t xml:space="preserve"> to approve an adjournment of the special meeting, if necessary, to solicit additional proxies if there are not sufficient votes in favor of Nasdaq Stock Issuance Proposal and/or the Reverse Stock Split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 of Proposal Nos. 3, 4, 5, 6 and 7 are not a condition to the merger. AVROBIO does not expect that any matter other than the Proposals will be brought before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presence, by accessing online or being represented by proxy, at the special meeting of the holders of a majority of the shares of AVROBIO common stock outstanding and entitled to vote at the special meeting is necessary to constitute a quorum at the special meeting for the purpose of approving the Proposals.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90"/>
        <w:gridCol w:w="7280"/>
      </w:tblGrid>
      <w:tr>
        <w:trPr/>
        <w:tc>
          <w:tcPr>
            <w:tcW w:w="290" w:type="dxa"/>
            <w:tcBorders/>
            <w:vAlign w:val="center"/>
          </w:tcPr>
          <w:p>
            <w:pPr>
              <w:pStyle w:val="TableContents"/>
              <w:bidi w:val="0"/>
              <w:spacing w:before="0" w:after="283"/>
              <w:jc w:val="left"/>
              <w:rPr>
                <w:b/>
              </w:rPr>
            </w:pPr>
            <w:r>
              <w:rPr>
                <w:b/>
              </w:rPr>
              <w:t>Q:</w:t>
            </w:r>
          </w:p>
        </w:tc>
        <w:tc>
          <w:tcPr>
            <w:tcW w:w="7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at the special meeting, assuming a quorum is present, is required for approval of Proposal Nos. 1, 2, 4, 5, 6 and 7. The affirmative vote of a majority of the outstanding shares of AVROBIO common stock entitled to vote at the special meeting is required for approval of Proposal No. 3. Proposal Nos. 4 and 5 is conditioned upon the approval of Proposal No. 1. </w:t>
            </w:r>
          </w:p>
        </w:tc>
      </w:tr>
    </w:tbl>
    <w:p>
      <w:pPr>
        <w:pStyle w:val="TextBody"/>
        <w:bidi w:val="0"/>
        <w:spacing w:before="12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and “</w:t>
      </w:r>
      <w:r>
        <w:rPr>
          <w:rFonts w:ascii="Times New Roman" w:hAnsi="Times New Roman"/>
          <w:b/>
          <w:sz w:val="20"/>
        </w:rPr>
        <w:t>WITHHOLD</w:t>
      </w:r>
      <w:r>
        <w:rPr>
          <w:rFonts w:ascii="Times New Roman" w:hAnsi="Times New Roman"/>
          <w:sz w:val="20"/>
        </w:rPr>
        <w:t xml:space="preserve">” votes, abstentions and broker non-votes, if any, as applicable to each proposal. Abstentions do not count as votes cast for or against a matter, and therefore will have no effect on Proposal Nos. 1, 2, 4, 5, 6 and 7. Broker non-votes, if any, will not be counted as “votes properly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cast for or against a matter” and will therefore have no effect on Proposal Nos. 1, 2, 4, 5, 6 and 7. Abstentions and broker non-votes will be counted as “shares entitled to vote” and will therefore have the same effect of a vote “</w:t>
      </w:r>
      <w:r>
        <w:rPr>
          <w:rFonts w:ascii="Times New Roman" w:hAnsi="Times New Roman"/>
          <w:b/>
          <w:sz w:val="20"/>
        </w:rPr>
        <w:t>AGAINST</w:t>
      </w:r>
      <w:r>
        <w:rPr>
          <w:rFonts w:ascii="Times New Roman" w:hAnsi="Times New Roman"/>
          <w:sz w:val="20"/>
        </w:rPr>
        <w:t xml:space="preserve">” Proposal No.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b/>
              </w:rPr>
            </w:pPr>
            <w:r>
              <w:rPr>
                <w:b/>
              </w:rPr>
              <w:t>Q:</w:t>
            </w:r>
          </w:p>
        </w:tc>
        <w:tc>
          <w:tcPr>
            <w:tcW w:w="99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is AVROBIO seeking stockholder approval to issue shares of AVROBIO common stock to Tectonic stockholders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A:</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AVROBIO common stock is listed on Nasdaq, AVROBIO is subject to the Nasdaq Listing Rules. Nasdaq Listing Rule 5635(a) requires stockholder approval with respect to the issuance of AVROBIO common stock, among other instances, (i) when the shares to be issued are being issued in connection with the acquisition of the stock or assets of another company and are equal to 20% or more of the outstanding shares of AVROBIO common stock before the issuance. Nasdaq Listing Rule 5635(b) also requires stockholder approval when any issuance or potential issuance will result in a “change of control” of the issuer. Although Nasdaq has not adopted any rule on what constitutes a “change of control” for purposes of Nasdaq Listing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AVROBIO expects to issue approximately 16,076,821 shares of AVROBIO common stock on a fully diluted basis (after giving effect to, and assuming, a one-for-ten reverse stock split), and AVROBIO common stock to be issued pursuant to the Merger Agreement will represent greater than 20% of its voting stock. Accordingly, AVROBIO is seeking stockholder approval of the issuance pursuant to the Merger Agreement under the Nasdaq rules. </w:t>
      </w:r>
    </w:p>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290"/>
        <w:gridCol w:w="4925"/>
      </w:tblGrid>
      <w:tr>
        <w:trPr/>
        <w:tc>
          <w:tcPr>
            <w:tcW w:w="290" w:type="dxa"/>
            <w:tcBorders/>
            <w:vAlign w:val="center"/>
          </w:tcPr>
          <w:p>
            <w:pPr>
              <w:pStyle w:val="TableContents"/>
              <w:bidi w:val="0"/>
              <w:spacing w:before="0" w:after="283"/>
              <w:jc w:val="left"/>
              <w:rPr>
                <w:b/>
              </w:rPr>
            </w:pPr>
            <w:r>
              <w:rPr>
                <w:b/>
              </w:rPr>
              <w:t>Q:</w:t>
            </w:r>
          </w:p>
        </w:tc>
        <w:tc>
          <w:tcPr>
            <w:tcW w:w="49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AVROBIO stockholders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A:</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will continue to own and hold their existing shares of AVROBIO common stock issued and outstanding at the time of the merger and such shares will remain issued and outstanding, and, subject to the proposed reverse stock split and any acceleration provided for in connection with the merger, will be unaffected by the merger. In addition, (i) each AVROBIO in-the-money option and 50% of certain additional AVROBIO options held by a current employee, director, or consultant of AVROBIO as of the date of the Merger Agreement will be accelerated in full as of immediately prior to the effective time, (ii) each such AVROBIO option as of the effective time that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applicable lock-up agreement) and (iii) each outstanding AVROBIO RSU that is issued, outstanding and unvested and vests solely on the basis of time will be accelerated in full effective as of immediately prior to the effective time. In addition, for each outstanding and unsettled RSU that vests solely on the basis of time (including any RSUs accelerated in connection with this merger), AVROBIO stockholders will receive, immediately prior to the effective time a number of shares of AVROBIO common stock equal to the number of vested and unsettled shares underlying such RSUs. Further, AVRO stockholders of record as of the close of business on the last business day prior to the day on which the effective time occurs will receive one contingent value right (“CVR”) for each outstanding share of AVRO common stock held by such stockholder on such date, as described in more detail below.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AVROBIO securities in the merger, please see the sections titled “</w:t>
      </w:r>
      <w:r>
        <w:rPr>
          <w:rFonts w:ascii="Times New Roman" w:hAnsi="Times New Roman"/>
          <w:i/>
          <w:sz w:val="20"/>
        </w:rPr>
        <w:t>The Merger Agreement</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239 and 35, respectively,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625" w:type="dxa"/>
        <w:jc w:val="left"/>
        <w:tblInd w:w="0" w:type="dxa"/>
        <w:tblLayout w:type="fixed"/>
        <w:tblCellMar>
          <w:top w:w="0" w:type="dxa"/>
          <w:left w:w="0" w:type="dxa"/>
          <w:bottom w:w="0" w:type="dxa"/>
          <w:right w:w="0" w:type="dxa"/>
        </w:tblCellMar>
      </w:tblPr>
      <w:tblGrid>
        <w:gridCol w:w="290"/>
        <w:gridCol w:w="9335"/>
      </w:tblGrid>
      <w:tr>
        <w:trPr/>
        <w:tc>
          <w:tcPr>
            <w:tcW w:w="290" w:type="dxa"/>
            <w:tcBorders/>
            <w:vAlign w:val="center"/>
          </w:tcPr>
          <w:p>
            <w:pPr>
              <w:pStyle w:val="TableContents"/>
              <w:bidi w:val="0"/>
              <w:spacing w:before="0" w:after="283"/>
              <w:jc w:val="left"/>
              <w:rPr>
                <w:b/>
              </w:rPr>
            </w:pPr>
            <w:r>
              <w:rPr>
                <w:b/>
              </w:rPr>
              <w:t>Q:</w:t>
            </w:r>
          </w:p>
        </w:tc>
        <w:tc>
          <w:tcPr>
            <w:tcW w:w="9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Tectonic stockholders and participants in the Tectonic Equity Incentive Plan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pPr>
            <w:r>
              <w:rPr/>
              <w:t>A:</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stockholders will receive shares of AVROBIO common stock. AVROBIO will assume the Tectonic Equity Incentive Plan. Tectonic option holders’ outstanding and unexercised options to purchase shares of Tectonic common stock immediately prior to the effective time will be assumed by AVROBIO and converted into an option to purchase shares of AVROBIO common stock, with necessary adjustments to the number of shares and exercise price to reflect the exchange ratio. 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as of closing.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Tectonic common stock, options and the Tectonic Equity Incentive Plan in the merger, please see the sections titled “</w:t>
      </w:r>
      <w:r>
        <w:rPr>
          <w:rFonts w:ascii="Times New Roman" w:hAnsi="Times New Roman"/>
          <w:i/>
          <w:sz w:val="20"/>
        </w:rPr>
        <w:t>The Merger Agreement—Merger</w:t>
      </w:r>
      <w:r>
        <w:rPr>
          <w:rFonts w:ascii="Times New Roman" w:hAnsi="Times New Roman"/>
          <w:sz w:val="20"/>
        </w:rPr>
        <w:t xml:space="preserve"> </w:t>
      </w:r>
      <w:r>
        <w:rPr>
          <w:rFonts w:ascii="Times New Roman" w:hAnsi="Times New Roman"/>
          <w:i/>
          <w:sz w:val="20"/>
        </w:rPr>
        <w:t>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beginning on pages 239 and 240, respectively, of this proxy statement/prospectus. For a description of the effect of the private financings on the current securityholders of AVROBIO and Tectonic,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90"/>
        <w:gridCol w:w="1505"/>
      </w:tblGrid>
      <w:tr>
        <w:trPr/>
        <w:tc>
          <w:tcPr>
            <w:tcW w:w="290" w:type="dxa"/>
            <w:tcBorders/>
            <w:vAlign w:val="center"/>
          </w:tcPr>
          <w:p>
            <w:pPr>
              <w:pStyle w:val="TableContents"/>
              <w:bidi w:val="0"/>
              <w:spacing w:before="0" w:after="283"/>
              <w:jc w:val="left"/>
              <w:rPr>
                <w:b/>
              </w:rPr>
            </w:pPr>
            <w:r>
              <w:rPr>
                <w:b/>
              </w:rPr>
              <w:t>Q:</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t>A:</w:t>
            </w:r>
          </w:p>
        </w:tc>
        <w:tc>
          <w:tcPr>
            <w:tcW w:w="99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for AVROBIO stockholders to benefit from any post-closing transactions to monetize AVROBIO’s pre-closing assets, as provided in the Merger Agreement, AVROBIO intends to declare a dividend to its common stockholders of record providing for the right to receive one non-transferable CVR for each outstanding share of AVROBIO common stock held by such stockholder. At or prior to the effective time, AVROBIO and a rights agent will enter into a Contingent Value Rights Agreement (the “CVR Agreement”), pursuant to which AVROBIO stockholders of record as of immediately prior to the effective time (including holders of AVROBIO common stock issued upon settlement of the AVROBIO RSUs) will receive one non-transferable CVR for each outstanding share of AVROBIO common stock held by such stockholder on such date. A copy of the form of CVR Agreement is included as Annex F to this proxy statement/prospectus. Pursuant to the CVR Agreement, each CVR 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provided that no contingent payment will be payable to any holder of the CVRs until such time as the then-outstanding and undistributed proceeds exceeds $350,000 in the aggregate. In the event that no proceeds are received, holders of the CVRs will not receive any payment pursuant to the CVR Agreement. There can be no assurance that holders of CVRs will receive any payments with respect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AVROBIO or the combined company or any of its affiliates. No interest will accrue on any amounts payable in respect of the CVRs.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After such 18-month period, no CVR holders will be entitled to any payments under the CVR Agreement (except to the extent that any payments were earned prior to the end of such period). </w:t>
      </w:r>
    </w:p>
    <w:p>
      <w:pPr>
        <w:pStyle w:val="TextBody"/>
        <w:bidi w:val="0"/>
        <w:spacing w:before="120" w:after="0"/>
        <w:jc w:val="left"/>
        <w:rPr>
          <w:rFonts w:ascii="Times New Roman" w:hAnsi="Times New Roman"/>
          <w:sz w:val="20"/>
        </w:rPr>
      </w:pPr>
      <w:r>
        <w:rPr>
          <w:rFonts w:ascii="Times New Roman" w:hAnsi="Times New Roman"/>
          <w:sz w:val="20"/>
        </w:rPr>
        <w:t>For a more detailed description of the CVRs and the CVR Agreement, see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290"/>
        <w:gridCol w:w="4655"/>
      </w:tblGrid>
      <w:tr>
        <w:trPr/>
        <w:tc>
          <w:tcPr>
            <w:tcW w:w="290" w:type="dxa"/>
            <w:tcBorders/>
            <w:vAlign w:val="center"/>
          </w:tcPr>
          <w:p>
            <w:pPr>
              <w:pStyle w:val="TableContents"/>
              <w:bidi w:val="0"/>
              <w:spacing w:before="0" w:after="283"/>
              <w:jc w:val="left"/>
              <w:rPr>
                <w:b/>
              </w:rPr>
            </w:pPr>
            <w:r>
              <w:rPr>
                <w:b/>
              </w:rPr>
              <w:t>Q:</w:t>
            </w:r>
          </w:p>
        </w:tc>
        <w:tc>
          <w:tcPr>
            <w:tcW w:w="4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approval of the Reverse Stock Split Proposal, concurrently with the effective time, by virtue of filing the amendment to AVROBIO’s charter in the form attached hereto as </w:t>
            </w:r>
            <w:r>
              <w:rPr>
                <w:rFonts w:ascii="Times New Roman" w:hAnsi="Times New Roman"/>
                <w:sz w:val="20"/>
                <w:u w:val="single"/>
              </w:rPr>
              <w:t>Annex G</w:t>
            </w:r>
            <w:r>
              <w:rPr>
                <w:rFonts w:ascii="Times New Roman" w:hAnsi="Times New Roman"/>
                <w:sz w:val="20"/>
              </w:rPr>
              <w:t xml:space="preserve"> and incorporated herein by reference, the outstanding shares of AVROBIO common stock will be combined into a lesser number of shares, at a reverse split ratio to be mutually agreed by the AVROBIO Board and the Tectonic Board prior to the effective time and publicly announced by AVROBIO and identified in the amendment to AVROBIO’s charter so filed. Upon the effectiveness of such amendment to effect the reverse stock split (as defined in this proxy statement/prospectus), the issued shares of AVROBIO common stock immediately prior to the reverse stock split effective time will automatically without further action on the part of AVROBIO be combined into a smaller number of shares such that a AVROBIO stockholder will own one new share of AVROBIO common stock for every    shares of issued AVROBIO common stock held by such stockholder immediately prior to the effective time of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AVROBIO Board believes that a reverse stock split is desirable for a number of reasons. AVROBIO common stock is currently, and is expected to continue to be following the completion of the merger, listed on Nasdaq. According to the applicable Nasdaq rules, in order for AVROBIO common stock to continue to be listed on Nasdaq, AVROBIO must satisfy certain requirements established by Nasdaq, including a $1.00 minimum bid price requirement. The AVROBIO Board also believes a higher stock price may help generate investor interest in the combined company as analysts at many brokerage firms do not monitor the trading activity or otherwise provide coverage of lower priced stocks, help the combined company attract and retain employees, increase trading volume in the combined company’s common stock and facilitate future financings by the combined company. </w:t>
      </w:r>
    </w:p>
    <w:p>
      <w:pPr>
        <w:pStyle w:val="TextBody"/>
        <w:bidi w:val="0"/>
        <w:spacing w:before="120" w:after="0"/>
        <w:jc w:val="left"/>
        <w:rPr>
          <w:rFonts w:ascii="Times New Roman" w:hAnsi="Times New Roman"/>
          <w:sz w:val="20"/>
        </w:rPr>
      </w:pPr>
      <w:r>
        <w:rPr>
          <w:rFonts w:ascii="Times New Roman" w:hAnsi="Times New Roman"/>
          <w:sz w:val="20"/>
        </w:rPr>
        <w:t>Please see the discussion in the section titled “</w:t>
      </w:r>
      <w:r>
        <w:rPr>
          <w:rFonts w:ascii="Times New Roman" w:hAnsi="Times New Roman"/>
          <w:i/>
          <w:sz w:val="20"/>
        </w:rPr>
        <w:t>Proposal No. 2–The Reverse Stock Split Proposal</w:t>
      </w:r>
      <w:r>
        <w:rPr>
          <w:rFonts w:ascii="Times New Roman" w:hAnsi="Times New Roman"/>
          <w:sz w:val="20"/>
        </w:rPr>
        <w:t xml:space="preserve">” beginning on page 309 of this proxy statement/prospectus for additional details regarding and reasons for the proposed reverse stock split.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90"/>
        <w:gridCol w:w="6170"/>
      </w:tblGrid>
      <w:tr>
        <w:trPr/>
        <w:tc>
          <w:tcPr>
            <w:tcW w:w="290" w:type="dxa"/>
            <w:tcBorders/>
            <w:vAlign w:val="center"/>
          </w:tcPr>
          <w:p>
            <w:pPr>
              <w:pStyle w:val="TableContents"/>
              <w:bidi w:val="0"/>
              <w:spacing w:before="0" w:after="283"/>
              <w:jc w:val="left"/>
              <w:rPr>
                <w:b/>
              </w:rPr>
            </w:pPr>
            <w:r>
              <w:rPr>
                <w:b/>
              </w:rPr>
              <w:t>Q:</w:t>
            </w:r>
          </w:p>
        </w:tc>
        <w:tc>
          <w:tcPr>
            <w:tcW w:w="61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AVROBIO common stock are currently listed on Nasdaq under the symbol “AVRO.” AVROBIO intends to file an initial listing application for the common stock of the combined company with Nasdaq. After completion of the merger, AVROBIO will be renamed “Tectonic Therapeutic, Inc.” and it is expected that the common stock of the combined company will trade on Nasdaq under the symbol “TECX.” It is a condition to the consummation of the merger in favor of each of AVROBIO, Tectonic and Merger Sub that the approval of the listing on Nasdaq of the additional shares of AVROBIO common stock will have been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obtained and the shares of AVROBIO common stock to be issued in the transactions contemplated by the Merger Agreement pursuant to the Merger Agreement will have been approved for listing (subject to official notice of issuance) on Nasdaq.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Nasdaq has not yet made a determination with respect to this approval, and the status of such approval may not yet be known at the time that AVROBIO stockholders are expected to vote at the special meeting. For additional information, please see the sections titled “</w:t>
            </w:r>
            <w:r>
              <w:rPr>
                <w:i/>
              </w:rPr>
              <w:t>Risk Factors—Risks Related to Merger—AVROBIO or Tectonic may waive one or more of the conditions to the merger without recirculation of this proxy statement/prospectus or resoliciting stockholder approval</w:t>
            </w:r>
            <w:r>
              <w:rPr/>
              <w:t>” on page 37 of this proxy statement/prospectus and “</w:t>
            </w:r>
            <w:r>
              <w:rPr>
                <w:i/>
              </w:rPr>
              <w:t xml:space="preserve">Risk Factors — Risks Related to the Proposed Reverse Stock Split </w:t>
            </w:r>
            <w:r>
              <w:rPr/>
              <w:t xml:space="preserve">— </w:t>
            </w:r>
            <w:r>
              <w:rPr>
                <w:i/>
              </w:rPr>
              <w:t>The reverse stock split may not increase the combined company’s stock price over the short-or long-term, which may further impact the combined company’s ability to obtain or maintain listing on Nasdaq</w:t>
            </w:r>
            <w:r>
              <w:rPr/>
              <w:t xml:space="preserve">” on page 43 of this proxy statement/prospectus. On    , 2024, the last trading day before the date of this proxy statement/prospectus, the closing sale price of AVROBIO common stock was $    per share.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90"/>
        <w:gridCol w:w="6320"/>
      </w:tblGrid>
      <w:tr>
        <w:trPr/>
        <w:tc>
          <w:tcPr>
            <w:tcW w:w="290" w:type="dxa"/>
            <w:tcBorders/>
            <w:vAlign w:val="center"/>
          </w:tcPr>
          <w:p>
            <w:pPr>
              <w:pStyle w:val="TableContents"/>
              <w:bidi w:val="0"/>
              <w:spacing w:before="0" w:after="283"/>
              <w:jc w:val="left"/>
              <w:rPr>
                <w:b/>
              </w:rPr>
            </w:pPr>
            <w:r>
              <w:rPr>
                <w:b/>
              </w:rPr>
              <w:t>Q:</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combined company’s board of directors will be composed of six members, one of whom will be designated by AVROBIO and five of whom will be designated by Tectonic. The staggered structure of three classes of directors of the AVROBIO Board will remain in place for the combined company following the completion of the merger. The division of our board into three classes with staggered three year terms will be decided by mutual agreement following the completion of the merger. The number of directors will be distributed among the three classes so that, as nearly as possible, each class will consist of one-third of the directors. All of AVROBIO’s current directors, other than Phillip Donenberg, are expected to resign from their positions as directors of AVROBIO, effective as of the effective time.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90"/>
        <w:gridCol w:w="8135"/>
      </w:tblGrid>
      <w:tr>
        <w:trPr/>
        <w:tc>
          <w:tcPr>
            <w:tcW w:w="290" w:type="dxa"/>
            <w:tcBorders/>
            <w:vAlign w:val="center"/>
          </w:tcPr>
          <w:p>
            <w:pPr>
              <w:pStyle w:val="TableContents"/>
              <w:bidi w:val="0"/>
              <w:spacing w:before="0" w:after="283"/>
              <w:jc w:val="left"/>
              <w:rPr>
                <w:b/>
              </w:rPr>
            </w:pPr>
            <w:r>
              <w:rPr>
                <w:b/>
              </w:rPr>
              <w:t>Q:</w:t>
            </w:r>
          </w:p>
        </w:tc>
        <w:tc>
          <w:tcPr>
            <w:tcW w:w="8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Tectonic executive management team prior to the merger, including: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2075"/>
        <w:gridCol w:w="120"/>
        <w:gridCol w:w="495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Executive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Operating Officer and Chief Financial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Scientific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Medical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Business Officer</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90"/>
        <w:gridCol w:w="7295"/>
      </w:tblGrid>
      <w:tr>
        <w:trPr/>
        <w:tc>
          <w:tcPr>
            <w:tcW w:w="290" w:type="dxa"/>
            <w:tcBorders/>
            <w:vAlign w:val="center"/>
          </w:tcPr>
          <w:p>
            <w:pPr>
              <w:pStyle w:val="TableContents"/>
              <w:bidi w:val="0"/>
              <w:spacing w:before="0" w:after="283"/>
              <w:jc w:val="left"/>
              <w:rPr>
                <w:b/>
              </w:rPr>
            </w:pPr>
            <w:r>
              <w:rPr>
                <w:b/>
              </w:rPr>
              <w:t>Q:</w:t>
            </w:r>
          </w:p>
        </w:tc>
        <w:tc>
          <w:tcPr>
            <w:tcW w:w="7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As an AVROBIO stockholder, how does the AVROBIO Board recommend that I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in consultation with financial and legal advisors and AVROBIO management, evaluated the terms of the Merger Agreement and the related transactions contemplated thereby and unanimously: (i) determined that the merger and the other transactions contemplated by the Merger Agreement, including the CVR Agreement, the AVROBIO pre-closing transaction and the private financings, are fair to, advisable and in the best interests of AVROBIO and its stockholders; (ii)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and declared advisable the Merger Agreement and the other transactions contemplated by the Merger Agreement, including the issuance of shares of AVROBIO common stock in connection with the merger; and (iii) recommends that AVROBIO stockholders vote “</w:t>
            </w:r>
            <w:r>
              <w:rPr>
                <w:b/>
              </w:rPr>
              <w:t>FOR</w:t>
            </w:r>
            <w:r>
              <w:rPr/>
              <w:t xml:space="preserve">” all of the Proposals.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b/>
              </w:rPr>
            </w:pPr>
            <w:r>
              <w:rPr>
                <w:b/>
              </w:rPr>
              <w:t>Q:</w:t>
            </w:r>
          </w:p>
        </w:tc>
        <w:tc>
          <w:tcPr>
            <w:tcW w:w="6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pPr>
            <w:r>
              <w:rPr/>
              <w:t>A:</w:t>
            </w:r>
          </w:p>
        </w:tc>
        <w:tc>
          <w:tcPr>
            <w:tcW w:w="99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considered a variety of risks and other potentially negative factors concerning the merger, including the risk that the merger may not be completed. Failure to complete the merger could harm the AVROBIO common stock price, harm the future business and operations of each company and, under specified circumstances pursuant to the Merger Agreement, may result in either (i) AVROBIO being required to pay Tectonic a termination fee of $2,712,500 or (ii) Tectonic being required to pay AVROBIO a termination fee of $4,900,000. In addition, if the Merger Agreement is terminated by AVROBIO or Tectonic due to AVROBIO stockholders voting on and failing to approve Proposal Nos. 1 and 2 at the special meeting (or any adjournment thereof), AVROBIO will be required to reimburse Tectonic for merger-related expenses up to $650,000. The expense reimbursement, to the extent paid, will be credited against any termination fee payable by AVROBIO in the transaction. You should carefully review the section titled “</w:t>
            </w:r>
            <w:r>
              <w:rPr>
                <w:rFonts w:ascii="Times New Roman" w:hAnsi="Times New Roman"/>
                <w:i/>
                <w:sz w:val="20"/>
              </w:rPr>
              <w:t>Risk Factors</w:t>
            </w:r>
            <w:r>
              <w:rPr>
                <w:rFonts w:ascii="Times New Roman" w:hAnsi="Times New Roman"/>
                <w:sz w:val="20"/>
              </w:rPr>
              <w:t xml:space="preserve">” beginning on page 36 of this proxy statement/prospectus and the documents incorporated by reference herein, which set forth certain additional risks and uncertainties related to the merger, risks and uncertainties to which the combined company’s business will be subject, and risks and uncertainties to which each of AVROBIO and Tectonic, as independent companies, are subject.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290"/>
        <w:gridCol w:w="4520"/>
      </w:tblGrid>
      <w:tr>
        <w:trPr/>
        <w:tc>
          <w:tcPr>
            <w:tcW w:w="290" w:type="dxa"/>
            <w:tcBorders/>
            <w:vAlign w:val="center"/>
          </w:tcPr>
          <w:p>
            <w:pPr>
              <w:pStyle w:val="TableContents"/>
              <w:bidi w:val="0"/>
              <w:spacing w:before="0" w:after="283"/>
              <w:jc w:val="left"/>
              <w:rPr>
                <w:b/>
              </w:rPr>
            </w:pPr>
            <w:r>
              <w:rPr>
                <w:b/>
              </w:rPr>
              <w:t>Q:</w:t>
            </w:r>
          </w:p>
        </w:tc>
        <w:tc>
          <w:tcPr>
            <w:tcW w:w="4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is anticipated to close in the second quarter of 2024, but the exact timing cannot be predicted. For more information, please see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283"/>
              <w:jc w:val="left"/>
              <w:rPr>
                <w:b/>
              </w:rPr>
            </w:pPr>
            <w:r>
              <w:rPr>
                <w:b/>
              </w:rPr>
              <w:t>Q:</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urges you to read this proxy statement/prospectus carefully, including the annexes and the documents incorporated by reference, and to consider how the merger affects you.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an AVROBIO stockholder of record, you may provide your proxy instructions in one of four different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using the proxy card. Simply complete, sign and date the accompanying proxy card and return it promptly in the envelope provided. If you return your signed proxy card before the special meeting, the designated proxies will vote your shares in accordance with the proxy card.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telephone by calling the toll-free number found on the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virtual special meeting and vote online during the meeting by following the instructions at </w:t>
            </w:r>
            <w:r>
              <w:rPr>
                <w:rFonts w:ascii="Times New Roman" w:hAnsi="Times New Roman"/>
                <w:i/>
                <w:sz w:val="20"/>
              </w:rPr>
              <w:t>www.proxydocs.com/AVRO</w:t>
            </w:r>
            <w:r>
              <w:rPr>
                <w:rFonts w:ascii="Times New Roman" w:hAnsi="Times New Roman"/>
                <w:sz w:val="20"/>
              </w:rPr>
              <w:t xml:space="preserve">. You will need to enter the Control Number found on your Notice or in the email sending you the proxy statement. Simply attending the special meeting will not, by itself, revoke your proxy and/or change your vote. Even if you plan to attend the special meeting virtually, we recommend that you also submit your proxy or voting instructions or vote in advance of the special meeting by telephone or through the internet so that your vote will be counted if you later decide not to attend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or internet proxy instructions must be received by    , 2024 at 11:59 p.m. Eastern Time to be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hold your shares in “street name” (as described below), you may provide your proxy instructions via telephone or the internet by following the instructions on your vote instruction form provided by your bank, broker or other nominee, referred to herein as “broker.” Please provide your proxy instructions only once, unless you are revoking a previously delivered proxy instruction, and as soon as possible so that your shares can be voted at the special meeting. </w:t>
      </w:r>
    </w:p>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290"/>
        <w:gridCol w:w="9200"/>
      </w:tblGrid>
      <w:tr>
        <w:trPr/>
        <w:tc>
          <w:tcPr>
            <w:tcW w:w="290" w:type="dxa"/>
            <w:tcBorders/>
            <w:vAlign w:val="center"/>
          </w:tcPr>
          <w:p>
            <w:pPr>
              <w:pStyle w:val="TableContents"/>
              <w:bidi w:val="0"/>
              <w:spacing w:before="0" w:after="283"/>
              <w:jc w:val="left"/>
              <w:rPr>
                <w:b/>
              </w:rPr>
            </w:pPr>
            <w:r>
              <w:rPr>
                <w:b/>
              </w:rPr>
              <w:t>Q:</w:t>
            </w:r>
          </w:p>
        </w:tc>
        <w:tc>
          <w:tcPr>
            <w:tcW w:w="9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If you are an AVROBIO stockholder, the failure to return your proxy card or otherwise vote or provide proxy instructions will have no effect on Proposal Nos. 1, 2, 4, 5, 6 and 7, and will have the same effect as a vote “</w:t>
            </w:r>
            <w:r>
              <w:rPr>
                <w:rFonts w:ascii="Times New Roman" w:hAnsi="Times New Roman"/>
                <w:b/>
                <w:sz w:val="20"/>
              </w:rPr>
              <w:t>AGAINST</w:t>
            </w:r>
            <w:r>
              <w:rPr>
                <w:rFonts w:ascii="Times New Roman" w:hAnsi="Times New Roman"/>
                <w:sz w:val="20"/>
              </w:rPr>
              <w:t xml:space="preserve">” Proposal No. 3.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290"/>
        <w:gridCol w:w="7205"/>
      </w:tblGrid>
      <w:tr>
        <w:trPr/>
        <w:tc>
          <w:tcPr>
            <w:tcW w:w="290" w:type="dxa"/>
            <w:tcBorders/>
            <w:vAlign w:val="center"/>
          </w:tcPr>
          <w:p>
            <w:pPr>
              <w:pStyle w:val="TableContents"/>
              <w:bidi w:val="0"/>
              <w:spacing w:before="0" w:after="283"/>
              <w:jc w:val="left"/>
              <w:rPr>
                <w:b/>
              </w:rPr>
            </w:pPr>
            <w:r>
              <w:rPr>
                <w:b/>
              </w:rPr>
              <w:t>Q:</w:t>
            </w:r>
          </w:p>
        </w:tc>
        <w:tc>
          <w:tcPr>
            <w:tcW w:w="7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attend, participate in, and ask questions during the virtual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be hosting the special meeting via live webcast only. Any AVROBIO shareholder can attend the virtual special meeting live online by registering at www.proxydocs.com/AVRO. The Annual Meeting will start at    a.m., Eastern Time, on     , 2024. AVROBIO shareholders attending the special meeting will be afforded the same rights and opportunities to participate as they would at an in-person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to attend, you must register in advance at www.proxydocs.com/AVRO prior to the deadline of    p.m., Eastern Time on     , 2024. Upon completing your registration, you will receive further instructions via email, including your unique links that will allow you access to the special meeting and will permit you to submit questions. In order to register for the special meeting, you will need the control number, which is included in the Notice or on your proxy card if you are a shareholder of record of AVROBIO common stock, or included with your voting instruction card and voting instructions received from your broker, bank or other agent if you hold AVROBIO common stock in a “street name.” We recommend that you log in a few minutes before     a.m., Eastern Time to ensure you are logged in when the special meeting starts. The virtual meeting room will open 15 minutes before the start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would like to submit a question during the special meeting, you may log in at www.proxydocs.com/AVRO using your control number, type your question into the “Ask a Question” field, and click “Submit.”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290"/>
        <w:gridCol w:w="7145"/>
      </w:tblGrid>
      <w:tr>
        <w:trPr/>
        <w:tc>
          <w:tcPr>
            <w:tcW w:w="290" w:type="dxa"/>
            <w:tcBorders/>
            <w:vAlign w:val="center"/>
          </w:tcPr>
          <w:p>
            <w:pPr>
              <w:pStyle w:val="TableContents"/>
              <w:bidi w:val="0"/>
              <w:spacing w:before="0" w:after="283"/>
              <w:jc w:val="left"/>
              <w:rPr>
                <w:b/>
              </w:rPr>
            </w:pPr>
            <w:r>
              <w:rPr>
                <w:b/>
              </w:rPr>
              <w:t>Q:</w:t>
            </w:r>
          </w:p>
        </w:tc>
        <w:tc>
          <w:tcPr>
            <w:tcW w:w="7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have technical difficulties or trouble accessing the virtual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A:</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provided in your email prior to the start of the special meeting.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290"/>
        <w:gridCol w:w="3785"/>
      </w:tblGrid>
      <w:tr>
        <w:trPr/>
        <w:tc>
          <w:tcPr>
            <w:tcW w:w="290" w:type="dxa"/>
            <w:tcBorders/>
            <w:vAlign w:val="center"/>
          </w:tcPr>
          <w:p>
            <w:pPr>
              <w:pStyle w:val="TableContents"/>
              <w:bidi w:val="0"/>
              <w:spacing w:before="0" w:after="283"/>
              <w:jc w:val="left"/>
              <w:rPr>
                <w:b/>
              </w:rPr>
            </w:pPr>
            <w:r>
              <w:rPr>
                <w:b/>
              </w:rPr>
              <w:t>Q:</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May I vote in person at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Yes, AVROBIO stockholders entitled to vote at the virtual-only format special meeting may vote their shares during the live audio webcast. AVROBIO stockholders of record as of     , 2024 will be able to attend and participate in the special meeting online by accessing www.proxydocs.com/AVRO. To join the special meeting, you will need to have your control number which is included on your Notice of Internet Availability of Proxy Materials and your proxy card. If your shares are held in “street name,” you should contact your broker if you did not receive a control number.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2380" w:type="dxa"/>
        <w:jc w:val="left"/>
        <w:tblInd w:w="0" w:type="dxa"/>
        <w:tblLayout w:type="fixed"/>
        <w:tblCellMar>
          <w:top w:w="0" w:type="dxa"/>
          <w:left w:w="0" w:type="dxa"/>
          <w:bottom w:w="0" w:type="dxa"/>
          <w:right w:w="0" w:type="dxa"/>
        </w:tblCellMar>
      </w:tblPr>
      <w:tblGrid>
        <w:gridCol w:w="290"/>
        <w:gridCol w:w="2090"/>
      </w:tblGrid>
      <w:tr>
        <w:trPr/>
        <w:tc>
          <w:tcPr>
            <w:tcW w:w="290" w:type="dxa"/>
            <w:tcBorders/>
            <w:vAlign w:val="center"/>
          </w:tcPr>
          <w:p>
            <w:pPr>
              <w:pStyle w:val="TableContents"/>
              <w:bidi w:val="0"/>
              <w:spacing w:before="0" w:after="283"/>
              <w:jc w:val="left"/>
              <w:rPr>
                <w:b/>
              </w:rPr>
            </w:pPr>
            <w:r>
              <w:rPr>
                <w:b/>
              </w:rPr>
              <w:t>Q:</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are votes counted?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will be counted by the inspector of elections appointed for the special meeting. If you are a stockholder of record, your executed proxy card is returned directly to such inspector of elections for tabulation. If you hold your shares through a broker, your broker returns one proxy card to the inspector of elections on behalf of all its clients.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290"/>
        <w:gridCol w:w="8810"/>
      </w:tblGrid>
      <w:tr>
        <w:trPr/>
        <w:tc>
          <w:tcPr>
            <w:tcW w:w="290" w:type="dxa"/>
            <w:tcBorders/>
            <w:vAlign w:val="center"/>
          </w:tcPr>
          <w:p>
            <w:pPr>
              <w:pStyle w:val="TableContents"/>
              <w:bidi w:val="0"/>
              <w:spacing w:before="0" w:after="283"/>
              <w:jc w:val="left"/>
              <w:rPr>
                <w:b/>
              </w:rPr>
            </w:pPr>
            <w:r>
              <w:rPr>
                <w:b/>
              </w:rPr>
              <w:t>Q:</w:t>
            </w:r>
          </w:p>
        </w:tc>
        <w:tc>
          <w:tcPr>
            <w:tcW w:w="8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If my AVROBIO shares are held in “street name” by my broker, will my broker vote my shares for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w:t>
      </w:r>
    </w:p>
    <w:p>
      <w:pPr>
        <w:pStyle w:val="TextBody"/>
        <w:bidi w:val="0"/>
        <w:spacing w:before="120" w:after="0"/>
        <w:jc w:val="left"/>
        <w:rPr>
          <w:rFonts w:ascii="Times New Roman" w:hAnsi="Times New Roman"/>
          <w:sz w:val="20"/>
        </w:rPr>
      </w:pPr>
      <w:r>
        <w:rPr>
          <w:rFonts w:ascii="Times New Roman" w:hAnsi="Times New Roman"/>
          <w:sz w:val="20"/>
        </w:rPr>
        <w:t xml:space="preserve">If an AVROBIO stockholder does not return voting instructions to their broker on how to vote their shares of AVROBIO common stock, such broker may be prevented from voting, or may otherwise choose not to vote, such shares held by such broker, resulting in broker non-votes with respect to such shares. To make sure that your vote is counted, you should instruct your broker to vote your shares of AVROBIO common stock, following the procedures provided by your broker.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290"/>
        <w:gridCol w:w="6245"/>
      </w:tblGrid>
      <w:tr>
        <w:trPr/>
        <w:tc>
          <w:tcPr>
            <w:tcW w:w="290" w:type="dxa"/>
            <w:tcBorders/>
            <w:vAlign w:val="center"/>
          </w:tcPr>
          <w:p>
            <w:pPr>
              <w:pStyle w:val="TableContents"/>
              <w:bidi w:val="0"/>
              <w:spacing w:before="0" w:after="283"/>
              <w:jc w:val="left"/>
              <w:rPr>
                <w:b/>
              </w:rPr>
            </w:pPr>
            <w:r>
              <w:rPr>
                <w:b/>
              </w:rPr>
              <w:t>Q:</w:t>
            </w:r>
          </w:p>
        </w:tc>
        <w:tc>
          <w:tcPr>
            <w:tcW w:w="6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A:</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matters deemed to be “non-routine.” These un-voted shares are counted as “broker non-votes.” </w:t>
            </w:r>
          </w:p>
        </w:tc>
      </w:tr>
    </w:tbl>
    <w:p>
      <w:pPr>
        <w:pStyle w:val="TextBody"/>
        <w:bidi w:val="0"/>
        <w:spacing w:before="120" w:after="0"/>
        <w:jc w:val="left"/>
        <w:rPr>
          <w:rFonts w:ascii="Times New Roman" w:hAnsi="Times New Roman"/>
          <w:sz w:val="20"/>
        </w:rPr>
      </w:pPr>
      <w:r>
        <w:rPr>
          <w:rFonts w:ascii="Times New Roman" w:hAnsi="Times New Roman"/>
          <w:sz w:val="20"/>
        </w:rPr>
        <w:t>Broker non-votes, if any, will not be treated as shares present for the purpose of determining the presence of a quorum for the transaction of business at the special meeting. Broker non-votes, if any, will not be counted as “votes properly cast for or against” a matter and will therefore have no effect on Proposal Nos. 1, 2, 4, 5, 6 and 7 but will be counted as “shares entitled to vote” and will therefore have the same effect of a vote “</w:t>
      </w:r>
      <w:r>
        <w:rPr>
          <w:rFonts w:ascii="Times New Roman" w:hAnsi="Times New Roman"/>
          <w:b/>
          <w:sz w:val="20"/>
        </w:rPr>
        <w:t>AGAINST</w:t>
      </w:r>
      <w:r>
        <w:rPr>
          <w:rFonts w:ascii="Times New Roman" w:hAnsi="Times New Roman"/>
          <w:sz w:val="20"/>
        </w:rPr>
        <w:t xml:space="preserve">” Proposal No. 3.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290"/>
        <w:gridCol w:w="8540"/>
      </w:tblGrid>
      <w:tr>
        <w:trPr/>
        <w:tc>
          <w:tcPr>
            <w:tcW w:w="290" w:type="dxa"/>
            <w:tcBorders/>
            <w:vAlign w:val="center"/>
          </w:tcPr>
          <w:p>
            <w:pPr>
              <w:pStyle w:val="TableContents"/>
              <w:bidi w:val="0"/>
              <w:spacing w:before="0" w:after="283"/>
              <w:jc w:val="left"/>
              <w:rPr>
                <w:b/>
              </w:rPr>
            </w:pPr>
            <w:r>
              <w:rPr>
                <w:b/>
              </w:rPr>
              <w:t>Q:</w:t>
            </w:r>
          </w:p>
        </w:tc>
        <w:tc>
          <w:tcPr>
            <w:tcW w:w="8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of record, unless such stockholder’s vote is subject to a support agreement, may revoke and/or change their vote at any time before their proxy is voted at the special meeting in one of four ways: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by following the instructions at </w:t>
            </w:r>
            <w:r>
              <w:rPr>
                <w:rFonts w:ascii="Times New Roman" w:hAnsi="Times New Roman"/>
                <w:i/>
                <w:sz w:val="20"/>
              </w:rPr>
              <w:t>www.proxydocs.com/AVRO</w:t>
            </w:r>
            <w:r>
              <w:rPr>
                <w:rFonts w:ascii="Times New Roman" w:hAnsi="Times New Roman"/>
                <w:sz w:val="20"/>
              </w:rPr>
              <w:t xml:space="preserve">. Simply attending the special meeting will not, by itself, revoke your proxy and/or change your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 2024 at 11:59 p.m. Eastern Time to be counted. </w:t>
      </w:r>
    </w:p>
    <w:p>
      <w:pPr>
        <w:pStyle w:val="TextBody"/>
        <w:bidi w:val="0"/>
        <w:spacing w:before="120" w:after="0"/>
        <w:jc w:val="left"/>
        <w:rPr>
          <w:rFonts w:ascii="Times New Roman" w:hAnsi="Times New Roman"/>
          <w:sz w:val="20"/>
        </w:rPr>
      </w:pPr>
      <w:r>
        <w:rPr>
          <w:rFonts w:ascii="Times New Roman" w:hAnsi="Times New Roman"/>
          <w:sz w:val="20"/>
        </w:rPr>
        <w:t xml:space="preserve">If an AVROBIO stockholder who owns AVROBIO shares in “street name” has instructed a broker to vote its shares of AVROBIO common stock, the stockholder must follow directions received from its broker to change those instructions.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290"/>
        <w:gridCol w:w="3590"/>
      </w:tblGrid>
      <w:tr>
        <w:trPr/>
        <w:tc>
          <w:tcPr>
            <w:tcW w:w="290" w:type="dxa"/>
            <w:tcBorders/>
            <w:vAlign w:val="center"/>
          </w:tcPr>
          <w:p>
            <w:pPr>
              <w:pStyle w:val="TableContents"/>
              <w:bidi w:val="0"/>
              <w:spacing w:before="0" w:after="283"/>
              <w:jc w:val="left"/>
              <w:rPr>
                <w:b/>
              </w:rPr>
            </w:pPr>
            <w:r>
              <w:rPr>
                <w:b/>
              </w:rPr>
              <w:t>Q:</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and Tectonic will share equally the cost of printing and filing of this proxy statement/prospectus and the proxy card. Arrangements will also be made with brokerage firms and other custodians, nominees and fiduciaries who are record holders of AVROBIO common stock for the forwarding of solicitation materials to the beneficial owners of AVROBIO common stock. AVROBIO will reimburse these brokers, custodians, nominees and fiduciaries for the reasonable out-of-pocket expenses they incur in connection with the forwarding of solicitation materials. AVROBIO has retained Innisfree M&amp;A Incorporated (the “proxy solicitor”), to assist it in soliciting proxies using the means referred to above. AVROBIO will pay the fees of the proxy solicitor, which AVROBIO expects to be up to $50,000, plus reimbursement of out-of-pocket expenses.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290"/>
        <w:gridCol w:w="9725"/>
      </w:tblGrid>
      <w:tr>
        <w:trPr/>
        <w:tc>
          <w:tcPr>
            <w:tcW w:w="290" w:type="dxa"/>
            <w:tcBorders/>
            <w:vAlign w:val="center"/>
          </w:tcPr>
          <w:p>
            <w:pPr>
              <w:pStyle w:val="TableContents"/>
              <w:bidi w:val="0"/>
              <w:spacing w:before="0" w:after="283"/>
              <w:jc w:val="left"/>
              <w:rPr>
                <w:b/>
              </w:rPr>
            </w:pPr>
            <w:r>
              <w:rPr>
                <w:b/>
              </w:rPr>
              <w:t>Q:</w:t>
            </w:r>
          </w:p>
        </w:tc>
        <w:tc>
          <w:tcPr>
            <w:tcW w:w="9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holders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will not sell, exchange or dispose of any shares of AVROBIO common stock as a result of the merger. Thus, there will be no material U.S. federal income tax consequences to AVROBIO stockholders as a result of solely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b/>
              </w:rPr>
            </w:pPr>
            <w:r>
              <w:rPr>
                <w:b/>
              </w:rPr>
              <w:t>Q:</w:t>
            </w:r>
          </w:p>
        </w:tc>
        <w:tc>
          <w:tcPr>
            <w:tcW w:w="991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to U.S. Holders of Tectonic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t>A:</w:t>
            </w:r>
          </w:p>
        </w:tc>
        <w:tc>
          <w:tcPr>
            <w:tcW w:w="99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is intended to qualify as a “reorganization” within the meaning of Section 368(a) of the Internal Revenue Code of 1986, as amended (the “Code”), for U.S. federal income tax purposes. In reliance on the representation letters of AVROBIO and Tectonic that will be delivered to each of Goodwin and Cooley, and subject to the assumptions, qualifications and limitations described herein and in the opinions included as Exhibit 8.1 and Exhibit 8.2 hereto, each of Goodwin, as counsel to AVROBIO, and Cooley, as counsel to Tectonic, is of the opinion that the merger will qualify as a “reorganization” within the meaning of Section 368(a) of the Code. It is not, however, a condition to AVROBIO’s obligation or Tectonic’s obligation to complete the merger that the merger so qualifies. Additionally, the opinions described above are based on the law in effect on the dates of the opinions and assume that there will be no change in applicable law between such date and the time of the merger. If any of the assumptions, representations or covenants on which any opinion is based is or becomes incorrect, incomplete, inaccurate or is otherwise not complied with, the validity of the opinions described above may be adversely affected and the tax consequences of the merger could differ from those described herein. Assuming, consistent with such tax opinions, that the merger qualifies as a “reorganization” within the meaning of Section 368(a) of the Code, subject to the limitations and qualifications described in the section titled “</w:t>
            </w:r>
            <w:r>
              <w:rPr>
                <w:rFonts w:ascii="Times New Roman" w:hAnsi="Times New Roman"/>
                <w:i/>
                <w:sz w:val="20"/>
              </w:rPr>
              <w:t>The Merger—Material U.S. Federal Income Tax Consequences of the Merger</w:t>
            </w:r>
            <w:r>
              <w:rPr>
                <w:rFonts w:ascii="Times New Roman" w:hAnsi="Times New Roman"/>
                <w:sz w:val="20"/>
              </w:rPr>
              <w:t>” beginning on page 231 of this proxy statement/prospectus, holders of shares of Tectonic common stock generally would not recognize any gain or loss for U.S. federal income tax purposes on the exchange of their shares of Tectonic common stock for shares of AVROBIO common stock in the merger. However, if the merger does not qualify as a “reorganization” within the meaning of Section 368(a) of the Code, the merger would be a taxable transaction to U.S. Holders (as defined in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Neither AVROBIO, Tectonic, nor Merger Sub intends to obtain a ruling from the Internal Revenue Service (the “IRS”) on the tax consequences of the merger, including any ruling regarding qualification of the merger as a reorganization within the meaning of Section 368(a) of the Code. An opinion of counsel represents counsel’s legal judgment but is not binding on the IRS or any court. Accordingly, there can be no assurance that the IRS will not assert that the merger fails to qualify as a reorganization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disagree with the conclusions set forth in such opinions) or that a court would not sustain such a challenge. If the IRS were to successfully challenge the “reorganization” status of the merger, the tax consequences would vary significantly from those set forth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tax consequences to you of the merger will depend on your particular facts and circumstances. Please consult your tax advisor as to the tax consequences of the merger in your particular circumstances, including the applicability and effect of U.S. federal, state, local and foreign income and other tax laws. For a more complete discussion of the material U.S. federal income tax consequences of the merger, see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b/>
              </w:rPr>
            </w:pPr>
            <w:r>
              <w:rPr>
                <w:b/>
              </w:rPr>
              <w:t>Q:</w:t>
            </w:r>
          </w:p>
        </w:tc>
        <w:tc>
          <w:tcPr>
            <w:tcW w:w="994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issuance of the CVRs and of the receipt of payments on the CVRs (if any) to holders of AVROBIO common stock under the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 is substantial uncertainty as to the U.S. federal income tax treatment of the CVRs and payments (if any) thereon. AVROBIO does not intend to report the issuance of the CVRs as a current distribution and instead intends to report each future cash payment (if any) on the CVRs as a distribution by the combined company for U.S. federal income tax purposes, with each such payment being reported as a dividend to the extent of the combined company’s current and accumulated earnings and profits in the year in which such payment is made. This position may be challenged by the IRS in which case holders of AVROBIO common stock could be required to recognize taxable income in respect of the issuance of the CVRs without a corresponding receipt of cash. Please review the information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for a discussion of the material U.S. federal income tax consequences of the issuance of the CVRs and the receipt of payments (if any) thereon to holders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b/>
              </w:rPr>
            </w:pPr>
            <w:r>
              <w:rPr>
                <w:b/>
              </w:rPr>
              <w:t>Q:</w:t>
            </w:r>
          </w:p>
        </w:tc>
        <w:tc>
          <w:tcPr>
            <w:tcW w:w="992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reverse stock split to holders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holder of AVROBIO common stock generally should not recognize gain or loss upon the reverse stock split, except to the extent such holder receives cash in lieu of a fractional share of AVROBIO common stock, and subject to the discussion, limitations and qualifications described in the section titled “</w:t>
            </w:r>
            <w:r>
              <w:rPr>
                <w:rFonts w:ascii="Times New Roman" w:hAnsi="Times New Roman"/>
                <w:i/>
                <w:sz w:val="20"/>
              </w:rPr>
              <w:t>Proposal No. 2—The Reverse Stock Split Proposal—Material U.S. Federal Income Tax Consequences of the Reverse Stock Split</w:t>
            </w:r>
            <w:r>
              <w:rPr>
                <w:rFonts w:ascii="Times New Roman" w:hAnsi="Times New Roman"/>
                <w:sz w:val="20"/>
              </w:rPr>
              <w:t>” beginning on page 313 of this proxy statement/prospectus. Please review the information in the section titled “</w:t>
            </w:r>
            <w:r>
              <w:rPr>
                <w:rFonts w:ascii="Times New Roman" w:hAnsi="Times New Roman"/>
                <w:i/>
                <w:sz w:val="20"/>
              </w:rPr>
              <w:t>Proposal No. 2—The Reverse Stock Split Proposal—Material U.S. Federal Income Tax</w:t>
            </w:r>
            <w:r>
              <w:rPr>
                <w:rFonts w:ascii="Times New Roman" w:hAnsi="Times New Roman"/>
                <w:sz w:val="20"/>
              </w:rPr>
              <w:t xml:space="preserve"> </w:t>
            </w:r>
            <w:r>
              <w:rPr>
                <w:rFonts w:ascii="Times New Roman" w:hAnsi="Times New Roman"/>
                <w:i/>
                <w:sz w:val="20"/>
              </w:rPr>
              <w:t>Consequences of the Reverse Stock Split</w:t>
            </w:r>
            <w:r>
              <w:rPr>
                <w:rFonts w:ascii="Times New Roman" w:hAnsi="Times New Roman"/>
                <w:sz w:val="20"/>
              </w:rPr>
              <w:t xml:space="preserve">” beginning on page 313 of this proxy statement/prospectus for a more complete description of the material U.S. federal income tax consequences of the reverse stock split to holders of AVROBIO common stock.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290"/>
        <w:gridCol w:w="3125"/>
      </w:tblGrid>
      <w:tr>
        <w:trPr/>
        <w:tc>
          <w:tcPr>
            <w:tcW w:w="290" w:type="dxa"/>
            <w:tcBorders/>
            <w:vAlign w:val="center"/>
          </w:tcPr>
          <w:p>
            <w:pPr>
              <w:pStyle w:val="TableContents"/>
              <w:bidi w:val="0"/>
              <w:spacing w:before="0" w:after="283"/>
              <w:jc w:val="left"/>
              <w:rPr>
                <w:b/>
              </w:rPr>
            </w:pPr>
            <w:r>
              <w:rPr>
                <w:b/>
              </w:rPr>
              <w:t>Q:</w:t>
            </w:r>
          </w:p>
        </w:tc>
        <w:tc>
          <w:tcPr>
            <w:tcW w:w="31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AVROBIO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130" cy="38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130" cy="38100"/>
                    </a:xfrm>
                    <a:prstGeom prst="rect">
                      <a:avLst/>
                    </a:prstGeom>
                  </pic:spPr>
                </pic:pic>
              </a:graphicData>
            </a:graphic>
          </wp:inline>
        </w:drawing>
      </w: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456-3513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770053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may not contain all of the information that is important to you. To better understand the merger and the Proposals being considered at the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476 of this proxy statement/prospectus for further information. 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360" w:after="0"/>
        <w:jc w:val="left"/>
        <w:rPr>
          <w:rFonts w:ascii="Times New Roman" w:hAnsi="Times New Roman"/>
          <w:b/>
          <w:sz w:val="20"/>
          <w:bdr w:val="single" w:sz="8" w:space="1" w:color="000000"/>
        </w:rPr>
      </w:pPr>
      <w:bookmarkStart w:id="5" w:name="toc770053_3"/>
      <w:bookmarkEnd w:id="5"/>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AVROBIO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is a gene therapy company with a purpose to free people from a lifetime of genetic disease. AVROBIO has been focused on developing potentially curative hematopoietic stem cell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enzyme replacement therapies (“ERTs”).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a comprehensive review of strategic alternatives, including identifying and reviewing potential candidates for a strategic transaction, on January 30, 2024, AVROBIO entered into the Merger Agreement with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pursuant to the terms of the Subscription Agreement, and certain investors have consummated or will consummate certain additional purchases of Tectonic common stock pursuant to the conversion of certain Company SAFEs entered into by such investors and Tectonic, for an aggregate purchase price among the private financings contemplated by the Subscription Agreement and such Company SAFEs of approximately $130.7 million. While Tectonic will assume AVROBIO’s product candidates and related intellectual property rights as part of the merger, the combined company will focus on developing Tectonic’s product candidates, and at the present time, it is anticipated that the combined company will not continue to develop AVROBIO’s legacy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closing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common stock to be issued in connection with the proposed transaction. The closings of the private financings are conditioned upon the satisfaction or waiver of the conditions to the closing as well as certain other conditions. If the transactions are completed, the business of Tectonic will continue as the business of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(as defined below),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AVROBIO’s principal executive offices are located at 100 Technology Square, 6th Floor, Cambridge, Massachusetts 02139, and its telephone number is (617) 914-8420. AVROBIO’s website address is </w:t>
      </w:r>
      <w:r>
        <w:rPr>
          <w:rFonts w:ascii="Times New Roman" w:hAnsi="Times New Roman"/>
          <w:i/>
          <w:sz w:val="20"/>
          <w:bdr w:val="single" w:sz="8" w:space="1" w:color="000000"/>
        </w:rPr>
        <w:t>www.avrobio.com</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Tectonic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 technology platform in an attempt to overcome the known challenges of GPCR-targeted drug discovery. The initial platform components, first generation yeast library design and initial yeast selection protocols, were developed in Dr. Andrew Kruse’s lab at Harvard Medical School. However,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last few years the Tectonic team has made many improvements and modifications to all aspects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 platform includes components aimed at optimizing the expression, purification, and stabilization of GPCRs and pairs these advances with Tectonic’s protein engineering and structural biology capabilities. While the current libraries, receptor engineering and selection strategies are producing GPCR-targeted antibodies, the Tectonic team continues to evolve and modify aspects of the platform, which the Tectonic team believes will lead to even better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Tectonic’s lead asset, TX000045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that the platform may never result in the regulatory approval of a product candidate.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Tectonic’s principal executive offices are located at 490 Arsenal Way, Suite 210, Watertown, Massachusetts 02472, and its telephone number is (339) 666-3320. Tectonic’s website address is </w:t>
      </w:r>
      <w:r>
        <w:rPr>
          <w:rFonts w:ascii="Times New Roman" w:hAnsi="Times New Roman"/>
          <w:i/>
          <w:sz w:val="20"/>
          <w:bdr w:val="single" w:sz="8" w:space="1" w:color="000000"/>
        </w:rPr>
        <w:t>www.tectonictx.com</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Merger Sub is a direct, wholly owned subsidiary of AVROBIO and was formed solely for the purpose of carrying out the merger. Merger Sub’s principal executive offices are located at 100 Technology Square, 6th Floor, Cambridge, Massachusetts 02139, and its telephone number is (617) 914-8420.</w:t>
      </w:r>
    </w:p>
    <w:p>
      <w:pPr>
        <w:pStyle w:val="TextBody"/>
        <w:bidi w:val="0"/>
        <w:spacing w:before="360" w:after="0"/>
        <w:jc w:val="left"/>
        <w:rPr>
          <w:rFonts w:ascii="Times New Roman" w:hAnsi="Times New Roman"/>
          <w:b/>
          <w:sz w:val="20"/>
          <w:bdr w:val="single" w:sz="8" w:space="1" w:color="000000"/>
        </w:rPr>
      </w:pPr>
      <w:bookmarkStart w:id="6" w:name="toc770053_4"/>
      <w:bookmarkEnd w:id="6"/>
      <w:r>
        <w:rPr>
          <w:rFonts w:ascii="Times New Roman" w:hAnsi="Times New Roman"/>
          <w:b/>
          <w:sz w:val="20"/>
          <w:bdr w:val="single" w:sz="8" w:space="1" w:color="000000"/>
        </w:rPr>
        <w:t xml:space="preserve">The Merger (see page 179)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completed, Merger Sub will merge with and into Tectonic, with Tectonic surviving as a wholly owned subsidiary of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30, 2024, AVROBIO, Merger Sub, and Tectonic entered into the Merger Agreement, pursuant to which Merger Sub will merge with and into Tectonic, with Tectonic surviving as a wholly-owned subsidiary of AVROBIO. Tectonic will assume AVROBIO’s product candidates and related intellectual property rights as part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and Tectonic expect the merger to be consummated during the second quarter of 2024, subject to the satisfaction or waiver of certain conditions to the closing, including, among other things, approval by the AVROBIO stockholders of the Nasdaq Stock Issuance Proposal and the Reverse Stock Split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and prior to giving effect to the proposed private financings, on a pro forma basis and based upon the number of shares of AVROBIO common stock expected to be issued in the merger, AVROBIO securityholders as of immediately prior to the merger are expected to own approximately 35.6% of the combined company on a fully-diluted basis (prior to giving effect to the private financings and excluding shares reserved for future grants under the 2024 Plan and the 2024 ESPP), and after giving further effect to the proposed private financings, assuming a subscription amount of $130.7 million, AVROBIO securityholders as of immediately prior to the merger are expected to own approximately 22.3% of the outstanding shares of capital stock of the combined company on a fully-diluted basis. Immediately after the merger, and prior to giving effect to the proposed private financings, on a pro forma basis and based upon the number of shares of AVROBIO common stock expected to be issued in the merger, Tectonic securityholders as of immediately prior to the merger are expected to own approximately 64.4% of the combined company on a fully-diluted basis (prior to giving effect to the private financings and excluding shares reserved for future grants under the 2024 Plan and the 2024 ESPP), and after giving further effect to the proposed private financings, assuming a subscription amount of $130.7 million, Tectonic securityholders as of immediately prior to the merger are expected to own approximately 39.8% of the outstanding shares of capital stock of the combined company on a fully-diluted basis.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merger and the exchange ratio, please see the sections titled “</w:t>
      </w:r>
      <w:r>
        <w:rPr>
          <w:rFonts w:ascii="Times New Roman" w:hAnsi="Times New Roman"/>
          <w:i/>
          <w:sz w:val="20"/>
          <w:bdr w:val="single" w:sz="8" w:space="1" w:color="000000"/>
        </w:rPr>
        <w:t>The Merger”</w:t>
      </w:r>
      <w:r>
        <w:rPr>
          <w:rFonts w:ascii="Times New Roman" w:hAnsi="Times New Roman"/>
          <w:sz w:val="20"/>
          <w:bdr w:val="single" w:sz="8" w:space="1" w:color="000000"/>
        </w:rPr>
        <w:t xml:space="preserve"> and “</w:t>
      </w:r>
      <w:r>
        <w:rPr>
          <w:rFonts w:ascii="Times New Roman" w:hAnsi="Times New Roman"/>
          <w:i/>
          <w:sz w:val="20"/>
          <w:bdr w:val="single" w:sz="8" w:space="1" w:color="000000"/>
        </w:rPr>
        <w:t>The Merger Agreement—The Exchange Ratio</w:t>
      </w:r>
      <w:r>
        <w:rPr>
          <w:rFonts w:ascii="Times New Roman" w:hAnsi="Times New Roman"/>
          <w:sz w:val="20"/>
          <w:bdr w:val="single" w:sz="8" w:space="1" w:color="000000"/>
        </w:rPr>
        <w:t xml:space="preserve">” beginning on pages 179 and 240, respectively, of this proxy statement/prospectus. </w:t>
      </w:r>
    </w:p>
    <w:p>
      <w:pPr>
        <w:pStyle w:val="TextBody"/>
        <w:bidi w:val="0"/>
        <w:spacing w:before="360" w:after="0"/>
        <w:jc w:val="left"/>
        <w:rPr>
          <w:rFonts w:ascii="Times New Roman" w:hAnsi="Times New Roman"/>
          <w:b/>
          <w:sz w:val="20"/>
          <w:bdr w:val="single" w:sz="8" w:space="1" w:color="000000"/>
        </w:rPr>
      </w:pPr>
      <w:bookmarkStart w:id="7" w:name="toc770053_5"/>
      <w:bookmarkEnd w:id="7"/>
      <w:r>
        <w:rPr>
          <w:rFonts w:ascii="Times New Roman" w:hAnsi="Times New Roman"/>
          <w:b/>
          <w:sz w:val="20"/>
          <w:bdr w:val="single" w:sz="8" w:space="1" w:color="000000"/>
        </w:rPr>
        <w:t xml:space="preserve">AVROBIO’s Reasons for the Merger (see page 197)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the course of its evaluation of the Merger Agreement and the transactions contemplated by the Merger Agreement, the AVROBIO Board (including the Transaction Committee of the AVROBIO Board (the “Transaction Committee”)) held numerous meetings, consulted with AVROBIO’s senior management, AVROBIO’s legal and financial advisors, and reviewed and assessed a significant amount of information. In reaching its decision to approve the Merger Agreement and the transactions contemplated by the Merger Agreement, the AVROBIO Board took into account the input of the Transaction Committee and considered a number of factors that it viewed as supporting its decision to approve the Merger Agreement, including (without limitation):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AVROBIO and the risks associated with continuing to operate AVROBIO on a standalone basis, including in light of (without limitation):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decision, announced in July 2023, to discontinue its clinical and research programs which resulted in a corporate restructuring and a reduction in AVROBIO’s workforce by 50% (followed by additional reductions in force in October, November and December of 2023);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programs, the product candidates’ efficacy profile, stage of development, regulatory agencies’ feedback regarding development pathways, and probability of success in relation to the requisite time and costs, including the relative absence of meaningful, near-term regulatory and clinical inflection points for AVROBIO’s ongoing programs following the Cystinosis Sale (as defined in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AVROBIO’s related business development efforts to license, sell or otherwise partner its assets that could result in meaningful new capital or shared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costs, and to generate sufficient investor interest despite two separate attempts at capital raising, which further exacerbated the lack of opportunities to achieve meaningful near-term regulatory and clinical inflection points for AVROBIO’s ongoing programs.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AVROBIO Board and the Transaction Committee, with the assistance of AVROBIO’s management and legal and financial advisors, undertook a comprehensive and thorough process of reviewing and analyzing potential strategic alternatives and strategic transaction partner candidates, which included the public announcement of AVROBIO’s exploration of strategic alternatives on July 12, 2023, subsequent outreach to approximately 60 strategic and reverse merger candidates and review by the AVROBIO Board of other alternatives (including remaining a standalone company, a liquidation or dissolution of AVROBIO to distribute any available cash and alternative strategic transactions);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Committee and the AVROBIO Board’s belief, after a thorough review of strategic alternatives, including engagement with numerous strategic parties with respect to various types of strategic transactions (including whole-company sales, “reverse merger” transactions and “merger of equals” transactions), attempts at two capital raising financings, both of which were unable to generate sufficient investor interest, engagement with certain counterparties on potential partnership opportunities, including in Japan, and the completion of the Cystinosis Sale to Novartis, that the merger is more favorable to AVROBIO stockholders than the potential value that might have resulted from other strategic alternatives available to AVROBIO;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the $77.5 million value ascribed to AVROBIO by Tectonic would provide the existing AVROBIO stockholders significant value for AVROBIO and afford AVROBIO stockholders a significant opportunity to participate in the potential growth of the combined company following the merger at the negotiated exchange ratio, and the AVROBIO Board’s understanding that such $77.5 million value was based on a targeted $65 million of net cash at closing and that the actual valuation ascribed to AVROBIO at closing would be increased or decreased subject to actual deviations in AVROBIO’s net cash at closing in excess of a $0.5 million “hurdle” in both directions (as described more fully in the section titled ”</w:t>
            </w:r>
            <w:r>
              <w:rPr>
                <w:rFonts w:ascii="Times New Roman" w:hAnsi="Times New Roman"/>
                <w:i/>
                <w:sz w:val="20"/>
              </w:rPr>
              <w:t>The Merger Agreement</w:t>
            </w:r>
            <w:r>
              <w:rPr>
                <w:rFonts w:ascii="Times New Roman" w:hAnsi="Times New Roman"/>
                <w:sz w:val="20"/>
              </w:rPr>
              <w:t xml:space="preserve">” beginning on page 239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view, following a review with AVROBIO’s senior management and advisors of Tectonic’s current development and clinical trial plans, of the likelihood that the combined company would possess sufficient cash resources at the closing of the merger, or have access to sufficient resources, to fund continued development of Tectonic’s product candidates through certain anticipated upcoming value inflection points;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positive view, based on the scientific, regulatory and technical due diligence conducted by AVROBIO’s senior management and advisors, of the regulatory pathway for, and potential significant market opportunity of, Tectonic’s product candidates, which will be the focus of the combined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consideration of the expected cash and cash equivalents of the combined company as of the closing of the merger, including the anticipated aggregate proceeds of $130.7 million to be received by Tectonic between the Subscription Agreement and the Company SAFEs, and the quality of the investor syndicate offered by Tectonic;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Tectonic constituted the most compelling “reverse merger” counterparty as it pertains to each of the Criteria enumerated by the AVROBIO Board (for additional information, please see the section titled “—</w:t>
            </w:r>
            <w:r>
              <w:rPr>
                <w:rFonts w:ascii="Times New Roman" w:hAnsi="Times New Roman"/>
                <w:i/>
                <w:sz w:val="20"/>
              </w:rPr>
              <w:t>Background of the Merger</w:t>
            </w:r>
            <w:r>
              <w:rPr>
                <w:rFonts w:ascii="Times New Roman" w:hAnsi="Times New Roman"/>
                <w:sz w:val="20"/>
              </w:rPr>
              <w:t xml:space="preserve">” beginning on page 179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AVROBIO’s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AVROBIO stockholders to receive cash or other marketable proceeds in respect of AVROBIO’s pre-closing assets following the closing of the merger pursuant to the CVR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liquidation analysis prepared by AVROBIO’s management for the AVROBIO Board’s review, which implied an equity value of AVROBIO in the reverse merger case of approximately $87.5 million, as compared to approximately $72.6 million in the July 2024 liquidation case and approximately $68.7 million in the October 2024 liquidation case (for additional information, please see the sections titled “—</w:t>
            </w:r>
            <w:r>
              <w:rPr>
                <w:rFonts w:ascii="Times New Roman" w:hAnsi="Times New Roman"/>
                <w:i/>
                <w:sz w:val="20"/>
              </w:rPr>
              <w:t>Background of the Merger</w:t>
            </w:r>
            <w:r>
              <w:rPr>
                <w:rFonts w:ascii="Times New Roman" w:hAnsi="Times New Roman"/>
                <w:sz w:val="20"/>
              </w:rPr>
              <w:t>” and “—</w:t>
            </w:r>
            <w:r>
              <w:rPr>
                <w:rFonts w:ascii="Times New Roman" w:hAnsi="Times New Roman"/>
                <w:i/>
                <w:sz w:val="20"/>
              </w:rPr>
              <w:t>AVROBIO Liquidation Analysis</w:t>
            </w:r>
            <w:r>
              <w:rPr>
                <w:rFonts w:ascii="Times New Roman" w:hAnsi="Times New Roman"/>
                <w:sz w:val="20"/>
              </w:rPr>
              <w:t xml:space="preserve">” beginning on pages 179 and 203, respectively,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and delays associated with, and uncertain value and costs to AVROBIO stockholders of, liquidating AVROBIO, including, without limitation, the uncertainties of continuing cash burn while contingent liabilities are resolved, the uncertainty of timing of release of cash until contingent liabilities are resolved and AVROBIO’s continuing contractual obligations as of the date of the Merger Agreement that extend through June 2024;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financial analysis reviewed by Houlihan Lokey with the AVROBIO Board as well as the oral opinion of Houlihan Lokey rendered to the AVROBIO Board on January 29, 2024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(as defined below), the Exchange Ratio provided for in the Merger pursuant to the Merger Agreement, after giving effect to the Related Transactions, is fair, from a financial point of view to AVROBIO (for additional information, please see the section titled “—</w:t>
            </w:r>
            <w:r>
              <w:rPr>
                <w:rFonts w:ascii="Times New Roman" w:hAnsi="Times New Roman"/>
                <w:i/>
                <w:sz w:val="20"/>
              </w:rPr>
              <w:t>Opinion of Houlihan Lokey to the AVROBIO Board</w:t>
            </w:r>
            <w:r>
              <w:rPr>
                <w:rFonts w:ascii="Times New Roman" w:hAnsi="Times New Roman"/>
                <w:sz w:val="20"/>
              </w:rPr>
              <w:t xml:space="preserve">” beginning on page 208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AVROBIO common stock to be issued in the merger may be reduced or increased to the extent AVROBIO’s net cash position at the closing differs by more than $0.5 million from the anticipated $65.0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the conditions to Tectonic’s and AVROBIO’s respective obligations to complete the merger and the likelihood that the merger will be completed on a timely basis, including the fact that Tectonic’s obligation to complete the merger is conditioned on AVROBIO having a specified level of closing net cash being not less than $50.0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rights of, and limitations on, AVROBIO and Tectonic under the Merger Agreement to consider and engage in discussions regarding unsolicited acquisition proposals under certain circumstances, and the limitations on the board of directors of each party to change its recommendation in favor of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termination fee of $2.712 million, in the case of the fee payable by AVROBIO, or $4.9 million, in the case of the fee payable by Tectonic, if the Merger Agreement is terminated in certain circumstances, and the potential reimbursement of transaction expenses payable by AVROBIO of up to $650,000 if the special meeting has been held and completed and AVROBIO stockholders have taken a final vote on Proposal Nos. 1 and 2, and such proposals have not been approved by the AVROBIO stockholders at the AVROBIO special meeting (or any adjournment or postponement thereof);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Tectonic stockholder and AVROBIO stockholders have, subject to certain exceptions, agreed not to transfer their shares of AVROBIO common stock during the period of 180 days following the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stockholders of AVROBIO and Tectonic have agreed, solely in their capacities as stockholders, to vote all of their shares of AVROBIO common stock or Tectonic common stock (as applicable) in favor of the proposals submitted to them in connection with the merger and against any alternative acquisition proposals;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Tectonic to provide the written consent of Tectonic stockholders necessary to adopt the Merger Agreement and approve the Merger and the contemplated transactions;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AVROBIO stockholders of record as of immediately prior to the effective time (including holders of shares of AVROBIO common stock issued upon settlment of the AVROBIO RSUs), will receive a CVR for each outstanding share of AVROBIO common stock held by such AVROBIO stockholders representing the contractual right to receive cash payments, if any, upon the receipt by AVROBIO of certain net proceeds payable to the combined company, as more fully described in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would qualify as a reorganization within the meaning of Section 368(a) of the Code, and will constitute a “plan of reorganization” within the meaning of Treasury Regulations Section 1.368 2(g), with the result that Tectonic stockholders would generally not recognize taxable gain or loss for U.S. federal income tax purposes upon the exchange of Tectonic common stock for AVROBIO common stock pursuant to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titled “</w:t>
      </w:r>
      <w:r>
        <w:rPr>
          <w:rFonts w:ascii="Times New Roman" w:hAnsi="Times New Roman"/>
          <w:i/>
          <w:sz w:val="20"/>
          <w:bdr w:val="single" w:sz="8" w:space="1" w:color="000000"/>
        </w:rPr>
        <w:t>The Merger—AVROBIO’S Reasons for the Merger</w:t>
      </w:r>
      <w:r>
        <w:rPr>
          <w:rFonts w:ascii="Times New Roman" w:hAnsi="Times New Roman"/>
          <w:sz w:val="20"/>
          <w:bdr w:val="single" w:sz="8" w:space="1" w:color="000000"/>
        </w:rPr>
        <w:t xml:space="preserve">” beginning on page 197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Tectonic’s Reasons for the Merger (see page 200)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the Tectonic Board held meetings and conducted discussions, consulted with Tectonic’s senior management, its financial advisors and legal counsel, and considered a wide variety of factors. Ultimately, the Tectonic Board concluded that a merger with AVROBIO, together with the additional financing committed by the investors in the Tectonic pre-closing financing, was the best option to generate capital resources to support the advancement of Tectonic’s pipeline and fund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Tectonic Board considered, among others, the following material factors (which factors are not necessarily presented in any order or relevant importance):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provide Tectonic’s current stockholders with greater liquidity by owning publicly-traded stock, and expanding the range of investors potentially available as a public company, compared to the investors Tectonic could otherwise gain access to if it continued to operate as a privately-held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Tectonic’s business, including its financial performance and condition, operations, management and pre-clinical data generated to date; </w:t>
            </w:r>
          </w:p>
        </w:tc>
      </w:tr>
    </w:tbl>
    <w:p>
      <w:pPr>
        <w:pStyle w:val="TextBody"/>
        <w:bidi w:val="0"/>
        <w:spacing w:before="0" w:after="0"/>
        <w:jc w:val="left"/>
        <w:rPr>
          <w:bdr w:val="single" w:sz="8" w:space="1" w:color="000000"/>
        </w:rPr>
      </w:pPr>
      <w:r>
        <w:rPr>
          <w:bdr w:val="single" w:sz="8" w:space="1" w:color="000000"/>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Tectonic operates; </w:t>
            </w:r>
          </w:p>
        </w:tc>
      </w:tr>
    </w:tbl>
    <w:p>
      <w:pPr>
        <w:pStyle w:val="TextBody"/>
        <w:bidi w:val="0"/>
        <w:spacing w:before="0" w:after="0"/>
        <w:jc w:val="left"/>
        <w:rPr>
          <w:bdr w:val="single" w:sz="8" w:space="1" w:color="000000"/>
        </w:rPr>
      </w:pPr>
      <w:r>
        <w:rPr>
          <w:bdr w:val="single" w:sz="8" w:space="1" w:color="000000"/>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Board’s fiduciary duties to Tectonic stockholders;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Tectonic’s Board’s belief that no alternatives to the merger were reasonably likely to create greater value for the Tectonic stockholders, after reviewing the various financing and other strategic options to enhance stockholder value that were considered by the Tectonic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financial position, operations, management structure, geographic locations, operating plans, cash burn rate and financial projections of the combined company, including the expected cash resources of the combined company (including the ability to support the combined company’s current and planned clinical trials and operations); </w:t>
            </w:r>
          </w:p>
        </w:tc>
      </w:tr>
    </w:tbl>
    <w:p>
      <w:pPr>
        <w:pStyle w:val="TextBody"/>
        <w:bidi w:val="0"/>
        <w:spacing w:before="0" w:after="0"/>
        <w:jc w:val="left"/>
        <w:rPr>
          <w:bdr w:val="single" w:sz="8" w:space="1" w:color="000000"/>
        </w:rPr>
      </w:pPr>
      <w:r>
        <w:rPr>
          <w:bdr w:val="single" w:sz="8" w:space="1" w:color="000000"/>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AVROBIO;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Delaware General Corporation Law (“DGCL”) to holders of Tectonic’s capital stock who comply with the required procedures under the DGCL, which allow such holders to seek appraisal of the fair value of their shares of Tectonic capital stock as determined by the Delaware Court of Chancery; and </w:t>
            </w:r>
          </w:p>
        </w:tc>
      </w:tr>
    </w:tbl>
    <w:p>
      <w:pPr>
        <w:pStyle w:val="TextBody"/>
        <w:bidi w:val="0"/>
        <w:spacing w:before="0" w:after="0"/>
        <w:jc w:val="left"/>
        <w:rPr>
          <w:bdr w:val="single" w:sz="8" w:space="1" w:color="000000"/>
        </w:rPr>
      </w:pPr>
      <w:r>
        <w:rPr>
          <w:bdr w:val="single" w:sz="8" w:space="1" w:color="000000"/>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titled “</w:t>
      </w:r>
      <w:r>
        <w:rPr>
          <w:rFonts w:ascii="Times New Roman" w:hAnsi="Times New Roman"/>
          <w:i/>
          <w:sz w:val="20"/>
          <w:bdr w:val="single" w:sz="8" w:space="1" w:color="000000"/>
        </w:rPr>
        <w:t>The Merger—Tectonic’s Reasons for the Merger</w:t>
      </w:r>
      <w:r>
        <w:rPr>
          <w:rFonts w:ascii="Times New Roman" w:hAnsi="Times New Roman"/>
          <w:sz w:val="20"/>
          <w:bdr w:val="single" w:sz="8" w:space="1" w:color="000000"/>
        </w:rPr>
        <w:t xml:space="preserve">” beginning on page 200 of this proxy statement/prospectus. </w:t>
      </w:r>
    </w:p>
    <w:p>
      <w:pPr>
        <w:pStyle w:val="TextBody"/>
        <w:bidi w:val="0"/>
        <w:spacing w:before="240" w:after="0"/>
        <w:jc w:val="left"/>
        <w:rPr>
          <w:rFonts w:ascii="Times New Roman" w:hAnsi="Times New Roman"/>
          <w:sz w:val="20"/>
          <w:bdr w:val="single" w:sz="8" w:space="1" w:color="000000"/>
        </w:rPr>
      </w:pPr>
      <w:bookmarkStart w:id="8" w:name="toc770053_6"/>
      <w:bookmarkEnd w:id="8"/>
      <w:r>
        <w:rPr>
          <w:rFonts w:ascii="Times New Roman" w:hAnsi="Times New Roman"/>
          <w:b/>
          <w:sz w:val="20"/>
          <w:bdr w:val="single" w:sz="8" w:space="1" w:color="000000"/>
        </w:rPr>
        <w:t xml:space="preserve">Recommendation of the AVROBIO Board </w:t>
      </w:r>
      <w:r>
        <w:rPr>
          <w:rFonts w:ascii="Times New Roman" w:hAnsi="Times New Roman"/>
          <w:sz w:val="20"/>
          <w:bdr w:val="single" w:sz="8" w:space="1" w:color="000000"/>
        </w:rPr>
        <w:t xml:space="preserve">(see page 174)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issuance of shares of AVROBIO common stock pursuant to the Merger Agreement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Nasdaq Stock Issuance Proposal as described on page 307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fair to, in the best interests of, and advisable to, AVROBIO and its stockholders to approve the amendment to AVROBIO’s charter to effect the reverse stock split, as described on page 309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Reverse Stock Split Proposal as described on page 309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advisable to, and in the best interests of, AVROBIO and its stockholders to approve the amendment to AVROBIO’s charter to provide for the exculpation of officers, as described on page 316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Officer Exculpation Proposal as described on page 316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Plan, as described on page 318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Incentive Plan Proposal as described on page 318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ESPP, as described on page 328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ESPP Proposal as described on page 328 of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compensation that will or may become payable to the named executive officers of AVROBIO in connection with the merger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Executive Compensation Arrangements Proposal as described on page 332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adjourning the special meeting, if necessary, to solicit additional proxies if there are not sufficient votes in favor of the Nasdaq Stock Issuance Proposal and/or the Reverse Stock Split Proposal is fair to, in the best interests of, and advisable to, AVROBIO and its stockholders and has approved and adopted the proposal. The AVROBIO Board unanimously recommends that AVROBIO stockholders vote “</w:t>
            </w:r>
            <w:r>
              <w:rPr>
                <w:rFonts w:ascii="Times New Roman" w:hAnsi="Times New Roman"/>
                <w:b/>
                <w:sz w:val="20"/>
              </w:rPr>
              <w:t>FOR</w:t>
            </w:r>
            <w:r>
              <w:rPr>
                <w:rFonts w:ascii="Times New Roman" w:hAnsi="Times New Roman"/>
                <w:sz w:val="20"/>
              </w:rPr>
              <w:t xml:space="preserve">” the Adjournment Proposal, if necessary, as described on page 333 of this proxy statement/prospectus. </w:t>
            </w:r>
          </w:p>
        </w:tc>
      </w:tr>
    </w:tbl>
    <w:p>
      <w:pPr>
        <w:pStyle w:val="TextBody"/>
        <w:bidi w:val="0"/>
        <w:spacing w:before="360" w:after="0"/>
        <w:jc w:val="left"/>
        <w:rPr>
          <w:rFonts w:ascii="Times New Roman" w:hAnsi="Times New Roman"/>
          <w:b/>
          <w:sz w:val="20"/>
          <w:bdr w:val="single" w:sz="8" w:space="1" w:color="000000"/>
        </w:rPr>
      </w:pPr>
      <w:bookmarkStart w:id="9" w:name="toc770053_7"/>
      <w:bookmarkEnd w:id="9"/>
      <w:r>
        <w:rPr>
          <w:rFonts w:ascii="Times New Roman" w:hAnsi="Times New Roman"/>
          <w:b/>
          <w:sz w:val="20"/>
          <w:bdr w:val="single" w:sz="8" w:space="1" w:color="000000"/>
        </w:rPr>
        <w:t xml:space="preserve">Interests of AVROBIO’s Directors and Executive Officers in the Merger (see page 221)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AVROBIO Board with respect to issuing shares of AVROBIO common stock in the merger and the other matters to be acted upon by the AVROBIO stockholders at the special meeting, the AVROBIO stockholders should be aware that AVROBIO’s directors and executive officers have interests in the merger that are different from, or in addition to, the interests of AVROBIO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Phillip Donenberg will continue as a director of the combined company after the effective time, and, following the closing, will be eligible to be compensated as a non-employee director of the combined company pursuant to the non-employee director compensation policy in place following the effective time of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the vesting and exercisability of each in-the-money unexpired, unexercised and unvested option to purchase AVROBIO common stock and the vesting and exercisability of 50% of certain additional unexpired, unexercised and unvested option to purchase AVROBIO common stock will be accelerated as of immediately prior to the effective time and each such AVROBIO option that is held by AVROBIO’s directors and executive officers as of the effective time who is or will be party to a lock-up agreement will remain outstanding and exercisable until six months after the expiration of the applicable “restricted period” (as defined in the applicable lock-up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all outstanding AVROBIO RSUs that vest solely on the basis of time will be accelerated in full as of immediately prior to the effective time and for each outstanding and unsettled AVROBIO RSU that vests solely on the basis of time (including any AVROBIO RSUs accelerated in connection with this merger), the AVROBIO’s directors and officers will receive a number of shares of AVROBIO common stock equal to the number of vested and unsettled shares underlying such AVROBIO RSUs; certain of AVROBIO’s executive officers are parties to either, or a combination of, an employment agreement, separation agreement and/or retention agreement that provide for severance benefits, including accelerated vesting of outstanding equity awards and certain cash payments, in connection with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AVROBIO’s directors and executive officers are entitled to continued indemnification, expense advancement and insurance coverage;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employment agreements may result in the receipt by such executive officers of cash severance payments and other benefits with a total value of approximately $2.8 million (collectively, not individually) in connection with this merger and the associated termination of their employment from AVROBIO, which reflects, among other things, (i) conversion of Ms. Ridha’s cash severance payments and other benefits from GBP to USD using the exchange rate as of February 1, 2024 (1 GBP = 1.2745 USD), (ii) each executive officer’s base salary and target bonus as of March 15, 2024, and (iii) the value of COBRA premium reimbursements for health benefit coverage equal to the amount AVROBIO would pay absent a termination of employment for up to 12 months. Such payments and other benefits will be deducted from AVROBIO’s net cash at closing in accordance with the terms of the Merger Agreement; however, after taking into account any such deductions, AVROBIO management currently anticipates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net cash as of closing will be approximately $65.0 million to $75.0 million, and the ownership percentages may be adjusted up or down on account of AVROBIO’s net cash as of closing only if AVROBIO’s net cash as of closing is lower than $64.5 million or greater than $65.5 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value of in-the-money AVROBIO options and RSUs that will be subject to accelerated vesting is $1.1 million for executive officers and $0.1 million for directors, assuming $1.33 per share of AVROBIO common stock, which reflects the average closing market price of AVROBIO’s common stock over the first five trading days ending three trading days prior to the first public announcement of the transaction; and </w:t>
            </w:r>
          </w:p>
        </w:tc>
      </w:tr>
    </w:tbl>
    <w:p>
      <w:pPr>
        <w:pStyle w:val="TextBody"/>
        <w:bidi w:val="0"/>
        <w:spacing w:before="0" w:after="0"/>
        <w:jc w:val="left"/>
        <w:rPr>
          <w:bdr w:val="single" w:sz="8" w:space="1" w:color="000000"/>
        </w:rPr>
      </w:pPr>
      <w:r>
        <w:rPr>
          <w:bdr w:val="single" w:sz="8" w:space="1" w:color="000000"/>
        </w:rPr>
        <w:t> </w:t>
      </w:r>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and directors hold an aggregate of 447,500 shares subject to Specified Options (as defined below).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AVROBIO Board was aware of these potential conflicts of interest and considered them, among other matters, in reaching its decision to approve the Merger Agreement and the merger, and to recommend that the AVROBIO stockholders approve the proposals to be presented to the AVROBIO stockholders for consideration at the special meeting as contemplated by this proxy statement/prospectus. </w:t>
      </w:r>
    </w:p>
    <w:p>
      <w:pPr>
        <w:pStyle w:val="TextBody"/>
        <w:bidi w:val="0"/>
        <w:spacing w:before="360" w:after="0"/>
        <w:jc w:val="left"/>
        <w:rPr>
          <w:rFonts w:ascii="Times New Roman" w:hAnsi="Times New Roman"/>
          <w:b/>
          <w:sz w:val="20"/>
          <w:bdr w:val="single" w:sz="8" w:space="1" w:color="000000"/>
        </w:rPr>
      </w:pPr>
      <w:bookmarkStart w:id="10" w:name="toc770053_8"/>
      <w:bookmarkEnd w:id="10"/>
      <w:r>
        <w:rPr>
          <w:rFonts w:ascii="Times New Roman" w:hAnsi="Times New Roman"/>
          <w:b/>
          <w:sz w:val="20"/>
          <w:bdr w:val="single" w:sz="8" w:space="1" w:color="000000"/>
        </w:rPr>
        <w:t xml:space="preserve">Interests of Tectonic’s Directors and Executive Officers in the Merger (see page 227)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Tectonic Board with respect to approving the merger, AVROBIO stockholders should be aware that Tectonic’s directors and executive officers have interests in the merger that are different from, or in addition to, the interests of Tectonic stockholders generally. These interests may present them with actual or potential conflicts of interest, and these interests, to the extent material, are described below: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Tectonic’s current non-employee directors and executive officers beneficially owned, in the aggregate, approximately 90.5% of the outstanding shares of Tectonic capital stock, which for purposes of this subsection excludes any Tectonic shares issuable upon exercise or settlement of Tectonic stock options held by such individual;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under the Tectonic Equity Incentive Plan and that, following assumption by AVROBIO at the effective time, whether or not vested, will be converted into an option to purchase shares of AVROBIO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Tectonic’s directors and executive officers are expected to become the directors and executive officers of the combined company upon the closing of the merger;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AVROBIO’s directors and executive officers are entitled to continued indemnification, expense advancement and insurance coverage.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Merger—Interests of Tectonic’s Directors and Executive Officers in the Merger</w:t>
      </w:r>
      <w:r>
        <w:rPr>
          <w:rFonts w:ascii="Times New Roman" w:hAnsi="Times New Roman"/>
          <w:sz w:val="20"/>
          <w:bdr w:val="single" w:sz="8" w:space="1" w:color="000000"/>
        </w:rPr>
        <w:t xml:space="preserve">” beginning on page 227 of this proxy statement/prospectus. The Tectonic Board was aware of these potential conflicts of interest and considered them, among other matters, in reaching its decision to approve the Merger Agreement and the merger, and to recommend that the Tectonic stockholders approve the merger. </w:t>
      </w:r>
    </w:p>
    <w:p>
      <w:pPr>
        <w:pStyle w:val="TextBody"/>
        <w:bidi w:val="0"/>
        <w:spacing w:before="360" w:after="0"/>
        <w:jc w:val="left"/>
        <w:rPr>
          <w:rFonts w:ascii="Times New Roman" w:hAnsi="Times New Roman"/>
          <w:b/>
          <w:sz w:val="20"/>
          <w:bdr w:val="single" w:sz="8" w:space="1" w:color="000000"/>
        </w:rPr>
      </w:pPr>
      <w:bookmarkStart w:id="11" w:name="toc770053_9"/>
      <w:bookmarkEnd w:id="11"/>
      <w:r>
        <w:rPr>
          <w:rFonts w:ascii="Times New Roman" w:hAnsi="Times New Roman"/>
          <w:b/>
          <w:sz w:val="20"/>
          <w:bdr w:val="single" w:sz="8" w:space="1" w:color="000000"/>
        </w:rPr>
        <w:t xml:space="preserve">Opinion of Houlihan Lokey to the AVROBIO Board (see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29, 2024, Houlihan Lokey Capital, Inc. (“Houlihan Lokey”) orally rendered its opinion to the AVROBIO Board (which was subsequently confirmed in writing by delivery of Houlihan Lokey’s written opinion addressed to the AVROBIO Board dated January 29, 2024 (the “Opinion”), to the effect that, as of January 29, 2024, based upon and subject to the assumptions, qualifications, limitations and other matters considered as set forth in the Opinion, the Exchange Ratio provided for in the Merger pursuant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Agreement, after giving effect to the Related Transactions, was fair, from a financial point of view, to AVROBIO. “Related Transactions” refers to any sale, license or other monetization of AVROBIO’s legacy business prior to the Merger, the private financings including the Company SAFEs, the distribution of the CVRs and the reverse stock split, collectively, and the “Transaction” refers to the Merger, together with the Related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Houlihan Lokey’s opinion was directed to the AVROBIO Board and only addressed the fairness, from a financial point of view, to AVROBIO of the Exchange Ratio provided for in the Merger pursuant</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to the Merger Agreement after giving effect to the Related Transactions and did not address, among other things,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The summary of Houlihan Lokey’s opinion in this proxy statement/prospectus is qualified in its entirety by reference to the full text of its written opinion, which is attached as </w:t>
      </w:r>
      <w:r>
        <w:rPr>
          <w:rFonts w:ascii="Times New Roman" w:hAnsi="Times New Roman"/>
          <w:b/>
          <w:sz w:val="20"/>
          <w:u w:val="single"/>
          <w:bdr w:val="single" w:sz="8" w:space="1" w:color="000000"/>
        </w:rPr>
        <w:t>Annex B</w:t>
      </w:r>
      <w:r>
        <w:rPr>
          <w:rFonts w:ascii="Times New Roman" w:hAnsi="Times New Roman"/>
          <w:b/>
          <w:sz w:val="20"/>
          <w:bdr w:val="single" w:sz="8" w:space="1" w:color="000000"/>
        </w:rPr>
        <w:t xml:space="preserve"> to this proxy statement/prospectus and describes the procedures followed, assumptions made, qualifications and limitations on the review undertaken and other matters considered by Houlihan Lokey in connection with the preparation of the Opinion. However, neither the Opinion nor the summary of the Opinion and the related analyses set forth in this proxy statement/prospectus are intended to be, and do not constitute, a recommendation to the AVROBIO Board, any security holder of AVROBIO or any other party as to how to act or vote with respect to any matter relating to the Transaction.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The Merger Agreement (see page 239)</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239)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product of the exchange ratio multiplied by each share of Tectonic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Exchange Ratio </w:t>
      </w:r>
      <w:r>
        <w:rPr>
          <w:rFonts w:ascii="Times New Roman" w:hAnsi="Times New Roman"/>
          <w:sz w:val="20"/>
          <w:bdr w:val="single" w:sz="8" w:space="1" w:color="000000"/>
        </w:rPr>
        <w:t xml:space="preserve">(see page 240)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calculated using a formula intended to allocate existing AVROBIO and Tectonic securityholders a percentage of the combined company. Based on AVROBIO’s and Tectonic’s capitalization as of January 30, 2024, the date the Merger Agreement was executed, and certain other assumptions the exchange ratio is estimated to be equal to approximately 0.74458326 shares of AVROBIO common stock. This estimate is subject to adjustment prior to the closing for net cash at the cash determination time (and as a result, AVROBIO securityholders could own more, and Tectonic securityholders could own less, or vice versa, of the combined company). AVROBIO management currently anticipates that AVROBIO’s net cash as of closing will be approximately $65.0 million to $75.0 million and therefore the exchange ratio is currently estimated to be approximately 0.74458326 (assuming (i) $65.0 million in AVROBIO’s net cash as of closing, (ii) a one-for-ten reverse stock split, and (iii) the private financings in Tectonic being in the amount of $130.7 million).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Treatment of Tectonic Options and the Tectonic Equity Incentive Plan</w:t>
      </w:r>
      <w:r>
        <w:rPr>
          <w:rFonts w:ascii="Times New Roman" w:hAnsi="Times New Roman"/>
          <w:sz w:val="20"/>
          <w:bdr w:val="single" w:sz="8" w:space="1" w:color="000000"/>
        </w:rPr>
        <w:t xml:space="preserve"> (see page 243)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Tectonic common stock that is outstanding and unexercised immediately prior to the effective time, whether or not vested, will be assumed and converted into an option to purchase shares of AVROBIO common stock. Accordingly, from and after the effective time: (i) each outstanding Tectonic stock option assumed by AVROBIO may be exercised solely for shares of AVROBIO common stock; (ii) the number of shares of AVROBIO common stock subject to each outstanding Tectonic stock option assumed by AVROBIO will be determined by multiplying (A) the number of shares of Tectonic common stock that were subject to such Tectonic stock option assumed by AVROBIO, as in effect immediately prior to the effective time, by (B) the exchange ratio, and rounding the resulting number down to the nearest whole number of shares of AVROBIO common stock; and (iii) the per share exercise price of each Tectonic stock option assumed by AVROBIO will be determined by dividing (A) the per share exercise price of such Tectonic stock option, as in effect immediately prior to the effective time, by (B) the exchange ratio and rounding the resulting exercise price up to the nearest whole cent. Each Tectonic stock option assumed by AVROBIO will otherwise continue in full force and effect and the term, exercisability, vesting schedule, acceleration rights and other terms and conditions of such Tectonic stock option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will assume the Tectonic Equity Incentive Plan. Each Tectonic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AVROBIO common stock subsequent to the effective time. In addition, the compensation committee of the AVROBIO Board (the “AVROBIO Compensation Committee”) will succeed to the authority and responsibility of the Tectonic Board as administrator of the Tectonic Equity Incentive Plan.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Treatment of AVROBIO Common Stock, AVROBIO Options and AVROBIO RSUs </w:t>
      </w:r>
      <w:r>
        <w:rPr>
          <w:rFonts w:ascii="Times New Roman" w:hAnsi="Times New Roman"/>
          <w:sz w:val="20"/>
          <w:bdr w:val="single" w:sz="8" w:space="1" w:color="000000"/>
        </w:rPr>
        <w:t xml:space="preserve">(see page 244)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AVROBIO common stock issued and outstanding at the time of the merger will remain issued and outstanding, and, subject to the proposed reverse stock split and any extension to the expiration time provided for in connection with the merger, will be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each AVROBIO in-the-money option that is outstanding immediately prior to the effective time that is held by a current AVROBIO employee, director, or consultant of AVROBIO as of the date of the Merger Agreement will be accelerated in full effective as of the effective time and each AVROBIO in-the-money option that is unexpired, unexercised and outstanding as of immediately prior to the effective time and is held by a current AVROBIO employee, director or consultant as of the date of the execution of the Merger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who is a signatory to the lock-up agreement, will survive the closing and remain outstanding and exercisable until six months after the expiration of the Restricted Period (as defined in the signatory’s respective lock-up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the Merger Agreement provides that the vesting and exercisability of 50% of certain unexpired and unexercised AVROBIO options that remain outstanding as of immediately prior to the effective time that (i) are held by a current AVROBIO employee, director or consultant as of the date of the Merger Agreement will be accelerated in full effective as of immediately prior to the effective time and (ii) each such AVROBIO option that is unexpired, unexercised, and outstanding as of immediately prior to the effective time and is held by a current AVROBIO employee director or consultant as of the date of the Merger Agreement who is or will be party to a lock-up agreement will remain outstanding and exercisable until six months after the expiration of the applicable “restricted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256)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AVROBIO stockholders must approve Proposal Nos. 1 and 2 and Tectonic stockholders must adopt the Merger Agreement and approve the merger and the related transactions contemplated by the Merger Agreement. Additionally, each party’s obligation to complete the Merger is subject to the satisfaction or, to the extent permitted by applicable law, the written waiver by each of the parties, at or prior to the closing, of various closing conditions set forth in the Merger Agreement.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250)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AVROBIO and Tectonic from inquiring about or seeking a competing transaction in lieu of the proposed transactions. Each of AVROBIO and Tectonic have agreed that AVROBIO and Tectonic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 initiate or knowingly encourage, induce or facilitate the communication, making or submission of any Acquisition Proposal (as defined in the section titled “</w:t>
            </w:r>
            <w:r>
              <w:rPr>
                <w:rFonts w:ascii="Times New Roman" w:hAnsi="Times New Roman"/>
                <w:i/>
                <w:sz w:val="20"/>
              </w:rPr>
              <w:t>The Merger Agreement—Non-Solicitation</w:t>
            </w:r>
            <w:r>
              <w:rPr>
                <w:rFonts w:ascii="Times New Roman" w:hAnsi="Times New Roman"/>
                <w:sz w:val="20"/>
              </w:rPr>
              <w:t>” beginning on page 250 of this proxy statement/prospectus) or Acquisition Inquiry (as defined in the section titled “</w:t>
            </w:r>
            <w:r>
              <w:rPr>
                <w:rFonts w:ascii="Times New Roman" w:hAnsi="Times New Roman"/>
                <w:i/>
                <w:sz w:val="20"/>
              </w:rPr>
              <w:t>The Merger Agreement—Non-Solicitation</w:t>
            </w:r>
            <w:r>
              <w:rPr>
                <w:rFonts w:ascii="Times New Roman" w:hAnsi="Times New Roman"/>
                <w:sz w:val="20"/>
              </w:rPr>
              <w:t xml:space="preserve">” beginning on page 250 of this proxy statement/prospectus) or take any action that could reasonably be expected to lead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(other than to inform any person of the existence of the provisions of the Merger Agreement)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(subject to certain exceptions); or </w:t>
            </w:r>
          </w:p>
        </w:tc>
      </w:tr>
    </w:tbl>
    <w:p>
      <w:pPr>
        <w:pStyle w:val="TextBody"/>
        <w:bidi w:val="0"/>
        <w:spacing w:before="0" w:after="0"/>
        <w:jc w:val="left"/>
        <w:rPr>
          <w:bdr w:val="single" w:sz="8" w:space="1" w:color="000000"/>
        </w:rPr>
      </w:pPr>
      <w:r>
        <w:rPr>
          <w:bdr w:val="single" w:sz="8" w:space="1" w:color="000000"/>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resolve or agree to do any of the foregoing (subject to certain exceptions).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252)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Under the Merger Agreement, AVROBIO agreed to make the AVROBIO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beginning on page 252 of this proxy statement/prospectus) and that the AVROBIO Board will also make the Second AVROBIO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xml:space="preserve">” beginning on page 252 of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Tectonic Board may not change the Tectonic board recommendation (as defined in the section titled “</w:t>
      </w:r>
      <w:r>
        <w:rPr>
          <w:rFonts w:ascii="Times New Roman" w:hAnsi="Times New Roman"/>
          <w:i/>
          <w:sz w:val="20"/>
          <w:bdr w:val="single" w:sz="8" w:space="1" w:color="000000"/>
        </w:rPr>
        <w:t>The Merger Agreement—Board Recommendation Change</w:t>
      </w:r>
      <w:r>
        <w:rPr>
          <w:rFonts w:ascii="Times New Roman" w:hAnsi="Times New Roman"/>
          <w:sz w:val="20"/>
          <w:bdr w:val="single" w:sz="8" w:space="1" w:color="000000"/>
        </w:rPr>
        <w:t xml:space="preserve">” beginning on page 252 of this proxy statement/prospectus) and the AVROBIO Board may not change the AVROBIO Board recommendation, except that, prior to receipt by such party of its stockholder approval, such party’s board of directors may effect a change in recommendation with respect to a Superior Offer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(or committee thereof) shall have determined in good faith, after consultation with its outside legal counsel, that the failure to effect such change in recommendation would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and has caused its financial advisors and outside legal counsel to, during the required four business day notice period, negotiated with the other party in good faith to make such adjustments to the terms and conditions of the Merger Agreement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In the event of any material amendment to any superior offer, such party would be required to provide the other party with notice of such material amendment and there would be a new four-business day period following such notification during which the parties would be obligated to comply again with the requirements described above.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anything to the contrary in the Merger Agreement, at any time prior to the AVROBIO stockholders adopting the Merger Agreement, the AVROBIO board may withhold, amend, withdraw or modify the Second AVROBIO Board recommendation in its exercise of its fiduciary duties.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AVROBIO or Tectonic may terminate the Merger Agreement under certain circumstances, which would prevent the merger from being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AVROBIO could be required to pay Tectonic a termination fee of $2,712,500. If the Merger Agreement is terminated under certain circumstances, Tectonic could be required to pay AVROBIO a termination fee of $4,900,000. In addition, if the Merger Agreement is terminated by AVROBIO or Tectonic due to AVROBIO stockholders voting on and failing to approve Proposal Nos. 1 and 2 at the special meeting (or any adjournment thereof), AVROBIO will be required to reimburse Tectonic for merger-related expenses up to $650,000. The expense reimbursement, to the extent paid, will be credited against any termination fee payable by AVROBIO in the transaction.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Tectonic stockholders are parties to support agreements with Tectonic pursuant to which, among other things, each such stockholder, solely in his, her or its capacity as a Tectonic stockholder, has agreed to vote 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These Tectonic stockholders also agreed to vote against any competing Acquisition Proposal with respect to Tectonic.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30, 2024, the Tectonic stockholders that are party to a support agreement with Tectonic held shares of Tectonic capital stock representing approximately 88.0% of the voting power of Tectonic. These stockholders include executive officers and directors of Tectonic, as well as certain other stockholders owning a significant portion of the outstanding shares of Tectonic capital stock.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contemplated by the Merger Agreement will execute a written consent providing for such adoption and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AVROBIO stockholders are parties to support agreements with AVROBIO pursuant to which, among other things, each such stockholder, solely in his, her or its capacity as an AVROBIO stockholder, has agreed to vote all of such stockholder’s shares of AVROBIO capital stock in favor of (i) the adoption of the Merger Agreement and (ii) the approval of the merger and related transactions contemplated by the Merger Agreement. These AVROBIO stockholders also agreed to vote against any competing Acquisition Proposal with respect to AVROBIO.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January 30, 2024, the AVROBIO stockholders that are party to a support agreement with AVROBIO owned approximately 10.8% of the outstanding shares of AVROBIO capital stock. These stockholders include executive officers and directors of AVROBIO, as well as certain other stockholders owning a significant portion of the outstanding shares of AVROBIO capital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Tectonic’s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warrant to purchase, or otherwise transfer or dispose of, directly or indirectly, any shares of AVROBIO common stock or any securities convertible into or exercisable or exchangeable for AVROBIO common stock, currently or thereafter owned, including, as applicable, shares purchased by such persons in the private financings, until 180 days after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AVROBIO’s directors have entered into lock-up agreements, pursuant to which such stockholders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 common stock or any securities convertible into or exercisable or exchangeable for AVROBIO common stock, currently or thereafter owned, until 180 days after the effective time.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Subscription Agreement </w:t>
      </w:r>
      <w:r>
        <w:rPr>
          <w:rFonts w:ascii="Times New Roman" w:hAnsi="Times New Roman"/>
          <w:sz w:val="20"/>
          <w:bdr w:val="single" w:sz="8" w:space="1" w:color="000000"/>
        </w:rPr>
        <w:t xml:space="preserve">(see page 264)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and delivery of the Merger Agreement, purchasers, including certain existing investors of Tectonic and/or AVROBIO, entered into a Subscription Agreement with Tectonic, pursuant to which such investors have agreed to purchase Tectonic common stock representing an aggregate commitment of $96.6 million in the private financings for an aggregate purchase price among the transactions contemplated by the Subscription Agreement and the Company SAFEs of approximately $130.7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Subscription Agreement contains customary representations and warranties of AVROBIO and also contain customary representations and warranties of the purchasers party thereto. The private financings are expected to be consummated immediately prior to the closing of the merger. The closings of the private financings are conditioned upon the satisfaction or waiver of all conditions to the closing of the merger, with the merger anticipated to be consummated substantially simultaneously with the closings of the private financings, as set forth in the Merger Agreement, as well as certain other conditions. As such, at the time that AVROBIO stockholders are expected to vote at the special meeting, whether the private financings will close in a timely manner or at all will not be known.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condition, there can be no assurance that AVROBIO and Tectonic will ultimately determine, in their sole discretion, not to waive this or any other condition to the merger. The shares of Tectonic common stock that are issued in the private financings will be converted into shares of AVROBIO common stock in the merger. Accordingly, by approving Proposal No. 1 relating to the merger, AVROBIO stockholders will also be approving the issuance of shares of AVROBIO common stock to be issued in exchange for all shares of Tectonic common stock that are sold in the private financings.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CVR Agreement </w:t>
      </w:r>
      <w:r>
        <w:rPr>
          <w:rFonts w:ascii="Times New Roman" w:hAnsi="Times New Roman"/>
          <w:sz w:val="20"/>
          <w:bdr w:val="single" w:sz="8" w:space="1" w:color="000000"/>
        </w:rPr>
        <w:t xml:space="preserve">(see page 266)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AVROBIO and its designated rights agent will enter into the CVR Agreement. As provided in the Merger Agreement, AVROBIO intends to declare a dividend to each person who as of immediately prior to the effective time was a stockholder of record of AVROBIO (including holders of shares of AVROBIO common stock issued upon settlement of the AVROBIO RSUs) or had the right to receive AVROBIO common stock the right to receive one non-transferable CVR for each outstanding share of AVROBIO common stock held by such person as of such date, each representing the non-transferable contractual right to receive certain contingent payments from AVROBIO upon the occurrence of certain events within agreed time periods (the “CVR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CVR Agreement, each CVR holder is entitled to certain rights to receive a pro rata portion of 80% of the net proceeds (as defined in the CVR Agreement), if any, received by AVROBIO as a result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subsidiaries, losses incurred or reasonably expected to be incurred by AVROBIO or its affiliates due to a third party proceeding in connection with a disposition and certain wind-down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may not be transferred, pledged, hypothecated, encumbered, assigned or otherwise disposed of (whether by sale, merger, consolidation, liquidation, dissolution, dividend, distribution or otherwise), in whole or in part, subject to certain limited exceptions.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will not be evidenced by a certificate or any other instrument. The CVRs will not have any voting or dividend rights, and interest will not accrue on any amounts payable in respect of the CVRs. The CVRs will not represent any equity or ownership interest in AVROBIO, any constituent company to the merger, or any of its respective affiliates. </w:t>
      </w:r>
    </w:p>
    <w:p>
      <w:pPr>
        <w:pStyle w:val="TextBody"/>
        <w:bidi w:val="0"/>
        <w:spacing w:before="360" w:after="0"/>
        <w:jc w:val="left"/>
        <w:rPr>
          <w:rFonts w:ascii="Times New Roman" w:hAnsi="Times New Roman"/>
          <w:b/>
          <w:sz w:val="20"/>
          <w:bdr w:val="single" w:sz="8" w:space="1" w:color="000000"/>
        </w:rPr>
      </w:pPr>
      <w:bookmarkStart w:id="12" w:name="toc770053_10"/>
      <w:bookmarkEnd w:id="12"/>
      <w:r>
        <w:rPr>
          <w:rFonts w:ascii="Times New Roman" w:hAnsi="Times New Roman"/>
          <w:b/>
          <w:sz w:val="20"/>
          <w:bdr w:val="single" w:sz="8" w:space="1" w:color="000000"/>
        </w:rPr>
        <w:t>Management Following the Merger (see page 427)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as of the closing, the combined company’s executive officers are expected to be members of the Tectonic executive management team prior to the merger, including: </w:t>
      </w:r>
    </w:p>
    <w:p>
      <w:pPr>
        <w:pStyle w:val="TextBody"/>
        <w:bidi w:val="0"/>
        <w:spacing w:before="0" w:after="0"/>
        <w:jc w:val="left"/>
        <w:rPr>
          <w:bdr w:val="single" w:sz="8" w:space="1" w:color="000000"/>
        </w:rPr>
      </w:pPr>
      <w:r>
        <w:rPr>
          <w:bdr w:val="single" w:sz="8" w:space="1" w:color="000000"/>
        </w:rPr>
        <w:t> </w:t>
      </w:r>
    </w:p>
    <w:tbl>
      <w:tblPr>
        <w:tblW w:w="7150" w:type="dxa"/>
        <w:jc w:val="left"/>
        <w:tblInd w:w="0" w:type="dxa"/>
        <w:tblLayout w:type="fixed"/>
        <w:tblCellMar>
          <w:top w:w="0" w:type="dxa"/>
          <w:left w:w="0" w:type="dxa"/>
          <w:bottom w:w="0" w:type="dxa"/>
          <w:right w:w="0" w:type="dxa"/>
        </w:tblCellMar>
      </w:tblPr>
      <w:tblGrid>
        <w:gridCol w:w="2075"/>
        <w:gridCol w:w="120"/>
        <w:gridCol w:w="495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Executive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Operating Officer and Chief Financial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Scientific Officer</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Medical Officer</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shd w:fill="CCEEFF" w:val="clear"/>
            <w:vAlign w:val="center"/>
          </w:tcPr>
          <w:p>
            <w:pPr>
              <w:pStyle w:val="TableContents"/>
              <w:bidi w:val="0"/>
              <w:spacing w:before="0" w:after="283"/>
              <w:jc w:val="left"/>
              <w:rPr/>
            </w:pPr>
            <w:r>
              <w:rPr/>
              <w:t>  </w:t>
            </w:r>
          </w:p>
        </w:tc>
        <w:tc>
          <w:tcPr>
            <w:tcW w:w="4955" w:type="dxa"/>
            <w:tcBorders/>
            <w:shd w:fill="CCEEFF" w:val="clear"/>
            <w:vAlign w:val="center"/>
          </w:tcPr>
          <w:p>
            <w:pPr>
              <w:pStyle w:val="TableContents"/>
              <w:bidi w:val="0"/>
              <w:spacing w:before="0" w:after="283"/>
              <w:jc w:val="left"/>
              <w:rPr/>
            </w:pPr>
            <w:r>
              <w:rPr/>
              <w:t>Chief Business Officer</w:t>
            </w:r>
          </w:p>
        </w:tc>
      </w:tr>
    </w:tbl>
    <w:p>
      <w:pPr>
        <w:pStyle w:val="TextBody"/>
        <w:bidi w:val="0"/>
        <w:spacing w:before="360" w:after="0"/>
        <w:jc w:val="left"/>
        <w:rPr>
          <w:rFonts w:ascii="Times New Roman" w:hAnsi="Times New Roman"/>
          <w:b/>
          <w:sz w:val="20"/>
          <w:bdr w:val="single" w:sz="8" w:space="1" w:color="000000"/>
        </w:rPr>
      </w:pPr>
      <w:bookmarkStart w:id="13" w:name="toc770053_11"/>
      <w:bookmarkEnd w:id="13"/>
      <w:r>
        <w:rPr>
          <w:rFonts w:ascii="Times New Roman" w:hAnsi="Times New Roman"/>
          <w:b/>
          <w:sz w:val="20"/>
          <w:bdr w:val="single" w:sz="8" w:space="1" w:color="000000"/>
        </w:rPr>
        <w:t xml:space="preserve">Material U.S. Federal Income Tax Consequences of the Merger (see page 231)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U.S. federal income tax considerations of the merger, please see the section titled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beginning on page 231 of this proxy statement/prospectus. </w:t>
      </w:r>
    </w:p>
    <w:p>
      <w:pPr>
        <w:pStyle w:val="TextBody"/>
        <w:bidi w:val="0"/>
        <w:spacing w:before="360" w:after="0"/>
        <w:jc w:val="left"/>
        <w:rPr>
          <w:rFonts w:ascii="Times New Roman" w:hAnsi="Times New Roman"/>
          <w:b/>
          <w:sz w:val="20"/>
          <w:bdr w:val="single" w:sz="8" w:space="1" w:color="000000"/>
        </w:rPr>
      </w:pPr>
      <w:bookmarkStart w:id="14" w:name="toc770053_12"/>
      <w:bookmarkEnd w:id="14"/>
      <w:r>
        <w:rPr>
          <w:rFonts w:ascii="Times New Roman" w:hAnsi="Times New Roman"/>
          <w:b/>
          <w:sz w:val="20"/>
          <w:bdr w:val="single" w:sz="8" w:space="1" w:color="000000"/>
        </w:rPr>
        <w:t xml:space="preserve">Risk Factors (see page 36)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AVROBIO and Tectonic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either AVROBIO or Tectonic paying a termination fee to the other party and could harm the AVROBIO common stock price and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satisfied or waived, the merger may not occur;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AVROBIO and Tectonic directors and executive officers have interests in the merger that are different from yours and that may influence them to support or approve the merger without regard to your interests;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and Tectonic stockholders may not realize a benefit from the merger commensurate with the ownership dilution they will experience in connection with the merger, including the issuance of Tectonic common stock in the private financings; and </w:t>
            </w:r>
          </w:p>
        </w:tc>
      </w:tr>
    </w:tbl>
    <w:p>
      <w:pPr>
        <w:pStyle w:val="TextBody"/>
        <w:bidi w:val="0"/>
        <w:spacing w:before="0" w:after="0"/>
        <w:jc w:val="left"/>
        <w:rPr>
          <w:bdr w:val="single" w:sz="8" w:space="1" w:color="000000"/>
        </w:rPr>
      </w:pPr>
      <w:r>
        <w:rPr>
          <w:bdr w:val="single" w:sz="8" w:space="1" w:color="000000"/>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the AVROBIO stock price may decline significantly.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short- or long-term, which may further impact the combined company’s ability to obtain or maintain listing on Nasdaq.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AVROBIO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proposed merger with Tectonic could materially and adversely affect AVROBIO’s results of operations, business, financial results and/or stock price.;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stockholders potentially may not receive any payment on the CVRs and the CVRs may otherwise expire valueless;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limited operating history may make it difficult to evaluate the success of AVROBIO’s business to date and to assess AVROBIO’s future viability;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failure to meet Nasdaq’s continued listing requirements could result in a delisting of AVROBIO common stock.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Tectonic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has a limited operating history, has incurred net losses in every year since its inception, and expects to continue to incur net losses in the future;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recurring losses from operations and financial conditions raise substantial doubt about its ability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is heavily dependent on the success of its product candidates, only one of which is in early clinical development. If Tectonic is unable to advance its current or future product candidates through clinical trials, obtain marketing approval and ultimately commercialize any product candidates it develops, or experience significant delays in doing so, Tectonic’s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Tectonic’s product candidates are in preclinical or early clinical development. Clinical trials are difficult to design and implement, and they involve a lengthy and expensive process with uncertain outcomes. Tectonic may experience delays in completing, or ultimately be unable to complete, the development and commercialization of TX45 or any future product candidates;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clinical trials may fail to demonstrate substantial evidence of the safety, efficacy, purity and potency of its product candidates or any future product candidates, which would prevent or delay or limit the scope of regulatory approval and commercialization;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Tectonic is unable to successfully commercialize any product candidate for which Tectonic receives regulatory approval, or experience significant delays in doing so, its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success depends in part on its ability to protect its intellectual property. It is difficult and costly to protect its proprietary rights and technology, and Tectonic may not be able to ensure their protection;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depends on intellectual property licensed from third parties and termination of any of these licenses could result in the loss of significant rights, which would harm its business;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currently relies and expects to rely in the future on the use of manufacturing suites in third-party facilities or on third parties to manufacture TX45 and any other product candidates, and Tectonic may rely on third parties to produce and process its products, if approved;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business could be adversely affected if it is unable to use third-party manufacturing suites or if the third-party manufacturers encounter difficulties in production;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faces significant competition from other biotechnology and pharmaceutical companies, and its operating results will suffer if Tectonic fails to compete effectively.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Combined Company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incur losses for the foreseeable future and might never achieve profitability;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attract and retain management and other key personnel, it may be unable to continue to successfully develop or commercialize its product candidates or otherwise implement its business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failure by the combined company to comply with the initial listing standards or continued listing standards of Nasdaq will prevent its stock from being listed on Nasdaq or may result in delisting from Nasdaq;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certificate of incorporation and bylaws and provisions under Delaware law could make an acquisition of the combined company more difficult and may prevent attempts by its stockholders to replace or remove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36 of this proxy statement/prospectus. AVROBIO and Tectonic both encourage you to read and consider all of these risks carefully.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Related to the Merger (see page 46)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merger, one complaint has been filed against AVROBIO and the AVROBIO Board, and four additional demands have been made seeking additional disclosures in the registration statement by purported AVROBIO stockholders. AVROBIO believes that the allegations and claims asserted are without merit and intends to defend against them vigorously. In the event that AVROBIO subsequently receives additional complaints or demand letters related to the merger, AVROBIO will not provide additional disclosures unless those new complaints or letters contain material differences from those received to date. For a more detailed description of litigation related to the merger, see the section titled “</w:t>
      </w:r>
      <w:r>
        <w:rPr>
          <w:rFonts w:ascii="Times New Roman" w:hAnsi="Times New Roman"/>
          <w:i/>
          <w:sz w:val="20"/>
          <w:bdr w:val="single" w:sz="8" w:space="1" w:color="000000"/>
        </w:rPr>
        <w:t>Risk Factors—Risks Related to the Merger—Lawsuits may be filed against AVROBIO</w:t>
      </w:r>
      <w:r>
        <w:rPr>
          <w:rFonts w:ascii="Times New Roman" w:hAnsi="Times New Roman"/>
          <w:sz w:val="20"/>
          <w:bdr w:val="single" w:sz="8" w:space="1" w:color="000000"/>
        </w:rPr>
        <w:t xml:space="preserve"> </w:t>
      </w:r>
      <w:r>
        <w:rPr>
          <w:rFonts w:ascii="Times New Roman" w:hAnsi="Times New Roman"/>
          <w:i/>
          <w:sz w:val="20"/>
          <w:bdr w:val="single" w:sz="8" w:space="1" w:color="000000"/>
        </w:rPr>
        <w:t>and the members of the AVROBIO Board arising out of the proposed merger, which may delay or prevent the proposed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5" w:name="toc770053_13"/>
      <w:bookmarkEnd w:id="15"/>
      <w:r>
        <w:rPr>
          <w:rFonts w:ascii="Times New Roman" w:hAnsi="Times New Roman"/>
          <w:b/>
          <w:sz w:val="20"/>
          <w:bdr w:val="single" w:sz="8" w:space="1" w:color="000000"/>
        </w:rPr>
        <w:t>Regulatory Approvals (see page 231)</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AVROBIO and Tectonic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merger and the related transactions contemplated by the Merger Agreement, if any, and to submit promptly any additional information requested by any such governmental authority. </w:t>
      </w:r>
    </w:p>
    <w:p>
      <w:pPr>
        <w:pStyle w:val="TextBody"/>
        <w:bidi w:val="0"/>
        <w:spacing w:before="360" w:after="0"/>
        <w:jc w:val="left"/>
        <w:rPr>
          <w:rFonts w:ascii="Times New Roman" w:hAnsi="Times New Roman"/>
          <w:b/>
          <w:sz w:val="20"/>
          <w:bdr w:val="single" w:sz="8" w:space="1" w:color="000000"/>
        </w:rPr>
      </w:pPr>
      <w:bookmarkStart w:id="16" w:name="toc770053_14"/>
      <w:bookmarkEnd w:id="16"/>
      <w:r>
        <w:rPr>
          <w:rFonts w:ascii="Times New Roman" w:hAnsi="Times New Roman"/>
          <w:b/>
          <w:sz w:val="20"/>
          <w:bdr w:val="single" w:sz="8" w:space="1" w:color="000000"/>
        </w:rPr>
        <w:t>Nasdaq Stock Market Listing (see page 234)</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AVROBIO intends to file an initial listing application for the combined company common stock with Nasdaq. If such application is accepted, AVROBIO anticipates that the common stock of the combined company will be listed on Nasdaq following the closing under the trading symbol “TECX.” It is a condition of the consummation of the merger that AVROBIO receive confirmation from Nasdaq that the combined company has been approved for listing on Nasdaq, but there can be no assurance such listing condition will be met or that AVROBIO will obtain such confirmation from Nasdaq by the date of the special meeting or at all. This condition is waivable but only to the extent permitted by law and only with the written waiver of each of AVROBIO, Tectonic and Merger Sub. In the event the AVROBIO common stock to be issued in the merger is not approved for listing on Nasdaq, it is possible that AVROBIO, Tectonic and Merger Sub may mutually agree to waive the applicable condition and nonetheless proceed with the completion of the merger. If such condition is waived, AVROBIO may not recirculate an updated proxy statement/prospectus or solicit a new vote of AVROBIO stockholders prior to proceeding with the merger. </w:t>
      </w:r>
    </w:p>
    <w:p>
      <w:pPr>
        <w:pStyle w:val="TextBody"/>
        <w:bidi w:val="0"/>
        <w:spacing w:before="360" w:after="0"/>
        <w:jc w:val="left"/>
        <w:rPr>
          <w:rFonts w:ascii="Times New Roman" w:hAnsi="Times New Roman"/>
          <w:b/>
          <w:sz w:val="20"/>
          <w:bdr w:val="single" w:sz="8" w:space="1" w:color="000000"/>
        </w:rPr>
      </w:pPr>
      <w:bookmarkStart w:id="17" w:name="toc770053_15"/>
      <w:bookmarkEnd w:id="17"/>
      <w:r>
        <w:rPr>
          <w:rFonts w:ascii="Times New Roman" w:hAnsi="Times New Roman"/>
          <w:b/>
          <w:sz w:val="20"/>
          <w:bdr w:val="single" w:sz="8" w:space="1" w:color="000000"/>
        </w:rPr>
        <w:t>Anticipated Accounting Treatment (see page 235)</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(i) Tectonic’s equity holders will own a substantial majority of the voting rights in the combined company; (ii) Tectonic’s largest stockholder will retain the largest interest in the combined company; (iii) Tectonic will designate a majority of the initial members of the board of directors of the combined company; (iv) Tectonic’s executive management team will become the management of the combined company; and (v) the combined company will be renamed Tectonic Therapeutic, Inc. and will be headquartered in Massachusetts. As a result of Tectonic being treated as the accounting acquirer, Tectonic’s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For periods prior to closing, the historical financial statements of Tectonic shall become the historical financial statements of the combined company.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440 of this proxy statement/prospectus for additional information. </w:t>
      </w:r>
    </w:p>
    <w:p>
      <w:pPr>
        <w:pStyle w:val="TextBody"/>
        <w:bidi w:val="0"/>
        <w:spacing w:before="360" w:after="0"/>
        <w:jc w:val="left"/>
        <w:rPr>
          <w:rFonts w:ascii="Times New Roman" w:hAnsi="Times New Roman"/>
          <w:b/>
          <w:sz w:val="20"/>
          <w:bdr w:val="single" w:sz="8" w:space="1" w:color="000000"/>
        </w:rPr>
      </w:pPr>
      <w:bookmarkStart w:id="18" w:name="toc770053_16"/>
      <w:bookmarkEnd w:id="18"/>
      <w:r>
        <w:rPr>
          <w:rFonts w:ascii="Times New Roman" w:hAnsi="Times New Roman"/>
          <w:b/>
          <w:sz w:val="20"/>
          <w:bdr w:val="single" w:sz="8" w:space="1" w:color="000000"/>
        </w:rPr>
        <w:t>Appraisal Rights and Dissenters’ Rights (see page 235)</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AVROBIO common stock are not entitled to appraisal rights in connection with the merger under Delaware law. Holders of Tectonic capital stock are entitled to appraisal rights in connection with the merger under Delaware law. </w:t>
      </w:r>
    </w:p>
    <w:p>
      <w:pPr>
        <w:pStyle w:val="TextBody"/>
        <w:bidi w:val="0"/>
        <w:spacing w:before="360" w:after="0"/>
        <w:jc w:val="left"/>
        <w:rPr>
          <w:rFonts w:ascii="Times New Roman" w:hAnsi="Times New Roman"/>
          <w:b/>
          <w:sz w:val="20"/>
          <w:bdr w:val="single" w:sz="8" w:space="1" w:color="000000"/>
        </w:rPr>
      </w:pPr>
      <w:bookmarkStart w:id="19" w:name="toc770053_17"/>
      <w:bookmarkEnd w:id="19"/>
      <w:r>
        <w:rPr>
          <w:rFonts w:ascii="Times New Roman" w:hAnsi="Times New Roman"/>
          <w:b/>
          <w:sz w:val="20"/>
          <w:bdr w:val="single" w:sz="8" w:space="1" w:color="000000"/>
        </w:rPr>
        <w:t>Comparison of Stockholder Rights (see page 457)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Both AVROBIO and Tectonic are incorporated under the laws of the State of Delaware and, accordingly, the rights of the stockholders of each are currently, and will continue to be, governed by the DGCL. If the merger is completed, Tectonic stockholders will become AVROBIO stockholders, and their rights will be governed by the DGCL, the amended and restated bylaws of AVROBIO (“AVROBIO’s bylaws”) and AVROBIO’s charter, as may be further amended by Proposal No. 3 if approved by the AVROBIO stockholders at the special meeting. The rights of AVROBIO stockholders contained in AVROBIO’s charter and bylaws differ from the rights of Tectonic stockholders under the amended and restated certificate of incorporation and bylaws of Tectonic, as more fully described under the section titled “</w:t>
      </w:r>
      <w:r>
        <w:rPr>
          <w:rFonts w:ascii="Times New Roman" w:hAnsi="Times New Roman"/>
          <w:i/>
          <w:sz w:val="20"/>
          <w:bdr w:val="single" w:sz="8" w:space="1" w:color="000000"/>
        </w:rPr>
        <w:t>Comparison of Rights of Holders of AVROBIO Capital Stock and Tectonic Capital Stock</w:t>
      </w:r>
      <w:r>
        <w:rPr>
          <w:rFonts w:ascii="Times New Roman" w:hAnsi="Times New Roman"/>
          <w:sz w:val="20"/>
          <w:bdr w:val="single" w:sz="8" w:space="1" w:color="000000"/>
        </w:rPr>
        <w:t xml:space="preserve">” beginning on page 457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770053_18"/>
      <w:bookmarkEnd w:id="20"/>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AVROBIO common stock is currently listed on Nasdaq under the symbol “AVRO.”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AVROBIO common stock on January 29, 2024, the last day of trading prior to the announcement of the merger, as reported on Nasdaq, was $1.37 per share. The closing price of the AVROBIO common stock on    , 2024, the last practicable date before the date of this proxy statement/prospectus, as reported on Nasdaq,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AVROBIO common stock is subject to fluctuation, the market value of the shares of the AVROBIO common stock that the Tectonic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Tectonic is a private company and its shares of common stock are not publicly traded.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Nasdaq, following the consummation of the merger, the AVROBIO common stock will trade on Nasdaq under AVROBIO’s new name, “Tectonic Therapeutic, Inc.” and a new trading symbol “TECX.” </w:t>
      </w:r>
    </w:p>
    <w:p>
      <w:pPr>
        <w:pStyle w:val="TextBody"/>
        <w:bidi w:val="0"/>
        <w:spacing w:before="240" w:after="0"/>
        <w:jc w:val="left"/>
        <w:rPr>
          <w:rFonts w:ascii="Times New Roman" w:hAnsi="Times New Roman"/>
          <w:sz w:val="20"/>
        </w:rPr>
      </w:pPr>
      <w:r>
        <w:rPr>
          <w:rFonts w:ascii="Times New Roman" w:hAnsi="Times New Roman"/>
          <w:sz w:val="20"/>
        </w:rPr>
        <w:t>As of    , 2024, the record date for the special meeting, there were approximately    registered holders of record of the AVROBIO common stock. As of    , 2024, Tectonic had    holders of record of Tectonic common stock and    holders of record of Tectonic preferred stock. For detailed information regarding the beneficial ownership of certain AVROBIO and Tectonic stockholders, see the sections titled “</w:t>
      </w:r>
      <w:r>
        <w:rPr>
          <w:rFonts w:ascii="Times New Roman" w:hAnsi="Times New Roman"/>
          <w:i/>
          <w:sz w:val="20"/>
        </w:rPr>
        <w:t>Principal AVROBIO Stockholders</w:t>
      </w:r>
      <w:r>
        <w:rPr>
          <w:rFonts w:ascii="Times New Roman" w:hAnsi="Times New Roman"/>
          <w:sz w:val="20"/>
        </w:rPr>
        <w:t>” and “</w:t>
      </w:r>
      <w:r>
        <w:rPr>
          <w:rFonts w:ascii="Times New Roman" w:hAnsi="Times New Roman"/>
          <w:i/>
          <w:sz w:val="20"/>
        </w:rPr>
        <w:t>Principal Tectonic Stockholders</w:t>
      </w:r>
      <w:r>
        <w:rPr>
          <w:rFonts w:ascii="Times New Roman" w:hAnsi="Times New Roman"/>
          <w:sz w:val="20"/>
        </w:rPr>
        <w:t xml:space="preserve">” beginning on pages 467 and 469, respectively, of this proxy statement/prospectus. </w:t>
      </w:r>
    </w:p>
    <w:p>
      <w:pPr>
        <w:pStyle w:val="TextBody"/>
        <w:bidi w:val="0"/>
        <w:spacing w:before="360" w:after="0"/>
        <w:jc w:val="left"/>
        <w:rPr>
          <w:rFonts w:ascii="Times New Roman" w:hAnsi="Times New Roman"/>
          <w:b/>
          <w:sz w:val="20"/>
        </w:rPr>
      </w:pPr>
      <w:bookmarkStart w:id="21" w:name="toc770053_19"/>
      <w:bookmarkEnd w:id="21"/>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AVROBIO has never declared or paid any cash dividends on the AVROBIO common stock and does not anticipate paying cash dividends on the AVROBIO common stock for the foreseeable future, except pursuant to the CVR Agreement. Notwithstanding the foregoing, any determination to pay cash dividends subsequent to the merger will be at the discretion of the combined organization’s then-current board of directors and will depend upon a number of factors, including the combined organization’s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Tectonic has never paid or declared any cash dividends on the Tectonic capital stock. If the merger does not occur, Tectonic does not anticipate paying any cash dividends on the Tectonic capital stock in the foreseeable future, and Tectonic intends to retain all available funds and any future earnings to fund the development and expansion of its business. Any future determination to pay dividends will be at the discretion of the Tectonic Board and will depend upon a number of factors, including its results of operations, financial condition, future prospects, contractual restrictions, and restrictions imposed by applicable laws and other factors the Tectonic Board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770053_20"/>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AVROBIO common stock. You should also read and consider the other information in this proxy statement/prospectus. Please see the section titled “Where You Can Find More Information” beginning on page 476 of this proxy statement/prospectus for further information. </w:t>
      </w:r>
    </w:p>
    <w:p>
      <w:pPr>
        <w:pStyle w:val="TextBody"/>
        <w:bidi w:val="0"/>
        <w:spacing w:before="360" w:after="0"/>
        <w:jc w:val="left"/>
        <w:rPr>
          <w:rFonts w:ascii="Times New Roman" w:hAnsi="Times New Roman"/>
          <w:b/>
          <w:sz w:val="20"/>
        </w:rPr>
      </w:pPr>
      <w:bookmarkStart w:id="23" w:name="toc770053_21"/>
      <w:bookmarkEnd w:id="23"/>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ratio will not change or otherwise be adjusted based on the market price of AVROBIO common stock as the exchange ratio depends on AVROBIO’s net cash at the closing and not the market price of AVROBIO common stock, so the merger consideration at the closing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has set an exchange ratio for Tectonic capital stock being converted into AVROBIO’s common stock, and the exchange ratio is based on the outstanding capital stock of Tectonic and the outstanding common stock of AVROBIO, in each case immediately prior to the closing. Applying the exchange ratio formula in the Merger Agreement,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In the event AVROBIO’s net cash is below $65.0 million, the exchange ratio will be adjusted such that the number of shares issued to the pre-merger Tectonic securityholders will be increased, and AVROBIO stockholders will own a smaller percentage of the combined company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AVROBIO common stock before the completion of the merger will not affect the number of shares Tectonic stockholders will be entitled to receive pursuant to the Merger Agreement. Therefore, if before the completion of the merger, the market price of AVROBIO common stock increases from the market price on the date of the Merger Agreement, then Tectonic stockholders could receive merger consideration with substantially more value for their shares of Tectonic capital stock than the parties had negotiated when they established the exchange ratio. Similarly, if before the completion of the merger the market price of AVROBIO common stock declines from the market price on the date of the Merger Agreement, then Tectonic stockholders could receive merger consideration with substantially lower value.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 may result in either AVROBIO or Tectonic paying a termination fee to the other party, and could harm the AVROBIO common stock price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AVROBIO and Tectonic are subject to the following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AVROBIO could be required to pay Tectonic a termination fee of $2,712,500, and Tectonic could be required to pay AVROBIO a termination fee of $4,900,000;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of AVROBIO common stock may decline and could fluctuate significantly;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merger,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AVROBIO Board or Tectonic Board determines to seek another business combination, there can be no assurance that either AVROBIO or Tectonic will be able to find another third party to transact a business combination with, yielding comparable or greater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Each of Proposal Nos. 1 and 2 is a condition to completion of the merger. Therefore, the merger cannot be consummated without the approval of Proposal Nos. 1 and 2. If the AVROBIO stockholders do not approve Proposal Nos. 1 and 2, failure to consummate the merger may harm AVROBIO and/or Tectonic. Even if the merger is approved by the Tectonic stockholders and Proposal Nos. 1 and 2 as described in this proxy statement/prospectus are approved by the AVROBIO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Agreement—Conditions to the Completion of the Merger</w:t>
      </w:r>
      <w:r>
        <w:rPr>
          <w:rFonts w:ascii="Times New Roman" w:hAnsi="Times New Roman"/>
          <w:sz w:val="20"/>
        </w:rPr>
        <w:t xml:space="preserve">” beginning on page 256 of this proxy statement/prospectus. AVROBIO and Tectonic cannot assure you that all of the conditions to the consummation of the merger will be satisfied or waived. If the conditions are not satisfied or waived, the merger may not occur or the closing may be delayed. For example, the closing of the merger is conditioned upon the satisfaction or waiver of the receipt of cash proceeds not less than $114.5 million in connection with the consummation of the transactions contemplated by the private financings. As of the date of this proxy statement/prospectus, AVROBIO and Tectonic do not intend to waive this or any other condition. However, AVROBIO and Tectonic may ultimately determine, in their sole discretion, to waive such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or Tectonic may waive one or more of the conditions to the merger without recirculation of this proxy statement/prospectus or resoliciting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Conditions to AVROBIO’s and Tectonic’s obligations to complete the merger may be waived, in whole or in part, to the extent permitted by law, either unilaterally or by agreement of AVROBIO, Tectonic and Merger Sub. In the event of a waiver of a condition, the AVROBIO Board will evaluate the materiality of any such waiver to determine whether an amendment to this proxy statement/prospectus and resolicitation of stockholder approval is necessary.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AVROBIO Board, in its own reasonable discretion, determines any such waiver does not require recirculation of this proxy statement/prospectus and resolicitation of its stockholders, it will have the discretion to complete the merger without seeking further stockholder approval, which decision may have a material adverse effect on AVROBIO’s stockholders. For example, if AVROBIO and Tectonic agree to waive the requirement that the shares of AVROBIO common stock to be issued in the merger have been approved for listing (subject to official notice of issuance) on Nasdaq as of the closing, and their respective boards of directors elect to proceed with the closing, Nasdaq may notify the combined company of its determination to delist the combined company’s securities based on the failure to satisfy the initial inclusion criteria in the Nasdaq application. The combined company may appeal the determination to a hearings panel, which would stay the delisting action pending a panel decision. If the combined company does not appeal the determination, its common stock would be delisted. Additionally, the closing of the merger is conditioned upon the satisfaction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AVROBIO and Tectonic may ultimately determine, in their sole discretion, to waive such condition. Given that, at the time that AVROBIO stockholders are expected to vote at the special meeting, it will not be known whether the private financings will close in a timely manner or at all, it is possible that AVROBIO and Tectonic may determine to consummate the merger despite not receiving at least $114.5 million in cash proceeds from the private financings. In the event the merger closes without receipt of the $114.5 million from the private financings, the combined company would not have the same liquidity at closing as it would have had if the condition was satisfied. Without taking into account any portion of the proceeds from the private financings, AVROBIO’s estimated cash at closing of $65.0 million to $75.0 million will permit the combined company to continue its operations, but its ability to fund its operating expenses and capital expenditure requirements into mid-2027 would be adversely affected. If the Company does not receive any portion of the $114.5 million proceeds from the private financings, the combined company would have to raise significant additional capital by issuing equity securities or through additional debt or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For more information about the conditions to the completion of the merger, see the section titled “</w:t>
      </w:r>
      <w:r>
        <w:rPr>
          <w:rFonts w:ascii="Times New Roman" w:hAnsi="Times New Roman"/>
          <w:i/>
          <w:sz w:val="20"/>
        </w:rPr>
        <w:t>The Merger Agreement—Conditions to the Completion of the Merger</w:t>
      </w:r>
      <w:r>
        <w:rPr>
          <w:rFonts w:ascii="Times New Roman" w:hAnsi="Times New Roman"/>
          <w:sz w:val="20"/>
        </w:rPr>
        <w:t>.” For more information about the potential consequences of consummating the merger without receiving the minimum $114.5 million in cash proceeds from the private financings, see the section titled “</w:t>
      </w:r>
      <w:r>
        <w:rPr>
          <w:rFonts w:ascii="Times New Roman" w:hAnsi="Times New Roman"/>
          <w:i/>
          <w:sz w:val="20"/>
        </w:rPr>
        <w:t>Risk Factors—Risks Related to the Merger—If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w:t>
      </w:r>
      <w:r>
        <w:rPr>
          <w:rFonts w:ascii="Times New Roman" w:hAnsi="Times New Roman"/>
          <w:sz w:val="20"/>
        </w:rPr>
        <w:t>” on page 38 of this proxy statement/prospectus. For more information about the potential consequences of a failure to comply with the initial listing standards of Nasdaq, see the section titled “</w:t>
      </w:r>
      <w:r>
        <w:rPr>
          <w:rFonts w:ascii="Times New Roman" w:hAnsi="Times New Roman"/>
          <w:i/>
          <w:sz w:val="20"/>
        </w:rPr>
        <w:t>Risk Factors—Risks Related to the Combined Company—Upon completion of the merger, failure by the combined company to comply with the initial listing standards of Nasdaq will prevent its stock from being listed on Nasdaq</w:t>
      </w:r>
      <w:r>
        <w:rPr>
          <w:rFonts w:ascii="Times New Roman" w:hAnsi="Times New Roman"/>
          <w:sz w:val="20"/>
        </w:rPr>
        <w:t xml:space="preserve">” on page 163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AVROBIO nor Tectonic is obligated to complete the merger if there is a material adverse effect affecting the other party between January 30, 2024 (the date of the Merger Agreement), and the closing. However, certain types of causes are excluded from the concept of a “material adverse effect.” Such exclusions include but are not limited to changes in general economic or political conditions, industry wide changes, changes resulting from the announcement of the merger, natural disasters, pandemics (including the coronavirus (“COVID-19”) pandemic), other force majeure events, acts or threat of terrorism or war and changes in GAAP. Therefore, if any of these events were to occur and adversely affect AVROBIO or Tectonic, the other party would still be obliged to consummate the closing notwithstanding such material adverse effect. If any such adverse effects occur and AVROBIO and Tectonic consummate the closing, the stock price of the combined company may suffer. This in turn may reduce the value of the merger to the AVROBIO stockholders, Tectonic stockholders or both. For a more complete discussion of what constitutes a material adverse effect on AVROBIO or Tectonic, please see the section titled “</w:t>
      </w:r>
      <w:r>
        <w:rPr>
          <w:rFonts w:ascii="Times New Roman" w:hAnsi="Times New Roman"/>
          <w:i/>
          <w:sz w:val="20"/>
        </w:rPr>
        <w:t>The Merger Agreement—Representations and Warranties</w:t>
      </w:r>
      <w:r>
        <w:rPr>
          <w:rFonts w:ascii="Times New Roman" w:hAnsi="Times New Roman"/>
          <w:sz w:val="20"/>
        </w:rPr>
        <w:t xml:space="preserve">” beginning on page 246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and Tectonic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Tectonic entered into the Subscription Agreement with certain investors named therein, pursuant to which such investors agreed to purchase shares of Tectonic common stock, at a purchase price currently estimated at approximately $96.6 million in the aggregate, for an aggregate purchase price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transactions contemplated by the Subscription Agreement and the Company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there can be no assurance that AVROBIO and Tectonic will ultimately determine, in their sole discretion, not to waive such condition or that the private financings will close in a timely manner or at all. If such condition is waived, the private financings fail to close at all or less than $114.5 million in cash proceeds is received from the private financings, the combined company may need to seek alternative financing. In such scenario, the combined company’s cash runway would be shortened such that the combined company will need to raise significant capital following the closing of the merger. Additionally, the shares of AVROBIO common stock issuable upon the exchange at closing of the private financing will result in dilution to all securityholders of the combined company (i.e., both the pre-merger AVROBIO securityholders and former Tectonic securityholders). For a more complete description of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AVROBIO’s pre-merger securityholders and Tectonic’s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AVROBIO and Tectonic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AVROBIO and Tectonic may have interests in the merger that are different from, or in addition to, the interests of other AVROBIO stockholders generally. These interests with respect to AVROBIO’s directors and executive officers may include, among others: acceleration or vesting of certain AVROBIO stock options or AVROBIO RSUs, retention bonus payments, extension of exercisability periods of previously issued AVROBIO stock option grants, severance payments if employment is terminated in a qualifying termination in connection with the merger and rights to continued indemnification, expense advancement and insurance coverage. One member of the AVROBIO Board will continue as a director of the combined company after the effective time, and, following the closing, will be eligible to be compensated as a non-employee director of the combined company. All of AVROBIO’s directors and executive officers are entitled to certain indemnification and liability insurance coverage pursuant to the terms of the Merger Agreement. These interests, among others, may influence the officers and directors of AVROBIO and cause them to view the merger differently from how AVROBIO stockholders generally may view it. </w:t>
      </w:r>
    </w:p>
    <w:p>
      <w:pPr>
        <w:pStyle w:val="TextBody"/>
        <w:bidi w:val="0"/>
        <w:spacing w:before="240" w:after="0"/>
        <w:jc w:val="left"/>
        <w:rPr>
          <w:rFonts w:ascii="Times New Roman" w:hAnsi="Times New Roman"/>
          <w:sz w:val="20"/>
        </w:rPr>
      </w:pPr>
      <w:r>
        <w:rPr>
          <w:rFonts w:ascii="Times New Roman" w:hAnsi="Times New Roman"/>
          <w:sz w:val="20"/>
        </w:rPr>
        <w:t xml:space="preserve">Tectonic’s directors and executive officers may also have interests in the merger that are different from, or in addition to, the interests of other AVROBIO stockholders generally. Such interests may include, among others, certain of Tectonic’s directors and executive officers have options, subject to vesting, to purchase shares of Tectonic common stock which, after the effective time, will be converted into and become options to purchase shares of the common stock of the combined company, Tectonic’s executive officers are expected to continue as executive officers of the combined company after the effective time and all of Tectonic’s directors and executive officers are entitled to certain indemnification and liability insurance coverage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members of the Tectonic Board may continue as directors of the combined company after the effective time, and, following the closing, will be eligible to be compensated as non-employee directors of the combined company pursuant to the combined company’s 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and Tectonic Board were aware of and considered those interests, among other matters, in reaching their decisions to approve and adopt the Merger Agreement, approve the merger, and recommend the approval of the Merger Agreement to AVROBIO and Tectonic stockholders. These interests, among other factors, may have influenced the directors and executive officers of AVROBIO and Tectonic to support or approve the merger.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AVROBIO and Tectonic directors and executive officers in the merger, please see the sections titled “</w:t>
      </w:r>
      <w:r>
        <w:rPr>
          <w:rFonts w:ascii="Times New Roman" w:hAnsi="Times New Roman"/>
          <w:i/>
          <w:sz w:val="20"/>
        </w:rPr>
        <w:t>The Merger—Interests of AVROBIO’s Directors and Executive Officers in the Merger</w:t>
      </w:r>
      <w:r>
        <w:rPr>
          <w:rFonts w:ascii="Times New Roman" w:hAnsi="Times New Roman"/>
          <w:sz w:val="20"/>
        </w:rPr>
        <w:t>” beginning on page 221 and “</w:t>
      </w:r>
      <w:r>
        <w:rPr>
          <w:rFonts w:ascii="Times New Roman" w:hAnsi="Times New Roman"/>
          <w:i/>
          <w:sz w:val="20"/>
        </w:rPr>
        <w:t>The Merger—Interests of Tectonic’s Directors and Executive Officers in the Merger</w:t>
      </w:r>
      <w:r>
        <w:rPr>
          <w:rFonts w:ascii="Times New Roman" w:hAnsi="Times New Roman"/>
          <w:sz w:val="20"/>
        </w:rPr>
        <w:t xml:space="preserve">” beginning on page 227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stockholders and Tectonic stockholders may not realize a benefit from the merger commensurate with the ownership dilution they will experience in connection with the merger, including the issuance of Tectonic common stock in the private financings.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AVROBIO stockholders and Tectonic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AVROBIO’s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AVROBIO common stock is subject to significant fluctuations. Market prices for securities of pharmaceutical, biotechnology and other life science companies have historically been particularly volatile. In addition, the market price of AVROBIO common stock will likely be volatile based on whether stockholders and other investors believe that AVROBIO can complete the merger or otherwise raise additional capital to support AVROBIO’s operations if the merger is not consummated and another strategic transaction cannot be identified, negotiated and consummated in a timely manner, if at all. The volatility of the market price of AVROBIO common stock has been and is expected to continue to be exacerbated by low trading volume. Additional factors that may cause the market price of AVROBIO common stock to fluctuate include: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strategic licensing or commercial partner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trading price of AVROBIO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Tectonic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AVROBIO stockholders and Tectonic stockholders will generally own a smaller percentage of the combined company than their ownership of their respective companies prior to the merger. Following the merger and after giving further effect to the proposed private financings, AVROBIO securityholders as of immediately prior to the merger are expected to own approximately 22.3% of the outstanding shares of capital stock of the combined company, former Tectonic securityholders are expected to own approximately 39.8% of the outstanding shares of capital stock of the combined company, and purchasers of Tectonic common stock in the private financings are expected to represent approximately 38.0% of the outstanding shares of capital stock of the combined company,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AVROBIO’s net cash of approximately $65.0 million at closing.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of Tectonic will serve as the Chief Executive Officer of the combined company following the completion of the merger. In addition, the board of directors of the combined company will initially include one member of the AVROBIO Board. Consequently, former securityholders of AVROBIO will not be able to exercise the same influence over the management and policies of the combined company following the closing of the merger than they currently exercise over the management and policies of AVROBIO.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contains provisions that limit AVROBIO’s and Tectonic’s ability to pursue alternatives to the merger, could discourage a potential competing acquiror of AVROBIO or Tectonic from making an alternative transaction proposal and, in specified circumstances, could require AVROBIO or Tectonic to pay a termination fee, which could significantly harm the market price of AVROBIO’s common stock and negatively affect the financial condition,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AVROBIO and Tectonic to make acquisitions during the pendency of the merger, subject to specified exceptions. As a result, if the merger is not completed, the 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AVROBIO may be required to pay Tectonic a termination fee of $2,712,500, or Tectonic may be required to pay AVROBIO a termination fee of $4,900,000. Additionally, 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each of AVROBIO and Tectonic will have incurred significant fees and expenses, which must be paid whether or not the merger is completed. Further,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proposed merger is not completed, it could significantly harm the market price of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AVROBIO or Tectonic determines to seek another business combination, there can be no assurance that either AVROBIO or Tectonic will be able to find a partner and close an alternative transaction on terms that are as favorable or more favorable than the terms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Agreement—Non-Solicitation</w:t>
      </w:r>
      <w:r>
        <w:rPr>
          <w:rFonts w:ascii="Times New Roman" w:hAnsi="Times New Roman"/>
          <w:sz w:val="20"/>
        </w:rPr>
        <w:t xml:space="preserve">” beginning on page 250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Tectonic common stock makes it difficult to evaluate the fair market value of Tectonic’s capital stock, the value of the AVROBIO common stock to be issued to Tectonic stockholders may be more or less than the fair market value of Tectonic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Tectonic is privately held and is not traded in any public market. The lack of a public market makes it difficult to determine the fair market value of Tectonic’s capital stock. Because the percentage of AVROBIO equity to be issued to Tectonic stockholders was determined based on negotiations between the parties, it is possible that the value of the AVROBIO common stock to be issued to Tectonic stockholders will be more or less than the fair market value of Tectonic’s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the Code, U.S. Holders of Tectonic common stock may be taxed on the full amount of the consideration received in the merger. </w:t>
      </w:r>
    </w:p>
    <w:p>
      <w:pPr>
        <w:pStyle w:val="TextBody"/>
        <w:bidi w:val="0"/>
        <w:spacing w:before="120" w:after="0"/>
        <w:jc w:val="left"/>
        <w:rPr>
          <w:rFonts w:ascii="Times New Roman" w:hAnsi="Times New Roman"/>
          <w:sz w:val="20"/>
        </w:rPr>
      </w:pPr>
      <w:r>
        <w:rPr>
          <w:rFonts w:ascii="Times New Roman" w:hAnsi="Times New Roman"/>
          <w:sz w:val="20"/>
        </w:rPr>
        <w:t>As discussed more fully under the section titled “</w:t>
      </w:r>
      <w:r>
        <w:rPr>
          <w:rFonts w:ascii="Times New Roman" w:hAnsi="Times New Roman"/>
          <w:i/>
          <w:sz w:val="20"/>
        </w:rPr>
        <w:t>The Merger—Material U.S. Federal Income Tax Consequences of the Merger</w:t>
      </w:r>
      <w:r>
        <w:rPr>
          <w:rFonts w:ascii="Times New Roman" w:hAnsi="Times New Roman"/>
          <w:sz w:val="20"/>
        </w:rPr>
        <w:t xml:space="preserve">” beginning on page 231 of this proxy statement/prospectus, the merger is intended to qualify for U.S. federal income tax purposes as a “reorganization” within the meaning of Section 368(a) of the Code. Assuming the merger so qualifies, no gain will be recognized by U.S. Holders of Tectonic common stock who receive only AVROBIO common stock in the merger. It is not, however, a condition to Tectonic’s obligation or AVROBIO’s obligation to complete the transactions that the merger so qualifies. None of the parties to the Merger Agreement have sought or intend to seek any ruling from the IRS regarding the qualification of the merger as a reorganization within the meaning of Section 368(a) of the Code. If the merger does not qualify for the U.S. federal income tax treatment described herein, U.S. Holders of Tectonic common stock may be taxed on any gain realized up to the full fair market value of any AVROBIO common stock received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CVRs is subject to substantial uncertainty. </w:t>
      </w:r>
    </w:p>
    <w:p>
      <w:pPr>
        <w:pStyle w:val="TextBody"/>
        <w:bidi w:val="0"/>
        <w:spacing w:before="120" w:after="0"/>
        <w:jc w:val="left"/>
        <w:rPr>
          <w:rFonts w:ascii="Times New Roman" w:hAnsi="Times New Roman"/>
          <w:sz w:val="20"/>
        </w:rPr>
      </w:pPr>
      <w:r>
        <w:rPr>
          <w:rFonts w:ascii="Times New Roman" w:hAnsi="Times New Roman"/>
          <w:sz w:val="20"/>
        </w:rPr>
        <w:t xml:space="preserve">There is substantial uncertainty as to the U.S. federal income tax treatment of the CVRs and payments (if any) thereon. There is no legal authority addressing the U.S. federal income tax treatment of the receipt of, holding of, or payments under, the CVRs, and there can be no assurance that the IRS would not assert, or that a court would not sustain, a position that could result in adverse U.S. federal income tax consequences to holders of the CVRs. </w:t>
      </w:r>
    </w:p>
    <w:p>
      <w:pPr>
        <w:pStyle w:val="TextBody"/>
        <w:bidi w:val="0"/>
        <w:spacing w:before="240" w:after="0"/>
        <w:jc w:val="left"/>
        <w:rPr>
          <w:rFonts w:ascii="Times New Roman" w:hAnsi="Times New Roman"/>
          <w:sz w:val="20"/>
        </w:rPr>
      </w:pPr>
      <w:r>
        <w:rPr>
          <w:rFonts w:ascii="Times New Roman" w:hAnsi="Times New Roman"/>
          <w:sz w:val="20"/>
        </w:rPr>
        <w:t>For example, as discussed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AVROBIO does not intend to report the issuance of the CVRs as a current distribution of property with respect to its stock, but it is possible that the IRS could assert that AVROBIO stockholders are treated as having received a distribution of property equal to the fair market value of the CVRs on the date the CVRs are distributed, which could be taxable to AVROBIO stockholders without the corresponding receipt of cash. In addition, it is possible that the IRS or a court could determine that the issuance of the CVRs (and/or any payments thereon) and the reverse stock split constitute a single “recapitalization” for U.S. federal income tax purposes with the CVRs constituting taxable “boot” received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recapitalization exchange. In such case, the tax consequences of the CVRs and the reverse stock split would differ from those described in this proxy statement/prospectus, including with respect to the timing and character of income. </w:t>
      </w:r>
    </w:p>
    <w:p>
      <w:pPr>
        <w:pStyle w:val="TextBody"/>
        <w:bidi w:val="0"/>
        <w:spacing w:before="360" w:after="0"/>
        <w:jc w:val="left"/>
        <w:rPr>
          <w:rFonts w:ascii="Times New Roman" w:hAnsi="Times New Roman"/>
          <w:b/>
          <w:sz w:val="20"/>
        </w:rPr>
      </w:pPr>
      <w:bookmarkStart w:id="24" w:name="toc770053_22"/>
      <w:bookmarkEnd w:id="24"/>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short- or long-term, which may further impact the combined company’s ability to obtain or maintain listing on Nasdaq. </w:t>
      </w:r>
    </w:p>
    <w:p>
      <w:pPr>
        <w:pStyle w:val="TextBody"/>
        <w:bidi w:val="0"/>
        <w:spacing w:before="120" w:after="0"/>
        <w:jc w:val="left"/>
        <w:rPr>
          <w:rFonts w:ascii="Times New Roman" w:hAnsi="Times New Roman"/>
          <w:sz w:val="20"/>
        </w:rPr>
      </w:pPr>
      <w:r>
        <w:rPr>
          <w:rFonts w:ascii="Times New Roman" w:hAnsi="Times New Roman"/>
          <w:sz w:val="20"/>
        </w:rPr>
        <w:t>The principal purposes of the reverse stock split are to (i) increase the per-share market price of AVROBIO common stock above the Nasdaq minimum bid price requirement so that the listing of AVROBIO and the shares of AVROBIO common stock being issued in the merger on Nasdaq will be approved and (ii) increase the number of authorized and unissued shares available for future issuance in connection with the merger. It cannot be assured, however, that the reverse stock split will accomplish any increase in the per-share market price of AVROBIO common stock for any meaningful period of time. While it is expected that the reduction in the number of outstanding shares of common stock will proportionally increase the market price of AVROBIO common stock, it cannot be assured that the reverse stock split will increase the market price of its common stock by a multiple of the reverse stock split ratio mutually agreed by AVROBIO and Tectonic, or result in any permanent or sustained increase in the market price of AVROBIO common stock, which is dependent upon many factors, including AVROBIO’s business and financial performance, general market conditions and prospects for future success. Thus, while the stock price of AVROBIO common stock might meet the listing requirements for Nasdaq initially after the reverse stock split, it cannot be assured that it will continue to do so. For more information about the potential consequences of the combined company failing to comply with the listing standards of Nasdaq, see the section titled “</w:t>
      </w:r>
      <w:r>
        <w:rPr>
          <w:rFonts w:ascii="Times New Roman" w:hAnsi="Times New Roman"/>
          <w:i/>
          <w:sz w:val="20"/>
        </w:rPr>
        <w:t>Risk Factors—Risks Related to the Combined Company—Upon completion of the merger, failure by the combined company to comply with the initial listing standards or continued listing standards of Nasdaq will prevent its stock from being listed on Nasdaq or may result in delisting from Nasdaq</w:t>
      </w:r>
      <w:r>
        <w:rPr>
          <w:rFonts w:ascii="Times New Roman" w:hAnsi="Times New Roman"/>
          <w:sz w:val="20"/>
        </w:rPr>
        <w:t xml:space="preserve">” on page 163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determined that the minimum size of the reverse stock split, within the range of ratios approved by the AVROBIO Board, that is necessary to maintain AVROBIO’s Nasdaq listing and to accommodate the additional shares of AVROBIO common stock required to be issued in the transaction is 1:3. The AVROBIO Board intends to take into account various factors prevailing at the time of determination in order to determine the final ratio for the reverse stock split, including the resulting trading price that the AVROBIO Board determines in good faith would be in the best interests of AVROBIO and all of its stockholders. The AVROBIO Board has not determined to necessarily use the minimum ratio required for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AVROBIO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bookmarkStart w:id="25" w:name="toc770053_23"/>
      <w:bookmarkEnd w:id="25"/>
      <w:r>
        <w:rPr>
          <w:rFonts w:ascii="Times New Roman" w:hAnsi="Times New Roman"/>
          <w:b/>
          <w:sz w:val="20"/>
        </w:rPr>
        <w:t xml:space="preserve">Risks Related to AVROBIO’s Strategic Alternative Process and Potential Strategic Transaction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proposed merger with Tectonic could materially and adversely affect AVROBIO’s results of operations, business, financial results and/or stock price. </w:t>
      </w:r>
    </w:p>
    <w:p>
      <w:pPr>
        <w:pStyle w:val="TextBody"/>
        <w:bidi w:val="0"/>
        <w:spacing w:before="120" w:after="0"/>
        <w:jc w:val="left"/>
        <w:rPr>
          <w:rFonts w:ascii="Times New Roman" w:hAnsi="Times New Roman"/>
          <w:sz w:val="20"/>
        </w:rPr>
      </w:pPr>
      <w:r>
        <w:rPr>
          <w:rFonts w:ascii="Times New Roman" w:hAnsi="Times New Roman"/>
          <w:sz w:val="20"/>
        </w:rPr>
        <w:t xml:space="preserve">In July 2023, AVROBIO announced that it was undertaking a comprehensive exploration of strategic alternatives focused on maximizing stockholder value, which may include, but are not limited to, an acquisition, a merger, business combination or divestiture. After a comprehensive review of strategic alternatives, including identifying and reviewing potential candidates for the merger, on January 30, 2024, AVROBIO entered into the Merger Agreement with Tectonic and Merger Sub, pursuant to which, subject to the satisfaction or waiver of the conditions therein, Merger Sub will merge with and into Tectonic, with Tectonic continuing as the surviving company and a wholly-owned subsidiary of AVROBIO. The closing is subject to approval by the AVROBIO stockholders and Tectonic stockholders as well as other customary closing conditions, including the effectiveness of a registration statement filed with the SEC in connection with the transaction. If the merger is completed, the business of Tectonic will continue as the business of the combined company. Any failure to satisfy a required condition to closing may prevent, delay or otherwise materially and adversely affect the completion of the transaction, which could materially and adversely affect AVROBIO’s results of operations, business, financial results and/or stock price. AVROBIO cannot predict with certainty whether or when any of the required closing conditions will be satisfied or if another uncertainty may arise and cannot assure you that the proposed merger will be successfully consummated or that AVROBIO will be able to successfully consummate the proposed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AVROBIO’s efforts to complete the merger could cause substantial disruptions in, and create uncertainty surrounding, AVROBIO’s business, which may materially adversely affect AVROBIO’s results of operations and AVROBIO’s business. Uncertainty as to whether the merger will be completed may affect AVROBIO’s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AVROBIO’s management’s and employees’ attention is being directed toward the completion of the transaction and thus is being diverted from AVROBIO’s day-to-day operations. Uncertainty as to AVROBIO’s future could adversely affect AVROBIO’s business and AVROBIO’s relationship with collaborators, suppliers, vendors, regulators and other business partners. For example, vendors, collaborators and other counterparties may defer decisions about working with AVROBIO or seek to change existing business relationships with AVROBIO. Changes to, or termination of, existing business relationships could adversely affect AVROBIO’s results of operations and financial condition, as well as the market price of AVROBIO’s common stock. The adverse effects of the pendency of the transaction could be exacerbated by any delays in completion of the transaction or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Risks related to the failure to consummate, or delay in consummating, the proposed merger with Tectonic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not realize any or all of the potential benefits of the merger, which could have a negative effect on AVROBIO’s results of operations, business or stock price;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some circumstances, AVROBIO may be required to pay a termination fee to Tectonic of $2,712,500;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by AVROBIO or Tectonic due to AVROBIO stockholders voting on and failing to approve Proposal No. 1 and Proposal No. 2 at the special meeting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adjournment thereof), AVROBIO will be required to reimburse Tectonic for merger-related expenses up to $650,000. The expense reimbursement, to the extent paid, will be credited against any termination fee payable by AVROBIO in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would remain liable for significant transaction costs, including legal, accounting, financial advisory and other costs relating to the merger regardless of whether the merger is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AVROBIO common stock may decline to the extent that the current market price for AVROBIO common stock reflects a market assumption that the merger will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attention of AVROBIO’s management and employees may have been diverted to the merger rather than to AVROBIO’s operations and the pursuit of other opportunities that could have been beneficial to AVROBIO;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could be subject to litigation related to any failure to complete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could potentially lose key personnel during the pendency of the merger as employees and other service providers may experience uncertainty about their future roles with AVROBIO following completion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AVROBIO is subject to certain customary restrictions on the conduct of AVROBIO’s business prior to completing the merger, which restrictions could adversely affect AVROBIO’s ability to conduct AVROBIO’s business as AVROBIO otherwise would have done if AVROBIO was not subject to these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these events individually or in combination could materially and adversely affect AVROBIO’s results of operations, business, and AVROBIO’s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cannot be sure if or when the merger will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subject to the satisfaction or waiver of various conditions, including the authorization of the merger by AVROBIO stockholders and Tectonic stockholders. AVROBIO cannot guarantee that the closing conditions set forth in the Merger Agreement will be satisfied. If AVROBIO is unable to satisfy certain closing conditions or if other mutual closing conditions are not satisfied, Tectonic will not be obligated to complete the merger. Under certain circumstances, AVROBIO would be required to pay Tectonic a termination fee of $2,712,500. Additionally, if the Merger Agreement is terminated by AVROBIO or Tectonic due to AVROBIO stockholders voting on and failing to approve Proposal No. 1 and Proposal No. 2 at the special meeting (or any adjournment thereof), AVROBIO will be required to reimburse Tectonic for merger-related expenses up to $650,000. The expense reimbursement, to the extent paid, will be credited against any termination fee payable by AVROBIO in the transaction. Even if a termination fee is not payable in connection with a termination of the Merger Agreement, AVROBIO will have incurred significant fees and expenses, which must be paid whether or not the merger is completed.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the AVROBIO Board, in discharging its fiduciary obligations to AVROBIO stockholders, would evaluate other strategic alternatives or financing options that may be available, which alternatives may not be as favorable to AVROBIO stockholders as the merger, including a liquidation and dissolution. Any future sale or merger, financing or other transaction, including a liquidation or dissolution, may be subject to further stockholder approval. AVROBIO may also be unable to find, evaluate or complete other strategic alternatives, which may have a materially adverse effect on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Until the merger is completed, the Merger Agreement restricts Tectonic and AVROBIO from taking specified actions without the consent of the other party, and requires AVROBIO to operate in the ordinary course of business consistent with past practice. These restrictions may prevent Tectonic and AVROBIO from making appropriate changes to AVROBIO respective businesses or pursuing attractive business opportunities that may arise prior to the completion of the merger. Further, if AVROBIO’s net cash at closing is lower than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because expenses exceed current estimates or due to delays prior to closing, then the pre-merger AVROBIO stockholders will own less of the combined company pursuant to the exchange ratio adjustment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Any delay in completing the proposed merger may materially and adversely affect the timing and benefits that are expected to be achieved from the proposed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AVROBIO and the members of the AVROBIO Board arising out of the proposed merger, which may delay or prevent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AVROBIO, the AVROBIO Board, Tectonic, the Tectonic Board and others in connection with the transactions contemplated by the Merger Agreement. The outcome of litigation is uncertain, and AVROBIO may not be successful in defending against any such future claims. Lawsuits that may be filed against AVROBIO, the AVROBIO Board, Tectonic or the Tectonic Board could delay or prevent the merger, divert the attention of AVROBIO’s management and employees from AVROBIO’s day-to-day business and otherwise adversely affect AVROBIO’s financial condition. Litigation may also impact AVROBIO’s ability to consummate a potential strategic transaction or the ultimate value its stockholders receive in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The foregoing complaint is referred to as the “Merger Action.”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Action alleges that the Form S-4 registration statement filed by AVROBIO on February 14, 2024 in connection the merger misrepresents and/or omits certain purportedly material information in connection with the merger, potential conflicts of interest of AVROBIO’s officers and directors, and the events that led to the signing of the Merger Agreement. The Merger Action asserts violations of Section 14(a) of the Exchange Act and Rule 14a-9 promulgated thereunder against all defendants (AVROBIO and the AVROBIO Board) and violations of Section 20(a) of the Exchange Act against AVROBIO’s directors. The Merger Action seeks, among other things, an injunction enjoining the consummation of the merger, costs of the action, including plaintiff’s attorneys’ fees and experts’ fees and other relief the court may deem just and proper. </w:t>
      </w:r>
    </w:p>
    <w:p>
      <w:pPr>
        <w:pStyle w:val="TextBody"/>
        <w:bidi w:val="0"/>
        <w:spacing w:before="240" w:after="0"/>
        <w:jc w:val="left"/>
        <w:rPr>
          <w:rFonts w:ascii="Times New Roman" w:hAnsi="Times New Roman"/>
          <w:sz w:val="20"/>
        </w:rPr>
      </w:pPr>
      <w:r>
        <w:rPr>
          <w:rFonts w:ascii="Times New Roman" w:hAnsi="Times New Roman"/>
          <w:sz w:val="20"/>
        </w:rPr>
        <w:t xml:space="preserve">Also in connection with the Merger Agreement, AVROBIO has received demand letters from four purported AVROBIO stockholders demanding that AVROBIO disclose certain additional information relating to the merger (the “Demands”).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predict the outcome of the Merger Action or the Demands. AVROBIO believes that the allegations and claims asserted in the Merger Action and the Demands are without merit and intends to defend against them vigorously. Additional lawsuits and demand letters arising out of the merger may also be filed or received in the future, though AVROBIO will not provide additional disclosures unless those new complaints or letters contain material differences from those received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stockholders potentially may not receive any payment on the CVRs and the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effective time, AVROBIO, the holders’ representative and a rights agent will execute and deliver the CVR Agreement, pursuant to which AVROBIO stockholders of record as of immediately prior to the effective time (including holders of shares of AVROBIO common stock issued upon settlement of the AVROBIO RSUs) will receive one non-transferable CVR for each outstanding share of AVROBIO common stock held by such stockholder on such date, subject to and in accordance with the terms and conditions of the CVR Agreement. Pursuant to the CVR Agreement, each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 is entitled to certain rights to receive a pro rata portion of 80% of the net proceeds (as defined in the CVR Agreement), if any, received by AVROBIO as a result of an AVROBIO disposition (including a license) of AVROBIO’s pre-closing assets after the effective date and prior to the 18-month anniversary of the closing, received within a 10-year period following the closing; provided that no contingent payment will be payable to any holder of the CVRs until such time as the then-outstanding and undistributed proceeds exceeds $350,000 in the aggregate. Such proceeds are subject to certain permitted deductions, including for applicable tax payments, certain expenses incurred by AVROBIO or its affiliates, losses incurred or reasonably expected to be incurred by AVROBIO or its subsidiaries due to a third party proceeding in connection with a disposition and certain wind-down costs. The contingent payments under the CVR Agreement, if they become payable, will become payable to the rights agent for subsequent distribution to the holders of the CVRs. In the event that no proceeds are received, holders of the CVRs will not receive any payment pursuant to the CVR Agreement. There can be no assurance that any holders of CVRs will receive payments with respect thereto. </w:t>
      </w:r>
    </w:p>
    <w:p>
      <w:pPr>
        <w:pStyle w:val="TextBody"/>
        <w:bidi w:val="0"/>
        <w:spacing w:before="240" w:after="0"/>
        <w:jc w:val="left"/>
        <w:rPr>
          <w:rFonts w:ascii="Times New Roman" w:hAnsi="Times New Roman"/>
          <w:sz w:val="20"/>
        </w:rPr>
      </w:pPr>
      <w:r>
        <w:rPr>
          <w:rFonts w:ascii="Times New Roman" w:hAnsi="Times New Roman"/>
          <w:sz w:val="20"/>
        </w:rPr>
        <w:t>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For a more detailed description of the CVRs and the CVR Agreement, see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may not be able to achieve successful results from the disposition of such assets as described above. If this is not achieved for any reason within the time periods specified in the CVR Agreement, no payments will be made under the CVRs, and the CVRs will expire valueless.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does not successfully consummate the merger or another strategic transaction, the AVROBIO Board may decide to pursue a dissolution and liquidation of AVROBIO. In such an event, the amount of cash available for distribution to AVROBIO stockholders will depend heavily on the timing of such liquidation as well as the amount of cash that will need to be reserved for commitments and contingent liabilities, as to which AVROBIO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the AVROBIO Board may decide to pursue a dissolution and liquidation of AVROBIO. In such an event, the amount of cash available for distribution to AVROBIO stockholders will depend heavily on the timing of such decision and, ultimately, such liquidation, since the amount of cash available for distribution continues to decrease as AVROBIO funds its operations while pursuing the merger. In addition, if the AVROBIO Board were to approve and recommend, and AVROBIO stockholders were to approve, a dissolution and liquidation of the company, AVROBIO would be required under Delaware corporate law to pay AVROBIO’s outstanding obligations, as well as to make reasonable provision for contingent and unknown obligations, prior to making any distributions in liquidation to stockholders. AVROBIO’s commitments and contingent liabilities may include obligations under AVROBIO’s employment and related agreements with certain employees that provide for severance and other payments following a termination of employment occurring for various reasons, including a change in control of the company, litigation against AVROBIO, and other various claims and legal actions arising in the ordinary course of business, and other unexpected and/or contingent liabilities. As a result of this requirement, a portion of AVROBIO’s assets would need to be reserved pending the resolution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 may be subject to litigation or other claims related to a dissolution and liquidation of AVROBIO. If a dissolution and liquidation were to be pursued, the AVROBIO Board, in consultation with AVROBIO’s advisors, would need to evaluate these matters and make a determination about a reasonable amount to reserve. Accordingly, holders of AVROBIO common stock could lose all or a significant portion of their investment in the event of liquidation, dissolution or winding up of the company. A liquidation would be a lengthy and uncertain process with no assurance of any value ever being returned to AVROBIO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is substantially dependent on AVROBIO’s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AVROBIO’s ability to consummate a strategic transaction depends upon its ability to retain its employees required to consummate such a transaction, the loss of whose services may adversely impact the ability to consummate such transaction. In January 2022, and then between July 2023 and February 2024, AVROBIO implemented reductions in force that significantly reduced its workforce in order to conserve its capital resources. As of March 15, 2024, AVROBIO had only 13 full-time employees. AVROBIO’s ability to successfully complete the merger depends in large part on AVROBIO’s ability to retain certain remaining personnel. Despite AVROBIO’s efforts to retain these employees, one or more may terminate their employment with AVROBIO on short notice. AVROBIO’s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AVROBIO’s ability to consummate the merger, to run AVROBIO’s day-to-day business operations and to fulfill AVROBIO’s reporting obligations as a public company. </w:t>
      </w:r>
    </w:p>
    <w:p>
      <w:pPr>
        <w:pStyle w:val="TextBody"/>
        <w:bidi w:val="0"/>
        <w:spacing w:before="360" w:after="0"/>
        <w:jc w:val="left"/>
        <w:rPr>
          <w:rFonts w:ascii="Times New Roman" w:hAnsi="Times New Roman"/>
          <w:b/>
          <w:sz w:val="20"/>
        </w:rPr>
      </w:pPr>
      <w:bookmarkStart w:id="26" w:name="toc770053_24"/>
      <w:bookmarkEnd w:id="26"/>
      <w:r>
        <w:rPr>
          <w:rFonts w:ascii="Times New Roman" w:hAnsi="Times New Roman"/>
          <w:b/>
          <w:sz w:val="20"/>
        </w:rPr>
        <w:t xml:space="preserve">Risks Related to AVROBIO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AVROBIO’s Financial Position and Need for Additional Capital in Event the Merger is Not Consummated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 has incurred net losses since inception, expects to incur net losses for the foreseeable future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except for the year ended December 31, 2023, AVROBIO has incurred annual net losses. AVROBIO incurred net income (loss) of $12.2 million and $(105.9) million for the years ended December 31, 2023 and 2022, respectively. AVROBIO historically financed AVROBIO’s operations primarily through private placements of AVROBIO preferred stock and, more recently, AVROBIO’s initial public offering (“IPO”) and follow-on public offerings of AVROBIO common stock, as well as sales of AVROBIO common stock under AVROBIO’s “at-the-market” facility (the “ATM facility”). Although AVROBIO had established its ATM facility, as of the filing date of its Quarterly Report on Form 10-Q for the quarter ended September 30, 2023, AVROBIO had not made any sales under its ATM facility, and AVROBIO will not make sales under its ATM facility unless and until a new shelf registration statement on Form S-3 is filed and declared effective. In addition, on November 2, 2021, AVROBIO entered into the Loan and Security Agreement (the “Term Loan Agreement”), by and among AVROBIO, the lenders party thereto from time to time and Silicon Valley Bank or its successor, Silicon Valley Bank, a division of First-Citizens Bank &amp; Trust company (“SVB”). In May 2023, AVROBIO announced that it had entered into an asset purchase agreement (the “Asset Purchase Agreement”) with Novartis Pharma AG and Novartis Pharmaceuticals Corporation (collectively “Novartis”), providing for the sale of AVROBIO’s cystinosis gene therapy program (designated AVR-RD-04) and all other assets of AVROBIO specifically related to this program for an aggregate cash payment of $87.5 million upon closing of the transaction. In June 2023, AVROBIO announced the closing of this transaction, as well as the pay-off of all outstanding amounts due and owed, including principal, interest and other charges, under the Term Loan Agreement and the 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AVROBIO has devoted substantially all of AVROBIO’s efforts to research and development, including clinical and preclinical development of AVROBIO’s product candidates, as well as assembling AVROBIO’s team. In July 2023, AVROBIO announced the decision to halt further development of AVROBIO’s programs and to conduct a comprehensive exploration of strategic alternatives, and as such, AVROBIO’s research and development expenses have decreased. Should AVROBIO resume development of AVROBIO’s product candidates, AVROBIO expects that research and development costs would increase significantly, that it would be several years, if ever, before AVROBIO commercializes any product candidates, and that AVROBIO would continue to incur significant expenses and increasing operating losses for the foreseeable future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also anticipates that its expenses would increase substantially should AVROBIO resume development of AVROBIO’s product candidates and if, and as, AVROBIO: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resumes clinical enrollment activities, particularly if and as AVROBIO commences and continues clinical-stage activities for AVROBIO’s product candidates;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additional clinical trials and preclinical studies for AVROBIO’s product candidates,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delays or interruptions in preclinical studies, clinical trials, or AVROBIO’s supply chain due to the COVID-19 pandemic;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and develop or in-license additional product candidates;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marketing approvals for AVROBIO’s product candidates that successfully complete clinical trials,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 candidates for which AVROBIO may obtain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AVROBIO’s implementation of AVROBIO’s plato® platform as AVROBIO seeks to industrialize its HSC gene therapy approach into a robust, scalable and, if approved, commercially viable process;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and retains additional personnel, such as clinical, quality control, regulatory and scientific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AVROBIO’s office space, infrastructure and facilities as needed to accommodate AVROBIO’s employee base, including adding equipment and physical infrastructure to support AVROBIO’s research and development;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incur additional public company-related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expects to continue to incur costs and expenditures in connection with AVROBIO’s strategic alternatives process. Should AVROBIO resume development of its product candidates, to become and remain profitable, it must successfully develop and eventually commercialize product candidates with significant market potential and acceptance. This will require AVROBIO to be successful in a range of challenging activities, and its expenses will increase substantially as AVROBIO seeks to resume, initiate, conduct and complete preclinical and clinical trials of AVROBIO’s product candidates, and manufacture, market and sell these or any future product candidates for which AVROBIO may obtain marketing approval, if any, and satisfy any post-marketing requirements. Should AVROBIO resume development of its product candidates, AVROBIO may never succeed in any or all of these activities and, even if AVROBIO does, AVROBIO may never generate revenues that are significant or large enough to achieve profitability. If AVROBIO does achieve profitability, AVROBIO may not be able to sustain or increase profitability on a quarterly or annual basis. AVROBIO’s failure to become and remain profitable would decrease the value of AVROBIO and could impair their ability to raise capital, maintain their research and development efforts, expand their business or continue operations. A decline in the value of AVROBIO also could cause you to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2023, AVROBIO announced that it was undertaking a comprehensive exploration of strategic alternatives focused on maximizing stockholder value, and in January 2024, AVROBIO announced its proposed merger with Tectonic. There can be no assurance that the proposed merger with Tectonic, or any other course of action, business arrangement or transaction, or series of transactions, will be pursued, successfully consummated or lead to increased stockholder value. Further, if AVROBIO does not obtain additional funding and/or if a strategic transaction is not completed and are unable to continue as a going concern, AVROBIO may have to liquidate its assets and the values AVROBIO receives for the assets in liquidation or dissolution could be significantly lower than the values reflected in AVROBIO’s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AVROBIO has never generated revenue from product sales and does not expect to do so for the next several years, if ever.</w:t>
      </w:r>
    </w:p>
    <w:p>
      <w:pPr>
        <w:pStyle w:val="TextBody"/>
        <w:bidi w:val="0"/>
        <w:spacing w:before="120" w:after="0"/>
        <w:jc w:val="left"/>
        <w:rPr>
          <w:rFonts w:ascii="Times New Roman" w:hAnsi="Times New Roman"/>
          <w:sz w:val="20"/>
        </w:rPr>
      </w:pPr>
      <w:r>
        <w:rPr>
          <w:rFonts w:ascii="Times New Roman" w:hAnsi="Times New Roman"/>
          <w:sz w:val="20"/>
        </w:rPr>
        <w:t>AVROBIO’s ability to generate revenue from product sales and achieve profitability depends on AVROBIO’s ability, alone or with collaborative partners, to successfully resume and complete the development of, and obtain the regulatory approvals necessary to commercialize, AVROBIO’s product candidates. AVROBIO does not anticipate generating revenues from product sales for the next several years, if ever. Should AVROBIO resume development of its product candidates, AVROBIO’s ability to generate future revenues from product sales depends heavily on AVROBIO’s success in:</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re-initiating and completing research and preclinical and clinical development of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seeking and obtaining regulatory and marketing approvals for product candidates for which AVROBIO completes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and commercializing product candidates for which AVROBIO obtains regulatory and marketing approval by establishing a sales force, marketing and distribution infrastructure or, alternatively, collaborating with a commercialization partner;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qualifying for adequate coverage and reimbursement by government and third-party payors for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supply and manufacturing processes and relationships with third parties that can provide adequate, in both amount and quality, products and services to support clinical development and the commercial market demand for AVROBIO’s product candidates, if approved;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 acceptance of AVROBIO’s product candidates, if approved, as a viable treatment option;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technological and market developments;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AVROBIO may enter and performing AVROBIO’s obligations under such arrangements; and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one or more of the product candidates that AVROBIO develops is approved for commercial sale, AVROBIO anticipates incurring significant costs associated with commercializing any approved product candidate. AVROBIO’s expenses could increase beyond expectations if AVROBIO is required by the U.S. Food and Drug Administration (“FDA”) or other foreign regulatory authorities to perform clinical and other studies in addition to those that AVROBIO currently anticipates would be required. Even if AVROBIO is able to generate revenues from the sale of any approved products, AVROBIO may not become profitable and may need to obtain additional funding to continue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AVROBIO decides to resume development of its product candidates, AVROBIO will need additional funding, which may not be available on acceptable terms, or at all. Failure to obtain this necessary capital when needed may force AVROBIO to delay, limit or terminate AVROBIO’s product development efforts or 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particularly if AVROBIO continues the research and development of, initiate further clinical trials of and seek marketing approval for, AVROBIO’s product candidates and continue to enhance and optimize AVROBIO’s vector technology and manufacturing processes, AVROBIO expects its expenses would increase in connection with such activities. In July 2023, AVROBIO announced it was halting further development of its programs. Following such announcement, in September 2023 AVROBIO terminated its agreements with the University of Manchester for the license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a gene therapy for MPSII (Hunter syndrome) and discontinued AVROBIO’s AVR-RD-05, a Hunter syndrome gene therapy program. Previously, in June 2023, AVROBIO sold its cystinosis gene therapy program to Novartis. AVROBIO currently has a total of three gene therapy product candidates, for Gaucher, Pompe and Fabry diseases, none of which is currently in clinical development. Resumption of the development of these product candidates, if that were to occur, would require AVROBIO to expend significant resources to advance these candidates. In addition, should AVROBIO resume development of its product candidates and thereafter obtains marketing approval for any of AVROBIO’s product candidates, AVROBIO expects to incur significant expenses related to product sales, medical affairs, marketing, manufacturing and distribution. Though AVROBIO has halted further development of its programs to conduct a comprehensive exploration of strategic alternatives and has conducted reductions in force, AVROBIO may incur significant costs in connection with a comprehensive review of strategic alternatives, and AVROBIO has incurred, and may in the future incur, significant costs related to this continued evaluation. AVROBIO may also incur additional unanticipated expenses in connection with this process. Furthermore, AVROBIO expects to continue to incur additional costs associated with operating as a public company. Accordingly, should AVROBIO resume development of its product candidates, AVROBIO will need to obtain substantial additional funding in connection with AVROBIO’s continuing operations. If AVROBIO is unable to raise capital when needed or on reasonable terms, and/or if a strategic transaction is not completed, AVROBIO may have to liquidate its assets. AVROBIO’s future capital requirements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exploration of strategic alternatives to maximize stockholder value, including whether AVROBIO is able to identify and implement any potential strategic alternatives, in a timely manner or at all, whether AVROBIO realizes all or any of the anticipated benefits of any such transaction and whether any such transactions would generate value for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scope, progress, results and costs of drug discovery, laboratory testing, preclinical development and clinical trials for AVROBIO’s product candidates, including the extent of any impacts from the COVID-19 pandemic or similar public health crisis on these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costs, timing and outcome of regulatory review of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future activities, including, should AVROBIO resume development of its product candidates, product sales, medical affairs, marketing, manufacturing and distribution, for any of AVROBIO’s product candidates for which AVROBIO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should AVROBIO resume development of AVROBIO’s product candidates, the costs associated with AVROBIO’s manufacturing process development and evaluation of third-party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revenue, if any, should AVROBIO resume development of its product candidates, received from commercial sale of AVROBIO’s products, should any of AVROBIO’s product candidates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if any, raised from potential financings and capital raising activities should AVROBIO resume development of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AVROBIO’s intellectual property rights and defending intellectual property-related claims;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defending against and resolving adverse litigation, if any;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AVROBIO’s current and any future license agreements and collaborations;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AVROBIO acquires or in-license other product candidates, technologies and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should AVROBIO resume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its product candidates, AVROBIO may never generate the necessary data or results required to obtain marketing approval and achieve product sales. In addition, AVROBIO’s product candidates, if approved, may not achieve commercial success. AVROBIO’s product revenues, if any, will be derived from or based on sales of products that may not be commercially available for many years, if at all. Accordingly, AVROBIO will need to continue to rely on additional financing to achieve AVROBIO’s business objectives. Adequate additional financing may not be available to AVROBIO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Entry into an acquisition, merger, business combination, or other strategic transaction, or raising additional capital may cause dilution to AVROBIO’s existing stockholders, restrict AVROBIO’s operations or cause AVROBIO to relinquish valuable rights. </w:t>
      </w:r>
    </w:p>
    <w:p>
      <w:pPr>
        <w:pStyle w:val="TextBody"/>
        <w:bidi w:val="0"/>
        <w:spacing w:before="120" w:after="0"/>
        <w:jc w:val="left"/>
        <w:rPr>
          <w:rFonts w:ascii="Times New Roman" w:hAnsi="Times New Roman"/>
          <w:sz w:val="20"/>
        </w:rPr>
      </w:pPr>
      <w:r>
        <w:rPr>
          <w:rFonts w:ascii="Times New Roman" w:hAnsi="Times New Roman"/>
          <w:sz w:val="20"/>
        </w:rPr>
        <w:t xml:space="preserve">In July 2023, AVROBIO announced its intention to explore strategic alternatives, including a potential acquisition, merger, business combination, or other strategic transaction, and in January 2024 announced entrance into the Merger Agreement with Tectonic. If the merger with Tectonic is not consummated, the terms of any other strategic transaction that AVROBIO might enter into, if any, could result in the issuance of securities in the company, such as AVROBIO common stock, which could result in significant dilution to AVROBIO stockholders. Additionally, in connection with any other such strategic alternatives, AVROBIO may seek to raise additional capital through a combination of public and private equity offerings or other financing arrangements. To the extent that AVROBIO enters into any other strategic transaction and/or raises additional capital through the sale of equity, convertible debt securities or other equity-based derivative securities, stockholders’ ownership interest will be diluted and the terms may include liquidation or other preferences that adversely affect rights of stockholders. Any indebtedness AVROBIO incurs would result in increased fixed payment obligations and could involve restrictive covenants, such as limitations on AVROBIO’s ability to incur additional debt, limitations on AVROBIO’s ability to acquire or license intellectual property rights and other operating restrictions that could adversely impact AVROBIO’s ability to conduct AVROBIO’s business. Furthermore, the issuance of additional securities, whether equity or debt, by AVROBIO, or the possibility of such issuance, may cause the market price of AVROBIO common stock to decline and existing stockholders may not agree with AVROBIO’s strategic or financing plans or the terms of such strategic transaction or financings. If AVROBIO raises additional funds through strategic partnerships and alliances and licensing arrangements with third parties, AVROBIO may have to relinquish valuable rights to AVROBIO’s technologies, or AVROBIO’s product candidates, or grant licenses on terms unfavorable to AVROBIO. Adequate additional financing may not be available to AVROBIO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limited operating history may make it difficult to evaluate the success of AVROBIO’s business to date and to assess AVROBIO’s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AVROBIO was founded in November 2015. AVROBIO’s operations to date have been limited to corporate organization, recruiting key personnel, business planning, raising capital, acquiring rights to AVROBIO’s technology, identifying potential product candidates, undertaking preclinical studies and planning and supporting clinical trials of certain of AVROBIO’s product candidates and establishing research and development and manufacturing capabilities. AVROBIO has not yet demonstrated the ability to complete clinical trials of AVROBIO’s product candidates, obtain marketing approvals, manufacture products on a commercial scale or conduct sales and marketing activities necessary for successful commercialization. Consequently, any predictions you make about AVROBIO’s future success or viability, should AVROBIO resume development of its programs, may not be as accurate as they could be if AVROBIO had a longer operating history. In addition, as an early-stage company, AVROBIO may encounter unforeseen expenses, difficulties, complications, delays and other known and unknown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AVROBIO’s current and projected business operations and its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Uncertainty remains over liquidity concerns in the broader financial services industry, and if any of AVROBIO’s contract organizations, vendors, suppliers or other parties with whom AVROBIO conducts business are unable to access funds pursuant to their own arrangements with such a financial institution, such party’s ability to perform their obligations could be adversely affected. Similar impacts have occurred in the past, such as during the 2008-2010 financial crisis. </w:t>
      </w:r>
    </w:p>
    <w:p>
      <w:pPr>
        <w:pStyle w:val="TextBody"/>
        <w:bidi w:val="0"/>
        <w:spacing w:before="240" w:after="0"/>
        <w:jc w:val="left"/>
        <w:rPr>
          <w:rFonts w:ascii="Times New Roman" w:hAnsi="Times New Roman"/>
          <w:sz w:val="20"/>
        </w:rPr>
      </w:pPr>
      <w:r>
        <w:rPr>
          <w:rFonts w:ascii="Times New Roman" w:hAnsi="Times New Roman"/>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Although AVROBIO assesses its banking relationships as AVROBIO believes necessary or appropriate, AVROBIO’s access to funding sources and other credit arrangements in amounts adequate to finance or capitalize AVROBIO’s current and projected future business operations could be significantly impaired by factors that affect AVROBIO’s company, the financial institutions with which AVROBIO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AVROBIO has financial or business relationships, but could also include factors involving financial markets or the financial services industry generally. The results of events or concerns that involve one or more of these factors could include a variety of material and adverse impacts on AVROBIO’s current and projected business operations and AVROBIO’s financial condition and results of operations. These could include, but may not be limited to, the following: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Delayed or lost access to, or reductions in borrowings available under revolving existing credit facilities or other working capital sources and/or delays, inability or reductions in the company’s ability to refund, roll over or extend the maturity of, or enter into new credit facilities or other working capital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contractual obligations that require AVROBIO to maintain letters of credit or other credit support arrangements;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financial covenants in AVROBIO’s credit agreements or credit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cross-defaults in other credit agreements, credit arrangements or operating or financing agreements;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cash management arrangements and/or delays in accessing or actual loss of funds subject to cash management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AVROBIO to acquire financing on acceptable terms or at all. Any decline in available funding or access to AVROBIO’s cash and liquidity resources could, among other risks, adversely impact AVROBIO’s ability to meet AVROBIO’s operating expenses, financial obligations or fulfill AVROBIO’s other obligations, result in breaches of AVROBIO’s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AVROBIO’s liquidity and AVROBIO’s current and/or projected business operations and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further deterioration in the macroeconomic economy or financial services industry could lead to losses or defaults by AVROBIO’s contract organizations, vendors, suppliers or other parties with whom AVROBIO conducts business, which in turn, could have a material adverse effect on AVROBIO’s current and/or projected business operations and results of operations and financial condition. For example, contract organizations, vendors, suppliers or other parties with whom AVROBIO conducts business could be adversely affected by any of the liquidity or other risks that are described above as factors that could result in material adverse impacts on AVROBIO’s company, including but not limited to delayed access or loss of access to uninsured deposits or loss of the ability to draw on existing credit facilities involving a troubled or failed financial institution. Any bankruptcy or insolvency involving AVROBIO’s contract organizations, vendors, suppliers or other parties with whom AVROBIO conducts business, or any breach or default by such parties, or the loss of any significant relationships with such parties, could result in a material adverse impact on AVROBIO’s business. </w:t>
      </w:r>
    </w:p>
    <w:p>
      <w:pPr>
        <w:pStyle w:val="TextBody"/>
        <w:bidi w:val="0"/>
        <w:spacing w:before="360" w:after="0"/>
        <w:jc w:val="left"/>
        <w:rPr>
          <w:rFonts w:ascii="Times New Roman" w:hAnsi="Times New Roman"/>
          <w:b/>
          <w:sz w:val="20"/>
        </w:rPr>
      </w:pPr>
      <w:bookmarkStart w:id="27" w:name="toc770053_25"/>
      <w:bookmarkEnd w:id="27"/>
      <w:r>
        <w:rPr>
          <w:rFonts w:ascii="Times New Roman" w:hAnsi="Times New Roman"/>
          <w:b/>
          <w:sz w:val="20"/>
        </w:rPr>
        <w:t xml:space="preserve">Risks Related to AVROBIO’s Business if Merger is Not Consummated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 may not be successful in completing the merger, and any strategic transactions that it may consummate in the future could have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AVROBIO is exploring strategic transactions regarding any product candidates and related assets, including, without limitation, licensing transactions and asset sales. There can be no assurance that AVROBIO will be able to successfully consummate the merger or that the merger will be completed on attractive terms, within the anticipated timing, or at all. The process of continuing to evaluate these strategic options may be very costly, time-consuming and complex and AVROBIO has incurred, and may in the future incur, significant costs related to this continued evaluation, such as legal and accounting fees and expenses and other related charges. AVROBIO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strategic business combination or other transactions that AVROBIO may consummate in the future could have a variety of negative consequences and it may implement a course of action or consummate a transaction that yields unexpected results that adversely affects its business and decreases the remaining cash available for use in its business or the execution of its strategic plan. There can be no assurances that any particular course of action, business arrangement or transaction, or series of transactions, will be pursued, successfully consummated, lead to increased stockholder value or achieve the anticipated results. Any potential transaction would be dependent on a number of factors that may be beyond its control, including, among other things, market conditions, industry trends, the interest of third parties in a potential transaction with AVROBIO, obtaining stockholder approval and the availability of financing to third parties in a potential transaction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on reasonable terms. Any failure of such a potential transaction to achieve the anticipated results could significantly impair its ability to enter into any future strategic transactions and may significantly diminish or delay any future distributions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AVROBIO is not successful in setting forth a new strategic path for AVROBIO, or if its plans are not executed in a timely fashion, this may cause reputational harm with its stockholders and the value of its securities may be adversely impacted. In addition, speculation regarding any developments related to the review of strategic alternatives and perceived uncertainties related to the future of AVROBIO could cause its stock price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is successful in completing the merger, it may be exposed to other operational and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has required and will continue to require significant time on the part of its management, and the diversion of management’s attention may disrupt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AVROBIO anticipates and exposes AVROBIO to other operational and financial risks, including: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110"/>
        <w:gridCol w:w="60"/>
        <w:gridCol w:w="2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in combining the operations and personnel of any acquired business with its operations and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impairment of relationships with key suppliers or customers of any acquired business due to changes in management and ownership;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of AVROBIO or any acquired business; and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its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corporate restructuring and the associated reduction in workforce may not result in anticipated savings, could result in total costs and expenses that are greater than expected and could disrupt its business.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2022, and then between July 2023 and February 2024, AVROBIO implemented reductions in force that significantly reduced its workforce in order to conserve its capital expenditures. AVROBIO may not realize, in full or in part, the anticipated benefits, savings and improvements in its cost structure from its restructuring efforts due to unforeseen difficulties, delays or unexpected costs. If AVROBIO is unable to realize the expected operational efficiencies and cost savings from the restructuring, its operating results and financial condition will be adversely affected. Furthermore, its restructuring plan may be disruptive to its operations. For example, its headcount reductions could yield unanticipated consequences, such as increased difficulties in implementing its business strategy, including retention of its remaining employees. Employee litigation related to the headcount reduction could be costly and prevent management from fully concentrating on the business. </w:t>
      </w:r>
    </w:p>
    <w:p>
      <w:pPr>
        <w:pStyle w:val="TextBody"/>
        <w:bidi w:val="0"/>
        <w:spacing w:before="240" w:after="0"/>
        <w:jc w:val="left"/>
        <w:rPr>
          <w:rFonts w:ascii="Times New Roman" w:hAnsi="Times New Roman"/>
          <w:sz w:val="20"/>
        </w:rPr>
      </w:pPr>
      <w:r>
        <w:rPr>
          <w:rFonts w:ascii="Times New Roman" w:hAnsi="Times New Roman"/>
          <w:sz w:val="20"/>
        </w:rPr>
        <w:t xml:space="preserve">Any future growth of AVROBIO’s business would impose significant added responsibilities on members of management, including the need to identify, recruit, maintain and integrate additional employees. Due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resources, AVROBIO may not be able to effectively manage its operations or recruit and retain qualified personnel, which may result in weaknesses in its infrastructure and operations, risks that AVROBIO may not be able to comply with legal and regulatory requirements, loss of employees and reduced productivity among remaining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and results of AVROBIO’s ongoing strategic process are uncertain and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remains dedicated to diligent deliberations and the making of informed decisions that the directors believe are in the best interests of the company and its stockholders. There can be no assurance, however, that the company’s current strategic direction, or the AVROBIO Board’s evaluation of strategic alternatives, will result in any initiatives, agreements, transactions or plans that will further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In addition, given the substantial restructuring of AVROBIO’s operations over the past several years, it may be difficult to evaluate its current business and future prospects on the basis of historical operating performance. </w:t>
      </w:r>
    </w:p>
    <w:p>
      <w:pPr>
        <w:pStyle w:val="TextBody"/>
        <w:bidi w:val="0"/>
        <w:spacing w:before="360" w:after="0"/>
        <w:jc w:val="left"/>
        <w:rPr>
          <w:rFonts w:ascii="Times New Roman" w:hAnsi="Times New Roman"/>
          <w:b/>
          <w:sz w:val="20"/>
        </w:rPr>
      </w:pPr>
      <w:bookmarkStart w:id="28" w:name="toc770053_26"/>
      <w:bookmarkEnd w:id="28"/>
      <w:r>
        <w:rPr>
          <w:rFonts w:ascii="Times New Roman" w:hAnsi="Times New Roman"/>
          <w:b/>
          <w:sz w:val="20"/>
        </w:rPr>
        <w:t xml:space="preserve">Risks Related to the Discovery and Development of AVROBIO’s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interruptions resulting from the COVID-19 pandemic or similar public health crises have caused and may in the future cause a disruption of the development of AVROBIO’s product candidates and adversely impact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Public health crises such as pandemics, epidemics, or any outbreak of an infectious disease or similar public health crises could adversely impact AVROBIO’s business. For example, the COVID-19 pandemic disrupted normal business operations both in and outside of affected areas and has had significant negative impacts on businesses and financial markets worldwide. While AVROBIO currently has no ongoing clinical development activities following AVROBIO’s decision to halt its clinical development programs while AVROBIO considers strategic alternatives, AVROBIO continues to monitor AVROBIO’s operations and follow applicable government recommendations, and the majority of AVROBIO’s employees have adopted a “hybrid” work schedule which generally limits the number of people in AVROBIO’s office at any particular time. Notwithstanding these measures, the COVID-19 pandemic, including potential outbreaks of new variants, or any other public health crisis could affect the health and availability of AVROBIO’s workforce as well as those of the third parties on which AVROBIO relies. If members of AVROBIO’s management and other key personnel are unable to perform their duties or have limited availability due to any outbreak of an infectious disease or similar public health crises, AVROBIO may not be able to execute on AVROBIO’s business strategy and/or AVROBIO’s operations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trial activities, should AVROBIO resume any such activities, including patient enrollment and data collection, are dependent upon global clinical trial sites which were adversely affected by the COVID-19 pandemic. For example, as the global healthcare community responded to the fluctuations in COVID-19 cases and hospitalizations, many hospitals, including AVROBIO’s clinical sites, temporarily paused elective procedures, which included dosing of new patients with AVROBIO’s investigational gene therapies. While AVROBIO substantially resumed data collection and dosing of new patients until halting AVROBIO’s development programs in July 2023, AVROBIO’s ability to continue clinical activities without further delay or interruption, should AVROBIO resume development of its programs, will depend on future developments that are highly uncertain and cannot be accurately predicted.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from any public health crisis that may delay or otherwise adversely affect enrollment in or the progress of the clinical trials of AVROBIO’s product candidates if AVROBIO resumes development of its programs, as well as AVROBIO’s business generally,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diversion of healthcare resources away from the conduct of clinical trials to focus on pandemic concerns, including the attention of physicians serving as AVROBIO’s clinical trial investigators, hospitals serving as AVROBIO’s clinical trial sites and hospital staff supporting the conduct of AVROBIO’s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AVROBIO’s clinical trial sites or secure visas or entry permissions, any of which could delay or adversely impact the conduct or progress of AVROBIO’s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interruption in global shipping affecting the transport of clinical trial materials, such as patient samples, investigational drug product and conditioning drugs and other supplies used in AVROBIO’s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AVROBIO’s business operations or those of third party service providers, contractors, or suppliers on whom AVROBIO relies, impair the productivity of AVROBIO’s personnel, subject AVROBIO to additional cybersecurity risks, create data accessibility problems, cause AVROBIO to become more susceptible to communication disruptions, or delay necessary interactions with local regulators, ethics committees and other important agencies and contractors;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disruptions involving AVROBIO’s third parties on whom AVROBIO relies, including contract research organizations (“CROs”) and other collaborators for the conduct of AVROBIO’s clinical trials or AVROBIO’s third party suppliers or manufacturers, which could impact their ability to perform adequately or disrupt AVROBIO’s supply chain;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hospital or research institution policies or government regulations, which could delay or adversely impact AVROBIO’s ability to conduct AVROBIO’s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arising from the public health crises could reemerge or worsen and adversely impact AVROBIO’s ability to conduct clinical trials and AVROBIO’s business generally, and could have a material adverse impact on AVROBIO’s operations and financial condition and results. The extent to which any public health crisis impacts AVROBIO’s operations or those of AVROBIO’s third party partners will depend on future developments, which are highly uncertain and cannot be predicted with confidence, including the duration of the public health crisis, the efficacy and safety of vaccines, including against emerging variants, the ability of third parties to manufacture and distribute vaccines, among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HSC lentiviral-based gene therapy product candidates are based on a novel technology, which makes it difficult to predict the time and cost of product candidate development and of subsequently obtaining regulatory approval, should AVROBIO resume development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has concentrated AVROBIO’s research and development efforts on AVROBIO’s HSC gene therapy approach, and should AVROBIO resume development of its product candidates AVROBIO’s future success would depend on AVROBIO’s successful development of viable gene therapy product candidates. There can be no assurance that AVROBIO will not experience problems or delays in developing new product candidates, should AVROBIO resume development of its product candidates, and that such problems or delays will not cause unanticipated costs, or that any such development problems can be solved. For example, timely enrollment in AVROBIO’s clinical trials is dependent upon global clinical trial sites which were adversely affected by the COVID-19 pandemic. In addition, AVROBIO may also experience delays in developing a sustainable, reproducible and scalable manufacturing process or transferring that process to commercial, additional or alternative partners, which should AVROBIO resume development of its product candidates may prevent AVROBIO from completing clinical studies or commercializing AVROBIO’s products on a timely or profitable basis, if at all. For example, as of July 12, 2023, the date on which AVROBIO announced that AVROBIO was halting all further development activities in AVROBIO’s programs, AVROBIO had dosed 11 patients using AVROBIO’s plato platform, including six patients in AVROBIO’s FAB-GT clinical trial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AVROBIO previously halted enrollment) and five patients in AVROBIO’s Guard1 clinical trial. AVROBIO’s implementation of the LV2 lentiviral vector or of AVROBIO’s cell processing to an industrialized, automated closed system using disposable supplies may not be successful or may experience unforeseen delays, should AVROBIO resume development of its product candidates, which may cause shortages or delays in the supply of AVROBIO’s products available for clinical trials and future commercial sales, if any, or impair AVROBIO’s research and development efforts, including those in any future clinical trials. In addition, there is no assurance that preliminary results observed to date in products manufactured using AVROBIO’s proprietary LV2 lentiviral vector or manufactured using this automated system will be replicated in future studies or trials, should AVROBIO resume development of any of its product candidates. Furthermore, the FDA generally prefers that clinical trials be double-blinded and potentially include sham controls. Such a trial design could be challenging to implement due to the nature of the treatment regimen of HSC gene therapy.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AVROBIO’s can be more expensive and take longer than for other, better known or more extensively studied product candidates. To date, only a limited number of HSC gene therapies have received marketing authorization from the FDA or foreign regulatory authorities. Should AVROBIO resume development of its product candidates, it is difficult to determine how long it would take or how much it would cost to obtain regulatory approvals for those product candidates in the United States, Canada, Europe, Japan or other major markets or how long it would take to commercialize those product candidates, if any were to be approved. Approvals by foreign regulatory authorities may not be indicative of what the FDA may require for approval,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Gene therapy clinical trials conducted at institutions that receive funding for recombinant DNA research from the United States National Institutes of Health (the “NIH”) also are subject to the NIH Guidelines, under which supervision of human gene transfer trials includes evaluation and assessment by an institutional biosafety committee (“IBC”) a local institutional committee that reviews and oversees research utilizing recombinant or synthetic nucleic acid molecules at that institution. Before a clinical trial can begin at any institution, that institution’s review board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AVROBIO’s product candidates should AVROBIO resume their development. Similarly, foreign regulatory authorities may issue new guidelines concerning the development and marketing authorization for gene therapy medicinal products and require that AVROBIO complies with these new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FDA, NIH and the European Medicines Agency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For example, in 2016, the FDA established the Office of Tissues and Advanced Therapies (“OTAT”) within the Center for Biologics Evaluation and Research (“CBER”) to consolidate the review of gene therapy and related products, and to advise the CBER on its review. In September 2022, the FDA announced retitling of OTAT to the Office of Therapeutic Products (“OTP”) and elevation of OTP to a “Super Office” to meet its growing cell and gene therapy workload. Although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 has indicated that this change of name and responsibilities is intended to, among other things, increase review capabilities and enhance expertise on new cell and gene therapies, AVROBIO cannot be certain that this approach will improve the time and cost associated with navigating gene therapy regulatory requirements, AVROBIO’s regulatory strategy or the potential success of AVROBIO’s product candidates. Such regulatory action and developments could, instead, delay, impede or even prevent commercialization of some or all of AVROBIO’s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These regulatory review committees and advisory groups and any new guidelines they promulgate may lengthen the regulatory review process, require AVROBIO to perform additional studies, increase AVROBIO’s development costs, lead to changes in regulatory positions and interpretations, delay or prevent approval and commercialization of these product candidates or lead to significant post-approval limitations or restrictions. Should AVROBIO resume development of AVROBIO’s product candidates, AVROBIO will be required to consult with these regulatory and advisory groups, and comply with applicable guidelines. If AVROBIO fails to do so, AVROBIO may be required to delay or discontinue development of certain of those product candidates. These additional processes may result in a review and approval process that is longer than AVROBIO otherwise would have expected. Should AVROBIO resume development of its product candidates, the delay or failure to obtain, or unexpected costs in obtaining, the regulatory approval necessary to bring a potential product to market could decrease AVROBIO’s ability to generate sufficient product revenue, and AVROBIO’s business, financial condition, results of operations and prospects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FDA continues to develop its guidance for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Foreign regulatory agencies also may have requirements for long term follow-up studies of patients following human gene therapy administration.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product candidates and the process for administering AVROBIO’s product candidates may cause undesirable side effects or have other properties that, should AVROBIO resume development of its product candidates, could delay or prevent their regulatory approval, limit their commercial potential or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During the conduct of clinical trials, patients may experience changes in their health, including illnesses, injuries, discomforts or a fatal outcome. It is possible that as AVROBIO tests AVROBIO’s product candidates in larger, longer and more extensive clinical programs, or as use of AVROBIO’s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AVROBIO’s investigational therapies, such as through expanded or Right to Try access or compassionate use, may lead to discovery of undesirable side effects, or other negative consequences that could have adverse impacts on AVROBIO’s development programs for AVROBIO’s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unless otherwise agreed by the FDA. If additional clinical or long-term follow-up experience indicates that any of AVROBIO’s product candidates have side effects or cause serious or life-threatening side effects, AVROBIO may be unable to resume its development programs and any further development of the product candidate may ultimately fail or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 therapy is still a relatively new approach to disease treatment and adverse side effects could develop. A safety concern for gene therapies using lentiviral vectors has been the possibility of insertional oncogenesis, leading to malignant transformation of transduced cells and cellular outgrowth. As more patients are dosed with HSC gene therapies, it is expected that very rare cases of insertional oncogenesis may occur. For example, several patients with cerebral adrenoleukodystrophy treated in a third-party lentiviral gene therapy clinical trial have been diagnosed with treatment-related myelodysplastic syndrome to date. In addition, persistent clonal dominance due to vector integration has been observed in third-party HSC gene therapy clinical trials. While AVROBIO’s HSC gene therapy approach has been designed to avoid insertional oncogenesis, there can be no assurance that patients will not experience such adverse effects, including death. Should AVROBIO resume development of its gene therapy product candidates and any of those product candidates demonstrates adverse side effects at unacceptable rates or degrees of severity, AVROBIO may decide or be required to halt or delay clinical development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side effects caused by AVROBIO’s product candidates, the conditioning, administration process or related procedures,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among other potential risks, can transiently compromise the patient’s immune system, known as neutropenia, and reduce blood clotting, known as thrombocytopenia. </w:t>
      </w:r>
    </w:p>
    <w:p>
      <w:pPr>
        <w:pStyle w:val="TextBody"/>
        <w:bidi w:val="0"/>
        <w:spacing w:before="240" w:after="0"/>
        <w:jc w:val="left"/>
        <w:rPr>
          <w:rFonts w:ascii="Times New Roman" w:hAnsi="Times New Roman"/>
          <w:sz w:val="20"/>
        </w:rPr>
      </w:pPr>
      <w:r>
        <w:rPr>
          <w:rFonts w:ascii="Times New Roman" w:hAnsi="Times New Roman"/>
          <w:sz w:val="20"/>
        </w:rPr>
        <w:t xml:space="preserve">In 2019, AVROBIO began transitioning, in connection with AVROBIO-sponsored clinical trials, towards a new conditioning regimen for AVROBIO’s product candidates utilizing busulfan as the myeloablative conditioning agent instead of the melphalan that AVROBIO previously used. The use of this conditioning regimen AVROBIO designed to utilize a precision dosing program to achieve a balance between the removal of a sufficient amount of bone marrow cells from a patient to aid engraftment of AVROBIO’s genetically modified cells against potential risks, such as toxicity or graft failure. AVROBIO’s conditioning regimens may not be successful or may nevertheless result in adverse side effects. For example, busulfan, the myeloablative agent most recently used in AVROBIO’s conditioning regimen, has been known to carry certain safety risks, including the risk of impairment to fertility in both men and women, and such impairment has been reported in some patients in AVROBIO’s clinical trials. Moreover, in each of AVROBIO’s previous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unexpected rates or degrees of severity, the FDA or other foreign regulatory authorities could order the cessation of development of, or deny approval of,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Even if AVROBIO is able to demonstrate that adverse events are not product-related, such occurrences could adversely affect patient recruitment (should AVROBIO resume development of its product candidates) or the ability of enrolled patients to complete the clinical trial, and lead to a decline in AVROBIO’s stock price.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AVROBIO resume development of its programs and any of AVROBIO’s product candidates receives marketing approval, the FDA could require AVROBIO to adopt a Risk Evaluation and Mitigation Strategy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AVROBIO or others later identify undesirable side effects caused by AVROBIO’s product candidates, several potentially significant negative consequences could result, including: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suspend or withdraw approvals of such product candidate;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additional or boxed warnings on the label;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be required to change the way a product candidate is distributed, dispensed, or administered or conduct additional clinical trials;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could be sued and held liable for harm caused to patients; and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AVROBIO from achieving or maintaining market acceptance of AVROBIO’s product candidates, lead to a decline in AVROBIO’s stock price, and significantly harm AVROBIO’s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has never completed a pivotal or registrational clinical trial, and may be unable to do so for any product candidates AVROBIO may develop, should AVROBIO resume development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is at an early stage of development for all of AVROBIO’s product candidates, and has currently halted further development of AVROBIO’s programs. Twenty-five patients were dosed in AVROBIO’s clinical trials, which includes 14 patients from AVROBIO’s Fabry program that AVROBIO deprioritized in January 2022, six patients in AVROBIO’s cystinosis program that AVROBIO sold to Novartis in June 2023, and five patients in AVROBIO’s Gaucher disease type 1 program. Should AVROBIO resume development of its product candidates, further clinical trials must be completed in order to obtain FDA or other regulatory approval to market these product candidates. AVROBIO has limited experience in preparing, submitting and prosecuting regulatory filings, and has not previously submitted a biologics license application (“BLA”) for any product candidate. Carrying out later-stage clinical trials is a complicated and lengthy process, and AVROBIO does not expect that all data from patients participating in the clinical trials will be relevant or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across AVROBIO-sponsored clinical trials AVROBIO has dosed four patients in the United States, and AVROBIO’s interactions with the FDA have generally been limited. AVROBIO cannot be certain how many additional clinical trials of any of AVROBIO’s product candidates would be required or how such trials should be designed, should AVROBIO resume development of its programs. In order to commence a clinical trial in the United States, AVROBIO is required to seek FDA acceptance of an IND for each of AVROBIO’s product candidates. AVROBIO cannot be sure any IND AVROBIO submits to the FDA, or any similar CTA AVROBIO submits in other countries, will be accepted. Should AVROBIO resume development of its product candidates, there can be no assurance that AVROBIO would be able to submit and secure similar clearances for any of AVROBIO’s other product candidates. AVROBIO may also be required to conduct additional preclinical testing prior to filing an IND for any of AVROBIO’s product candidates, and the results of any such testing may not be positive. Consequently, AVROBIO may be unable to successfully and efficiently execute and complete necessary clinical trials in a way that leads to a BLA submission and approval of any of AVROBIO’s product candidates. AVROBIO may require more time and incur greater costs than AVROBIO’s competitors and may not succeed in obtaining regulatory approvals of product candidates that AVROBIO develops. Failure to commence or complete, or delays in, the necessary clinical trials, could prevent AVROBIO from or delay AVROBIO in commercializing any of AVROBIO’s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 in preclinical studies or early clinical trials may not be indicative of results obtained in later trials, should AVROBIO resume development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future studies or trials, should AVROBIO resume development of any of its programs. Furthermore, preliminary results may not be indicative of the final results of a trial after all data have been collected and analyzed. For example, in January 2022 AVROBIO announced the deprioritization of AVROBIO’s Fabry program due to several factors, including new clinical data showing variable engraftment patterns from the five most recently dosed Phase 2 FAB-GT patients. Although previously reported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13 patients treated across AVROBIO’s clinical-stage programs had shown durable engraftment out 9 to 54 months, the new data from the five most recently dosed Phase 2 FAB-GT patients were discordant with these other data and showed variable engraftment. Should AVROBIO resume development of its product candidates, there can be no assurance that similar engraftment or other issues will not occur in clinical trials of AVROBIO’s other product candidates, which are all based on AVROBIO’s technology and the same HSC approach utilized for AVR-RD-01. </w:t>
      </w:r>
    </w:p>
    <w:p>
      <w:pPr>
        <w:pStyle w:val="TextBody"/>
        <w:bidi w:val="0"/>
        <w:spacing w:before="240" w:after="0"/>
        <w:jc w:val="left"/>
        <w:rPr>
          <w:rFonts w:ascii="Times New Roman" w:hAnsi="Times New Roman"/>
          <w:sz w:val="20"/>
        </w:rPr>
      </w:pPr>
      <w:r>
        <w:rPr>
          <w:rFonts w:ascii="Times New Roman" w:hAnsi="Times New Roman"/>
          <w:sz w:val="20"/>
        </w:rPr>
        <w:t xml:space="preserve">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AVROBIO has limited experience in designing and conducting clinical trials and AVROBIO may be unable to design and execute a clinical trial to support regulatory approval,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AVROBIO also may experience regulatory delays or rejections as a result of many factors, including due to changes in regulatory policy or the approval of competitive therapies during the period of AVROBIO’s product candidate development. Should AVROBIO resume development of any of AVROBIO’s product candidates, those product candidates may fail to show the desired safety and efficacy in clinical development despite positive results in preclinical studies. Any such failure would cause AVROBIO to abandon the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As is typical in open-label studies in which interim reports are provided, the safety and efficacy data are regularly reviewed and validated. As a result, certain data may change over time, including reductions or increases in the number of reported safety events, as well as the characterization of the severity or relatedness of safety events, until the database is locked at the end of the study.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find it difficult to enroll patients in AVROBIO’s clinical trials, which could delay or prevent AVROBIO from proceeding with clinical trials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the timing and success of AVROBIO’s patient enrollment and clinical trial activities would depend on AVROBIO’s ability to recruit patients to participate as well as the completion of required follow-up periods. Patients may be unwilling to participate in AVROBIO’s gene therapy clinical trials because of negative publicity from adverse events related to the biotechnology or gene therapy fields, competitive clinical trials for similar patient populations, clinical trials in product candidates employing AVROBIO’s vectors, the existence of current treatments or for other reasons. In addition, the indications that AVROBIO has targeted and may in the future target are rare diseases, which may limit the pool of patients that may be enrolled in AVROBIO’s clinical trials. Should AVROBIO resume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its product candidates, the timeline for recruiting patients, conducting studies and obtaining regulatory approval of AVROBIO’s product candidates may be delayed, which could result in increased costs, delays in advancing AVROBIO’s product candidates, delays in testing the effectiveness of AVROBIO’s product candidates or termination of the clinical trials altogether. Should AVROBIO resume development of its product candidates, AVROBIO may not be able to identify, recruit and enroll a sufficient number of patients, or those with required or desired characteristics, to complete AVROBIO’s clinical trials in a timely manner or at all. There can be no assurance AVROBIO will achieve that goal or any of AVROBIO’s other patient enrollment goals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and trial completion is affected by factors including the: </w:t>
      </w:r>
    </w:p>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of the patient population and process for identifying patients; </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75"/>
        <w:gridCol w:w="110"/>
        <w:gridCol w:w="60"/>
        <w:gridCol w:w="2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of the trial protocol;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gene therapy-based approaches to treatment of diseases, including any required pretreatment conditioning regimens;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competing therapies and clinical trials;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genetic testing for potential patients;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subject consent;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monitor patients adequately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historically expanded AVROBIO’s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AVROBIO has encountered and, should AVROBIO resume development of its product candidates,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AVROBIO’s progress and completion of planned clinical trials and which would have an adverse effect on AVROBIO’s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 </w:t>
      </w:r>
    </w:p>
    <w:p>
      <w:pPr>
        <w:pStyle w:val="TextBody"/>
        <w:bidi w:val="0"/>
        <w:spacing w:before="240" w:after="0"/>
        <w:jc w:val="left"/>
        <w:rPr>
          <w:rFonts w:ascii="Times New Roman" w:hAnsi="Times New Roman"/>
          <w:sz w:val="20"/>
        </w:rPr>
      </w:pPr>
      <w:r>
        <w:rPr>
          <w:rFonts w:ascii="Times New Roman" w:hAnsi="Times New Roman"/>
          <w:sz w:val="20"/>
        </w:rPr>
        <w:t xml:space="preserve">AVROBIO’s product candidates were being developed to treat rare conditions. Should AVROBIO resume development of its product candidates, AVROBIO would expect to seek initial marketing approvals in the United States, Europe and certain other major markets, including Japan. However, AVROBIO may not be able to resume, initiate or continue clinical trials if AVROBIO cannot enroll a sufficient number of eligible patients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participate in the clinical trials required by FDA or other foreign regulatory authorities. AVROBIO’s ability to successfully resume, initiate, enroll and complete a clinical trial in any foreign country is subject to numerous risks unique to conducting business in foreign countries,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in establishing or managing relationships with contract research organizations (“CROs”) clinical study sites and physicians;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standards for the conduct of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absence in some countries of established groups with sufficient regulatory expertise for review of gene therapy protocols;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inability to locate qualified local consultants, physicians and partners;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burden of complying with a variety of foreign laws, medical standards and regulatory requirements, including the regulation of pharmaceutical and biotechnology products and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if AVROBIO has difficulty enrolling a sufficient number of patients to conduct AVROBIO’s clinical trials, AVROBIO may need to delay, limit or terminate the resumption or continuation of clinical trials, any of which would have an adverse effect on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encounter substantial delays in resuming its clinical trials or AVROBIO may fail to demonstrate safety and efficacy to the satisfaction of applicable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AVROBIO’s product candidates, AVROBIO must conduct extensive clinical studies to demonstrate the safety and efficacy of the product candidates in humans. Clinical testing is expensive, time-consuming and uncertain as to outcome. Should AVROBIO resume development of its product candidates, AVROBIO cannot guarantee that any clinical studies will be conducted as planned or completed on schedule, if at all. A failure of one or more clinical studies can occur at any stage of testing. Events that may prevent successful or timely completion of clinical development, should AVROBIO resume any clinical development programs, include: </w:t>
      </w:r>
    </w:p>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on study design;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prospective CROs and clinical study sites;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required IRB approval at each clinical study site;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suitable patients to participate in AVROBIO’s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clinical hold by regulatory agencies, after an inspection of AVROBIO’s clinical study operations or study sites;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AVROBIO’s CROs, other third parties or AVROBIO to adhere to clinical study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the FDA’s good clinical practices (“GCP”) or applicable regulatory guidelines in other countries;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the testing, validation, manufacturing and delivery of AVROBIO’s product candidates to the clinical sites;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having patients complete participation in a study or return for post-treatment follow-up;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study sites or patients dropping out of a study;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serious adverse events associated with the product candidate that are viewed to outweigh its potential benefits; or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and guidance that require amending or submitting new clinical protocols.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any inability to successfully complete preclinical and clinical development could result in additional costs to AVROBIO or impair AVROBIO’s ability to generate revenues. In addition, if AVROBIO makes changes to AVROBIO’s product candidates, or if collaborator-sponsored trials utilize different materials or manufacturing processes from AVROBIO’s to generate data, AVROBIO may need to conduct additional studies to compare or bridge AVROBIO’s modified product candidates to earlier versions, which could delay AVROBIO’s clinical development plan or marketing approval for AVROBIO’s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following such resumption, if the results of AVROBIO’s clinical studies are inconclusive or if there are safety concerns or adverse events associated with AVROBIO’s product candidates, AVROBIO may: </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AVROBIO’s product candidates, if at all;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changes with the way the product is administered;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required to perform additional clinical studies to support approval or be subject to additional post-marketing testing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regulatory authorities withdraw their approval of the product or impose restrictions on its distribution in the form of a REMS;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the addition of labeling statements, such as warnings or contraindications;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10"/>
        <w:gridCol w:w="60"/>
        <w:gridCol w:w="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sued; or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damage to AVROBIO’s reputation.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AVROBIO from achieving or maintaining market acceptance of AVROBIO’s product candidates and impair AVROBIO’s ability to commercialize AVROBIO’s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even if AVROBIO completes the necessary preclinical and clinical studies, AVROBIO cannot predict whether or when AVROBIO would be able to obtain regulatory approval to commercialize a product candidate, and any approval could be for a narrower indication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AVROBIO cannot commercialize a product until the appropriate regulatory authorities have reviewed and approved the product candidate. Even if AVROBIO resumes development of its product candidates and they are able to demonstrate safety and efficacy in clinical studies to support submitting such programs for marketing approval, the regulatory agencies may not complete their review processes in a timely manner, or AVROBIO may not be able to obtain regulatory approval. Additional delays may result if an FDA Advisory Committee or other regulatory authority recommends non-approval or restrictions on approval. In addition, AVROBIO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regulatory agencies may not approve the labeling claims that are necessary or desirable for the successful commercialization of AVROBIO’s product candidates. If AVROBIO is unable to obtain necessary regulatory approvals or labeling claims, AVROBIO’s business, prospects, financial condition and results of operations would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commercially-scalable plato platform has been used in only two of AVROBIO’s clinical trials and clinical development has been halted. </w:t>
      </w:r>
    </w:p>
    <w:p>
      <w:pPr>
        <w:pStyle w:val="TextBody"/>
        <w:bidi w:val="0"/>
        <w:spacing w:before="120" w:after="0"/>
        <w:jc w:val="left"/>
        <w:rPr>
          <w:rFonts w:ascii="Times New Roman" w:hAnsi="Times New Roman"/>
          <w:sz w:val="20"/>
        </w:rPr>
      </w:pPr>
      <w:r>
        <w:rPr>
          <w:rFonts w:ascii="Times New Roman" w:hAnsi="Times New Roman"/>
          <w:sz w:val="20"/>
        </w:rPr>
        <w:t xml:space="preserve">While AVROBIO has submitted and, should AVROBIO resume development of its product candidates, intends to continue to submit comparability studies to the FDA and other regulatory agencies, as needed, with respect to AVROBIO’s implementation of AVROBIO’s scalable plato platform, there can be no assurance that the FDA or other regulatory agencies will not in the future require AVROBIO to conduct additional preclinical studies or clinical trials that could result in delays and additional costs in AVROBIO’s development or commercialization programs for AVROBIO’s product candidates, which could adversely affect AVROBIO’s business. Should AVROBIO resume development of its product candidates, AVROBIO intends to continue implementing AVROBIO’s scalable plato platform, including heightened vector efficiency, AVROBIO’s closed, automated manufacturing system and utilization of a customized conditioning regimen, in connection with each of AVROBIO’s investigational product candidates. AVROBIO has developed the plato platform to form the backbone of AVROBIO’s commercial programs, with the intent of replacing AVROBIO’s original academic platforms with improved solutions for delivering AVROBIO’s gene therapy candidates to patients in multiple disease indications. In order to implement this transition, AVROBIO was and would continue to be required to conduct additional studies to bridge AVROBIO’s modified product candidates to earlier versions, including any earlier version that may have been utilized in a collaborator-sponsored clinical study, which could delay clinical development or marketing approvals. Clinical trial delays could also shorten any periods during which AVROBIO may have the exclusive right to commercialize AVROBIO’s product candidates, if approved, or allow AVROBIO’s competitors to bring products to market before AVROBIO does, which could impair AVROBIO’s ability to successfully commercialize AVROBIO’s product candidates and may harm AVROBIO’s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faces significant competition in AVROBIO’s industry and, should AVROBIO resume development of its product candidates, there can be no assurance that AVROBIO’s product candidates, if approved, will achieve acceptance in the market over existing established therapies. In addition, AVROBIO’s competitors may develop therapies that are more advanced or effective than AVROBIO’s, which may adversely affect AVROBIO’s ability to successfully market or commercialize any of AVROBIO’s product candidates, should AVROBIO resume development of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operates in a highly competitive segment of the biopharmaceutical market. AVROBIO faces competition from many different sources, including larger pharmaceutical, specialty pharmaceutical and biotechnology companies, as well as from academic institutions, government agencies and private and public research institutions. Should AVROBIO resume development of its product candidates, AVROBIO’s product candidates, if successfully developed and approved, will compete with established therapies, some of which are being marketed by large and international companies. In addition, should AVROBIO resume development of its product candidates, AVROBIO expects to compete with new treatments that are under development or may be advanced into the clinic by AVROBIO’s competitors. There are a variety of product candidates, including gene therapies, in development for the indications that AVROBIO is targeting.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anticipates competing with biotechnology and pharmaceutical companies, many of which may have significantly greater resources than AVROBIO does. For example, for Gaucher disease, Sanofi, Pfizer, and Takeda market existing ERTs that represent the standard of care for Gaucher patients. For Gaucher disease AVROBIO also expects that AVROBIO would compete with oral therapies marketed by Johnson &amp; Johnson and Sanofi. Sanofi also markets an enzyme replacement therapy for Pompe disease. In addition, AVROBIO may compete with other gene therapy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AVROBIO’s industry. Moreover, a number of gene therapy companies have announced preclinical or clinical non-viral and adeno-associated viral based gene therapy programs that, if successful in obtaining regulatory approval, could compete with AVROBIO’s gene therapies. </w:t>
      </w:r>
    </w:p>
    <w:p>
      <w:pPr>
        <w:pStyle w:val="TextBody"/>
        <w:bidi w:val="0"/>
        <w:spacing w:before="240" w:after="0"/>
        <w:jc w:val="left"/>
        <w:rPr>
          <w:rFonts w:ascii="Times New Roman" w:hAnsi="Times New Roman"/>
          <w:sz w:val="20"/>
        </w:rPr>
      </w:pPr>
      <w:r>
        <w:rPr>
          <w:rFonts w:ascii="Times New Roman" w:hAnsi="Times New Roman"/>
          <w:sz w:val="20"/>
        </w:rPr>
        <w:t xml:space="preserve">Many of AVROBIO’s competitors have significantly greater financial, product candidate development, manufacturing and marketing resources than AVROBIO does.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AVROBIO develops obsolete. Competition may increase further as a result of advances in the commercial applicability of technologies and greater availability of capital for investment in these industries. AVROBIO’s business would be materially and adversely affected if competitors develop and commercialize products that are safer, more effective, have fewer or less severe side effects, have broader market acceptance, are more convenient or are less expensive than any product candidate that AVROBIO may develop. </w:t>
      </w:r>
    </w:p>
    <w:p>
      <w:pPr>
        <w:pStyle w:val="TextBody"/>
        <w:bidi w:val="0"/>
        <w:spacing w:before="240" w:after="0"/>
        <w:jc w:val="left"/>
        <w:rPr>
          <w:rFonts w:ascii="Times New Roman" w:hAnsi="Times New Roman"/>
          <w:sz w:val="20"/>
        </w:rPr>
      </w:pPr>
      <w:r>
        <w:rPr>
          <w:rFonts w:ascii="Times New Roman" w:hAnsi="Times New Roman"/>
          <w:sz w:val="20"/>
        </w:rPr>
        <w:t xml:space="preserve">Even if AVROBIO obtains regulatory approval of AVROBIO’s product candidates, the availability and price of AVROBIO’s competitors’ products could limit the demand and the price AVROBIO is able to charge for AVROBIO’s product candidates. AVROBIO may not be able to implement AVROBIO’s business plan if the acceptance of AVROBIO’s product candidates is inhibited by price competition or the reluctance of physicians to switch from existing methods of treatment to AVROBIO’s product candidates, or if physicians switch to other new drug or biologic products or choose to reserve AVROBIO’s product candidates for use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would expect to seek designations for AVROBIO’s product candidates with the FDA and comparable foreign regulatory authorities that are intended to confer benefits such as a faster development process or an accelerated regulatory pathway. However, there can be no assurance that AVROBIO could successfully obtain such designations. In addition, even if one or more of AVROBIO’s product candidates are granted such designations, AVROBIO may not be able to realize the intended benefits of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AVROBIO will successfully obtain such designations for any of AVROBIO’s product candidates. In addition, while such designations could expedite the development or approval process, they generally do not change the standards for approval. Even if AVROBIO obtains such designations for one or more of AVROBIO’s product candidates, there can be no assurance that AVROBIO will realize their intended benefits. </w:t>
      </w:r>
    </w:p>
    <w:p>
      <w:pPr>
        <w:pStyle w:val="TextBody"/>
        <w:bidi w:val="0"/>
        <w:spacing w:before="240" w:after="0"/>
        <w:jc w:val="left"/>
        <w:rPr>
          <w:rFonts w:ascii="Times New Roman" w:hAnsi="Times New Roman"/>
          <w:sz w:val="20"/>
        </w:rPr>
      </w:pPr>
      <w:r>
        <w:rPr>
          <w:rFonts w:ascii="Times New Roman" w:hAnsi="Times New Roman"/>
          <w:sz w:val="20"/>
        </w:rPr>
        <w:t xml:space="preserve">AVROBIO may seek a Breakthrough Therapy Designation for some of AVROBIO’s product candidates should AVROBIO resume development of its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AVROBIO believes one of AVROBIO’s product candidates meets the criteria for designation as a breakthrough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AVROBIO’s product candidates qualify as breakthrough therapies, the FDA may later decide that such product candidates no longer meet the conditions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seek an accelerated approval pathway for one or more of AVROBIO’s product candidates from the FDA or comparable foreign regulatory authorities. The FDA may grant accelerated approval to a therapeutic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prior to seeking accelerated approval, AVROBIO would expect to seek feedback from the FDA or comparable foreign regulatory authorities and would otherwise evaluate AVROBIO’s ability to seek and receive such accelerated approval. There can be no assurance that after AVROBIO’s evaluation of the feedback and other factors AVROBIO would decide to pursue or submit a BLA for accelerated approval or any other form of expedited development, review or approval. Similarly, there can be no assurance that after subsequent feedback from the FDA or comparable foreign regulatory authorities, AVROBIO would continue to pursue or apply for accelerated approval or any other form of expedited development, review or approval, even if AVROBIO initially decides to do so. Furthermore, if AVROBIO decides to submit an application for accelerated approval, there can be no assurance that such application will be accepted or that any approval will be granted on a timely basis, or at all. The FDA, EMA or other comparable foreign regulatory authorities could also require AVROBIO to conduct further studies prior to considering AVROBIO’s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AVROBIO’s product candidate would result in a longer time period to commercialization of such product candidate, could increase the cost of development of such product candidate and could harm AVROBIO’s competitive position in the marketplace. Moreover, even if AVROBIO is able to obtain accelerated approval for any of AVROBIO’s product candidates, there is no guarantee that post-approval studies will be able to confirm the clinical benefit, which could cause FDA to withdraw AVROBIO’s approval.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also pursue programs or designations from foreign regulatory authorities, such as the UK’s Innovative Licensing and Access Pathway (“ILAP”) which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its product candidates, AVROBIO may seek Fast Track designation for some of AVROBIO’s product candidates. If a therapy is intended for the treatment of a serious or life-threatening condition and the therapy demonstrates the potential to address unmet medical needs for this condition, the therapy sponsor may apply for Fast Track designation. However, the FDA has broad discretion whether or not to grant Fast Track designation, so even if AVROBIO believes a product candidate is eligible for this designation, there can be no assurance that the FDA would decide to grant it. Even if AVROBIO does receive Fast Track designation, AVROBIO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AVROBIO’s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AVROBIO’s product candidates, AVROBIO may seek a regenerative medicine advanced therapy (“RMAT”) designation for some of AVROBIO’s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AVROBIO believes one of AVROBIO’s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AVROBIO’s product candidates qualify for RMAT designation, the FDA may later decide that the biological products no longer meet the conditions for qualification.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be unable to obtain orphan drug designation for AVROBIO’s product candidates and, even if AVROBIO obtains such designation, AVROBIO may not be able to realize the benefits of such designation, including potential marketing exclusivity of AVROBIO’s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grants an orphan designation in respect of a product after receiving the opinion of the EMA’s Committee for Orphan Medicinal Products on an orphan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 application. Orphan designation in the European Union may be granted to products where the sponsor can establish that such product is intended for the diagnosis, prevention or treatment of a life-threatening or chronically debilitating condition affecting not more than 5 in 10,000 persons in the European Union when the application is made. Additionally, orphan designation may be granted for products intended for the diagnosis, prevention or treatment of a life-threatening, seriously debilitating or serious and chronic condition when, without incentives, it is unlikely that sales of the product would generate sufficient returns in the European Union to justify the necessary investment in developing the product. In either case, the applicant must be able to establish that there is no satisfactory method of diagnosis, prevention or treatment of such condition authorized for marketing in the European Union, or if such a method exists, the product would be of a significant benefit to those affected by the condition. </w:t>
      </w:r>
    </w:p>
    <w:p>
      <w:pPr>
        <w:pStyle w:val="TextBody"/>
        <w:bidi w:val="0"/>
        <w:spacing w:before="240" w:after="0"/>
        <w:jc w:val="left"/>
        <w:rPr>
          <w:rFonts w:ascii="Times New Roman" w:hAnsi="Times New Roman"/>
          <w:sz w:val="20"/>
        </w:rPr>
      </w:pPr>
      <w:r>
        <w:rPr>
          <w:rFonts w:ascii="Times New Roman" w:hAnsi="Times New Roman"/>
          <w:sz w:val="20"/>
        </w:rPr>
        <w:t xml:space="preserve">If AVROBIO requests orphan drug designation (or the foreign equivalent) for any other product candidates, there can be no assurances that the FDA or applicable foreign regulatory authorities will grant such designation. Additionally, the designation of any of AVROBIO’s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AVROBIO’s product candidates prior to AVROBIO’s product candidates receiving exclusive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AVROBIO does (regardless of AVROBIO’s orphan drug designation), AVROBIO will be precluded from receiving marketing approval for AVROBIO’s product for the applicable exclusivity period. The applicable period is seven years in the United States and 10 years in the European Union. The exclusivity period in the European Union can be reduced to six years, if at the end of the fifth year, a product no longer meets the criteria for orphan designation or if the product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Orphan drug exclusivity may be revoked if any regulatory agency determines that the request for designation was materially defective or if the manufacturer is unable to assure sufficient quantity of the product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AVROBIO obtains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a marketing authorization may be granted to a similar medicinal product for the same orphan indication at any time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in its application that its medicinal product, although similar to the orphan medicinal product already authorized, is safer, more effective or otherwise clinically superior;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marketing authorization for the original orphan medicinal product consents to a second orphan medicinal product application;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marketing authorization for the original orphan medicinal product cannot supply sufficient quantities of orphan medicinal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 marketing application for a product candidate with rare pediatric disease designation (“ RPDD”), if approved, may not meet the eligibility criteria for a Priority Review Voucher (“PRV”), or the RPDD program may sunset before the FDA is able to consider eligibility for a voucher. </w:t>
      </w:r>
    </w:p>
    <w:p>
      <w:pPr>
        <w:pStyle w:val="TextBody"/>
        <w:bidi w:val="0"/>
        <w:spacing w:before="120" w:after="0"/>
        <w:jc w:val="left"/>
        <w:rPr>
          <w:rFonts w:ascii="Times New Roman" w:hAnsi="Times New Roman"/>
          <w:sz w:val="20"/>
        </w:rPr>
      </w:pPr>
      <w:r>
        <w:rPr>
          <w:rFonts w:ascii="Times New Roman" w:hAnsi="Times New Roman"/>
          <w:sz w:val="20"/>
        </w:rPr>
        <w:t xml:space="preserve">Designation of a drug or biologic as a product for a rare pediatric disease does not guarantee that a BLA for such drug or biologic will meet the eligibility criteria for a rare pediatric disease PRV at the time the application is approved. Under the Federal Food, Drug, and Cosmetic Act (“FD&amp;C Act”), should AVROBIO resume development of AVROBIO’s product candidates, AVROBIO would need to request a rare pediatric disease PRV in AVROBIO’s original BLA for any of AVROBIO’s product candidates that previously received RPDD. The FDA may determine that any such BLA, if approved, does not meet the eligibility criteria for a PRV, including for the following reasons: </w:t>
      </w:r>
    </w:p>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disease indication no longer meets the definition of a rare pediatric disease;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contains an active ingredient that has been previously approved in a BLA;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is not deemed eligible for priority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BLA is approved for a different adult indication than the rare pediatric disease for which the product candidate is designated.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authority for the FDA to award rare pediatric disease PRVs for drugs that have received rare pediatric disease designation prior to September 30, 2024 currently expires on September 30, 2026. If the BLA for any of AVROBIO’s product candidates with RPDD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even if AVROBIO obtains regulatory approval for a product candidate, AVROBIO’s products will remain subject to regulatory oversight.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even if AVROBIO obtains any regulatory approval for AVROBIO’s product candidates, they will be subject to ongoing regulatory requirements for manufacturing, labeling, packaging, storage, advertising, promotion, sampling, record-keeping and submission of safety and other post-market information. Any regulatory approvals that AVROBIO receives for AVROBIO’s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unless otherwise agreed by the FDA.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product manufacturers and their facilities are subject to payment of user fees and continual review and periodic inspections by the FDA and other regulatory authorities for compliance with current good manufacturing practices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procedures conform to cGMP regulations and applicable product tracking and tracing requirements. If AVROBIO,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AVROBIO, including requiring recall or withdrawal of the product from the market or suspension of manufacturing.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comply with applicable regulatory requirements following approval of any of AVROBIO’s product candidates, a regulatory authority may: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a warning letter asserting that AVROBIO is in violation of the law;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an injunction or impose administrative, civil or criminal penalties or monetary fines;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suspend or withdraw regulatory approval;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suspend any ongoing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refuse to approve a pending BLA or comparable foreign marketing application (or any supplements thereto) submitted by AVROBIO or AVROBIO’s strategic partners;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 the marketing or manufacturing of the product;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seize or detain the product or otherwise require the withdrawal of the product from the market;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import or export of products; or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refuse to allow AVROBIO to enter into supply contracts, including government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could require AVROBIO to expend significant time and resources in response and could generate negative publicity. The occurrence of any event or penalty described above may inhibit AVROBIO’s ability to commercialize AVROBIO’s product candidates and adversely affect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FDA’s policies, and those of equivalent foreign regulatory agencies, may change and additional government regulations may be enacted that could prevent, limit or delay regulatory approval of AVROBIO’s product candidates. AVROBIO cannot predict the likelihood, nature or extent of government regulation that may arise from future legislation or administrative action, either in the United States or abroad. If AVROBIO is slow or unable to adapt to changes in existing requirements or the adoption of new requirements or policies, or if AVROBIO is not able to maintain regulatory compliance, AVROBIO may lose any marketing approval that AVROBIO may have obtained and AVROBIO may not achieve or sustain profitability, which would materially and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AVROBIO’s focus on developing such product candidates may not yield any commercially viable products, and AVROBIO’s failure to successfully identify and develop additional product candidates could impair AVROBIO’s ability to grow. </w:t>
      </w:r>
    </w:p>
    <w:p>
      <w:pPr>
        <w:pStyle w:val="TextBody"/>
        <w:bidi w:val="0"/>
        <w:spacing w:before="120" w:after="0"/>
        <w:jc w:val="left"/>
        <w:rPr>
          <w:rFonts w:ascii="Times New Roman" w:hAnsi="Times New Roman"/>
          <w:sz w:val="20"/>
        </w:rPr>
      </w:pPr>
      <w:r>
        <w:rPr>
          <w:rFonts w:ascii="Times New Roman" w:hAnsi="Times New Roman"/>
          <w:sz w:val="20"/>
        </w:rPr>
        <w:t xml:space="preserve">While AVROBIO initially pursued a growth strategy to identify, develop and market additional product candidates, AVROBIO has halted further development of AVROBIO’s programs and, should AVROBIO resume development of its product candidates, AVROBIO does not anticipate actively seeking additional product candidates beyond AVROBIO’s existing product candidates. Should AVROBIO resume development of its product candidates, AVROBIO may spend several years completing AVROBIO’s development of any particular product candidates, and failure can occur at any stage. The product candidates to which AVROBIO allocates AVROBIO’s resources may not end up being successful. Because AVROBIO has limited resources, AVROBIO may forego or delay pursuit of opportunities with certain programs or product candidates or for indications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prove to have greater commercial potential than AVROBIO’s product candidates. AVROBIO’s spending on any future research and development programs may not yield any commercially viable product candidates. Should AVROBIO resume development of its product candidates, if AVROBIO does not accurately evaluate the commercial potential for a particular product candidate, AVROBIO may relinquish valuable rights to that product candidate through strategic collaborations, licensing or other arrangements in cases in which it would have been more advantageous for AVROBIO to retain sole development and commercialization rights to such product candidate. If any of these events occur, AVROBIO may be forced to abandon AVROBIO’s development efforts with respect to a particular product candidate or fail to develop a potentially successful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should AVROBIO resume development of its product candidates, certain of AVROBIO’s product candidates may not demonstrate in patients any or all of the pharmacological benefits AVROBIO believes they may possess or compare favorably to existing, approved therapies, such as ERT. AVROBIO has not yet succeeded and may never succeed in demonstrating efficacy and safety of AVROBIO’s product candidates in clinical trials or in obtaining marketing approval thereafter. Accordingly, AVROBIO’s focus on treating these diseases may not result in the development of commercially viable products.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if AVROBIO is unsuccessful in AVROBIO’s development efforts, AVROBIO may not be able to advance the development of AVROBIO’s product candidates, commercialize products, raise capital, expand AVROBIO’s business or continue AVROBIO’s operations. </w:t>
      </w:r>
    </w:p>
    <w:p>
      <w:pPr>
        <w:pStyle w:val="TextBody"/>
        <w:bidi w:val="0"/>
        <w:spacing w:before="360" w:after="0"/>
        <w:jc w:val="left"/>
        <w:rPr>
          <w:rFonts w:ascii="Times New Roman" w:hAnsi="Times New Roman"/>
          <w:b/>
          <w:sz w:val="20"/>
        </w:rPr>
      </w:pPr>
      <w:bookmarkStart w:id="29" w:name="toc770053_27"/>
      <w:bookmarkEnd w:id="29"/>
      <w:r>
        <w:rPr>
          <w:rFonts w:ascii="Times New Roman" w:hAnsi="Times New Roman"/>
          <w:b/>
          <w:sz w:val="20"/>
        </w:rPr>
        <w:t xml:space="preserve">Risks Related to Manufacturing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 therapies are novel, complex and difficult to manufacture. Should AVROBIO resume development of its product candidates, AVROBIO could experience production problems that result in delays in AVROBIO’s development or commercialization programs or otherwise adversely affect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The manufacturing process AVROBIO uses to produce AVROBIO’s product candidates is complex, novel and has not been validated for commercial use. Should AVROBIO resume development of its product candidates, several factors could cause production interruptions, including equipment malfunctions, facility contamination, raw material shortages or contamination, natural disasters, disruption in utility services, human error or disruptions in the operations of AVROBIO’s suppliers. </w:t>
      </w:r>
    </w:p>
    <w:p>
      <w:pPr>
        <w:pStyle w:val="TextBody"/>
        <w:bidi w:val="0"/>
        <w:spacing w:before="240" w:after="0"/>
        <w:jc w:val="left"/>
        <w:rPr>
          <w:rFonts w:ascii="Times New Roman" w:hAnsi="Times New Roman"/>
          <w:sz w:val="20"/>
        </w:rPr>
      </w:pPr>
      <w:r>
        <w:rPr>
          <w:rFonts w:ascii="Times New Roman" w:hAnsi="Times New Roman"/>
          <w:sz w:val="20"/>
        </w:rPr>
        <w:t xml:space="preserve">AVROBIO’s product candidates require processing steps that are more complex than those required for most chemical pharmaceuticals. Moreover, unlike chemical pharmaceuticals, the physical and chemical properties of a biologic such as AVROBIO’s generally cannot be fully characterized. As a result, assays of the finished product may not be sufficient to ensure that the product will perform in the intended manner. Accordingly, AVROBIO and AVROBIO’s manufacturing suppliers employ multiple steps to control the manufacturing process with the goal of ensuring that the product candidate is made strictly and consistently in compliance with the applicable process and specifications. Problems with the manufacturing process, including even minor deviations from the intended process, could result in product defects or manufacturing failures that result in lot failures, product recalls, product liability claims or insufficient inventory. AVROBIO may encounter problems achieving adequate quantities and quality of clinical-grade materials that meet FDA or other applicable regulatory standards or specifications with consistent and acceptable production yields and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FDA and other foreign regulatory authorities may require AVROBIO to submit samples of any lot of any approved product together with the protocols showing the results of applicable tests at any time. Under some circumstances, the FDA or other foreign regulatory authorities may require that AVROBIO not distribute a lot until the agency authorizes its release. Even slight deviations in the manufacturing process, including those affecting quality attributes and stability, may result in unacceptable changes in the product that could result in lot failures or product recalls. Should AVROBIO resume development of AVROBIO’s product candidates, there is no assurance AVROBIO will not experience lot failures in the future. Lot failures or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recalls could cause AVROBIO to delay clinical trials, or, if approved, commercial product launches, which could be costly to AVROBIO and otherwise harm AVROBIO’s business, financial condition, results of operations and prospects. AVROBIO’s manufacturing process relies on a platform structure, which AVROBIO refers to as AVROBIO’s plato platform, and, if AVROBIO experiences delays, deviations or failures that impact that platform, such delays, deviations or failures could have an adverse impact on AVROBIO’s development products or future commercialization programs. </w:t>
      </w:r>
    </w:p>
    <w:p>
      <w:pPr>
        <w:pStyle w:val="TextBody"/>
        <w:bidi w:val="0"/>
        <w:spacing w:before="360" w:after="0"/>
        <w:jc w:val="left"/>
        <w:rPr>
          <w:rFonts w:ascii="Times New Roman" w:hAnsi="Times New Roman"/>
          <w:b/>
          <w:sz w:val="20"/>
        </w:rPr>
      </w:pPr>
      <w:bookmarkStart w:id="30" w:name="toc770053_28"/>
      <w:bookmarkEnd w:id="30"/>
      <w:r>
        <w:rPr>
          <w:rFonts w:ascii="Times New Roman" w:hAnsi="Times New Roman"/>
          <w:b/>
          <w:sz w:val="20"/>
        </w:rPr>
        <w:t xml:space="preserve">Risks Related to AVROBIO’s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AVROBIO expects to rely on third parties to conduct some or all aspects of AVROBIO’s vector production, product manufacturing, protocol development, research and preclinical and clinical testing, and these third parties may not perform satisfactorily.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does not expect to independently conduct AVROBIO’s vector production, product manufacturing, protocol development, research and preclinical and clinical testing. AVROBIO has historically relied, and, should AVROBIO resume development of its product candidates, expects to continue to rely, on third parties with respect to these items. Any of these third parties may terminate their engagements with AVROBIO or renegotiate the terms of AVROBIO’s agreements at any time. If AVROBIO needs to enter into alternative arrangements, it could delay AVROBIO’s product development activities. AVROBIO’s reliance on these third parties for research and development activities will reduce AVROBIO’s control over these activities but will not relieve AVROBIO of AVROBIO’s responsibility to ensure compliance with all required regulations and study protocols. For example, for product candidates that AVROBIO develops and commercializes on AVROBIO’s own, AVROBIO will remain responsible for ensuring that each of AVROBIO’s preclinical and clinical studies are conducted in accordance with the study plan, protocols and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Even with relevant experience and expertise, AVROBIO’s third-party manufacturers may encounter difficulties in production, such as initial production, managing the transition from early to late-stage clinical and commercial manufacturing, and ensuring that the product meets required specifications. These difficulties may include delays, failure or inability achieving production yields, establishing and maintaining stage-appropriate cGMP quality procedures, operator error, shortages of qualified personnel, and compliance with federal, state and foreign regulations. AVROBIO cannot make any assurances that these difficulties will not occur in the future, or that AVROBIO will be able to resolve or address them in a timely manner or at all as problems arise.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if AVROBIO’s contract counterparties do not successfully carry out their contractual duties, meet expected deadlines or conduct AVROBIO’s studies in accordance with regulatory requirements or AVROBIO’s stated study plans and protocols, AVROBIO will not be able to complete, or may be delayed in completing, the preclinical and clinical studies required to support approval of AVROBIO’s product candidates or the FDA or other regulatory agencies may refuse to accept AVROBIO’s clinical or preclinical data.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reliance on third-party manufacturers entails risks to which AVROBIO would not be subject if AVROBIO manufactured the product candidates itself, including: </w:t>
      </w:r>
    </w:p>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negotiate manufacturing agreements with third parties under commercially reasonable terms;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control as a result of using third-party manufacturers for all aspects of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manufacturing agreements with third parties in a manner or at a time that is costly or damaging to AVROBIO;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the operations of AVROBIO’s third-party manufacturers or suppliers caused by conditions unrelated to AVROBIO’s business or operations, including the impact of the COVID-19 pandemic or the bankruptcy of the manufacturer or supplier.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lead to delays of AVROBIO’s preclinical and clinical studies or failure to obtain regulatory approval, or impact AVROBIO’s ability to successfully commercialize future products. Some of these events could be the basis for FDA action, including injunction, recall, seizure or total or partial suspension of production.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has historically relied, and, should AVROBIO resume development of its product candidates, expects to continue to rely, on sole source suppliers for AVROBIO’s automated, closed cell processing system; vector supply; plasmid supply; cell culture media supply; and drug product manufacturing. In addition, AVROBIO is dependent on a limited number of suppliers for some of AVROBIO’s other components and materials used in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 has moved AVROBIO’s cell processing to an automated, closed system with a sole source supplier. In addition, AVROBIO has historically relied, and, should AVROBIO resume development of its product candidates, expect to continue to rely, on sole source suppliers for vector supply, plasmid supply and cell culture media, as well as drug product manufacturing for AVROBIO-sponsored clinical trials. Should AVROBIO resume development of its product candidates, AVROBIO’s sole source suppliers may be unwilling or unable to supply product to AVROBIO reliably, continuously or at the levels AVROBIO anticipates or are required by AVROBIO’s clinical trial activities. Such suppliers could still delay, suspend, or terminate supply of product to AVROBIO for a number of reasons, including manufacturing or quality issues, payment disputes with AVROBIO, intellectual property disputes with third parties, bankruptcy or insolvency, earthquakes or other natural disasters or other occurrences.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 depends on a limited number of suppliers for some of the other components necessary for AVROBIO’s product candidates. Should AVROBIO resume development of its product candidates, AVROBIO cannot be sure that any of AVROBIO’s suppliers will remain in business, or that they will not be purchased by one of AVROBIO’s competitors or another company that is not interested in continuing to produce these materials for AVROBIO’s intended purpose. AVROBIO’s use of a sole source or limited number of suppliers of raw materials, components and finished goods exposes AVROBIO to several risks, including disruptions in supply, price increases, late deliveries and an inability to meet customer demand. There are, in general, relatively few alternative sources of supply for these components and equipment. Any of AVROBIO’s vendors may be unable or unwilling to meet AVROBIO’s future demands for AVROBIO’s clinical trials or commercial sale. Establishing additional or replacement suppliers for these components and materials could take a substantial amount of time and it may be difficult or impossible to establish replacement suppliers who meet regulatory requirements. Any disruption in supply from any supplier or manufacturing location could lead to supply delays or interruptions which would damage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AVROBIO is required to switch to a replacement supplier or manufacture materials itself, the manufacture and delivery of AVROBIO’s product candidates could be interrupted for an extended period, adversely affecting AVROBIO’s business. Establishing additional or replacement suppliers may not be accomplished quickly, and AVROBIO may not be able to enter agreements with replacement suppliers on reasonable terms, if at all. In either scenario, AVROBIO’s clinical trials supply could be delayed significantly as AVROBIO establishes alternative supply sources. In some cases, the technical skills required to manufacture AVROBIO’s products or product candidates may be unique or proprietary to the original CMO and AVROBIO may have difficulty, or there may be contractual restrictions prohibiting AVROBIO from, transferring such skills to a back-up or alternate supplier, or AVROBIO may be unable to transfer such skills at all. If AVROBIO is able to find a replacement supplier, the replacement supplier would need to be qualified and may require additional regulatory authority approval, which could result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delay. For example, the FDA could require additional supplemental bridging data if AVROBIO relies upon a new supplier. AVROBIO may be unsuccessful in demonstrating the comparability of clinical supplies which could require the conduct of additional clinical trials. If AVROBIO resumes development of its product candidates, AVROBIO would seek to maintain adequate inventory of the components and materials used in AVROBIO’s product candidates; however, any interruption or delay in the supply of components or materials, or AVROBIO’s inability to obtain components or materials from alternate sources at acceptable prices in a timely manner, could impair AVROBIO’s ability to conduct AVROBIO’s clinical trials and, if AVROBIO’s product candidates are approved, to meet the demand of AVROBIO’s customers and cause them to cancel orders.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FDA’s approval of AVROBIO’s product candidates, the FDA must review and approve the individual components of AVROBIO’s production process, which includes the manufacturing processes and facilities of AVROBIO’s suppliers. AVROBIO’s current suppliers have not undergone this process, nor have they had any components included in any product approved by the FDA. </w:t>
      </w:r>
    </w:p>
    <w:p>
      <w:pPr>
        <w:pStyle w:val="TextBody"/>
        <w:bidi w:val="0"/>
        <w:spacing w:before="240" w:after="0"/>
        <w:jc w:val="left"/>
        <w:rPr>
          <w:rFonts w:ascii="Times New Roman" w:hAnsi="Times New Roman"/>
          <w:sz w:val="20"/>
        </w:rPr>
      </w:pPr>
      <w:r>
        <w:rPr>
          <w:rFonts w:ascii="Times New Roman" w:hAnsi="Times New Roman"/>
          <w:sz w:val="20"/>
        </w:rPr>
        <w:t xml:space="preserve">AVROBIO’s reliance on suppliers subjects AVROBIO to a number of risks that, should AVROBIO resume development of its product candidates, could materially harm AVROBIO’s reputation, business, and financial condition, including,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production, supply, shipment or delivery as a result of the COVID-19 pandemic or trade sanctions, embargoes, and heightened export requirements resulting from the war in Ukraine and the evolving conflicts in Israel and the Gaza Strip;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supplier’s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supplier’s variation in a component;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for key components with AVROBIO’s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obtain adequate supply in a timely manner, or to obtain adequate supply on commercially reasonable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and cost associated with locating and qualifying alternative suppliers for AVROBIO’s components in a timely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production delays related to the evaluation and testing of products from alternative suppliers, and corresponding regulatory qualifications;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AVROBIO’s suppliers prioritizing other customer orders over AVROBIO’s;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damage to AVROBIO’s reputation caused by defective components produced by AVROBIO’s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 cost of AVROBIO’s warranty program due to product repair or replacement based upon defects in components produced by AVROBIO’s suppliers; and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AVROBIO’s suppliers due to changes in demand from AVROBIO or their other customers.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risks materialize, AVROBIO’s costs could significantly increase and AVROBIO’s ability to conduct AVROBIO’s clinical trials and, if AVROBIO’s product candidates are approved, to meet demand for AVROBIO’s products could be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AVROBIO’s contract manufacturers are subject to significant regulation with respect to manufacturing AVROBIO’s products. The manufacturing facilities on which AVROBIO has relied may not continue to meet regulatory requirements and have limited capacity. </w:t>
      </w:r>
    </w:p>
    <w:p>
      <w:pPr>
        <w:pStyle w:val="TextBody"/>
        <w:bidi w:val="0"/>
        <w:spacing w:before="120" w:after="0"/>
        <w:jc w:val="left"/>
        <w:rPr>
          <w:rFonts w:ascii="Times New Roman" w:hAnsi="Times New Roman"/>
          <w:sz w:val="20"/>
        </w:rPr>
      </w:pPr>
      <w:r>
        <w:rPr>
          <w:rFonts w:ascii="Times New Roman" w:hAnsi="Times New Roman"/>
          <w:sz w:val="20"/>
        </w:rPr>
        <w:t xml:space="preserve">In AVROBIO’s development activities to date, AVROBIO has relied on sole source suppliers of AVROBIO’s automated, closed cell processing system; vector supply; plasmid supply; cell culture media;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well as drug product manufacturing for AVROBIO-sponsored clinical trials. In addition, AVROBIO has depended on a limited number of suppliers for some of the other components necessary for AVROBIO’s product candidates. Each of AVROBIO’s suppliers may require licenses to manufacture such components if such processes are not owned by the supplier or in the public domain, and AVROBIO may be unable to transfer or sublicense the intellectual property rights AVROBIO may have with respect to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All entities involved in the preparation of therapeutics for clinical studies or commercial sale, including AVROBIO’s contract manufacturers for AVROBIO’s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AVROBIO’s product candidates that may not be detectable in final product testing. AVROBIO or AVROBIO’s contract manufacturers must supply all necessary documentation in support of a BLA on a timely basis and must adhere to the FDA’s good laboratory practices (“GLP”) and cGMP regulations enforced by the FDA through its facilities inspection program. Some of AVROBIO’s contract manufacturers have not produced a commercially-approved product and have never been inspected by the FDA before. AVROBIO’s facilities and quality systems and the facilities and quality systems of some or all of AVROBIO’s third-party contractors must pass a pre-approval inspection for compliance with the applicable regulations as a condition of regulatory approval of AVROBIO’s product candidates or any of AVROBIO’s other potential products. In addition, the regulatory authorities may, at any time, audit or inspect a manufacturing facility involved with the preparation of AVROBIO’s product candidates or AVROBIO’s other potential products or the associated quality systems for compliance with the regulations applicable to the activities being conducted. If these facilities do not pass a pre-approval plant inspection, or if the FDA is unable to conduct such an inspection due to the COVID-19 pandemic or similar public health crisis, the FDA may issue a complete response letter or defer action on AVROBIO’s applications, and approval of the products may be delayed or may not be granted.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authorities also may, at any time following approval of a product for sale, audit AVROBIO’s manufacturing facilities or those of AVROBIO’s third-party contractors. If any such inspection or audit identifies a failure to comply with applicable regulations or if a violation of AVROBIO’s product specifications or applicable regulations occurs independent of such an inspection or audit, AVROBIO or the relevant regulatory authority may require remedial measures that may be costly and/or time-consuming for AVROBIO or a third party to implement and that may include the temporary or permanent suspension of a clinical study or commercial sales or the temporary or permanent closure of a facility. Any such remedial measures imposed upon AVROBIO or third parties with whom AVROBIO contracts could materially harm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If AVROBIO or any of AVROBIO’s third-party manufacturers fail to maintain regulatory compliance, the FDA can impose regulatory sanctions including, among other things, refusal to approve a pending application for a new drug product or biologic product, or revocation of a pre-existing approval. As a result, AVROBIO’s business, financial condition and results of operations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these factors could cause the delay of clinical studies, regulatory submissions, required approvals or commercialization of AVROBIO’s product candidates, cause AVROBIO to incur higher costs and prevent AVROBIO from commercializing AVROBIO’s products successfully. Furthermore, if AVROBIO’s suppliers fail to meet contractual requirements, and AVROBIO is unable to secure one or more replacement suppliers capable of production at a substantially equivalent cost, AVROBIO’s preclinical and clinical studies may be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AVROBIO’s reliance on third parties requires AVROBIO to share AVROBIO’s trade secrets, which increases the possibility that a competitor will discover them or that AVROBIO’s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AVROBIO has relied and, should AVROBIO resume development of its product candidates, would expect to continue to rely on third parties to manufacture AVROBIO’s vectors and AVROBIO’s product candidates, and because AVROBIO collaborates with various organizations and academic institutions on the advancement of AVROBIO’s gene therapy approach, AVROBIO must, at times, share trade secrets with them. AVROBIO seeks to protect AVROBIO’s proprietary technology in part by entering into confidentiality agreements and, if applicable, material transfer agreements, collaborative research agreements, consulting agreements or other similar agreements with AVROBIO’s collaborators, advisors, employees and consultants prior to beginning research or disclosing proprietary information. These agreements typically limit the rights of the third parties to use or disclose AVROBIO’s confidential information, such as trade secrets. </w:t>
      </w:r>
    </w:p>
    <w:p>
      <w:pPr>
        <w:pStyle w:val="TextBody"/>
        <w:bidi w:val="0"/>
        <w:spacing w:before="240" w:after="0"/>
        <w:jc w:val="left"/>
        <w:rPr>
          <w:rFonts w:ascii="Times New Roman" w:hAnsi="Times New Roman"/>
          <w:sz w:val="20"/>
        </w:rPr>
      </w:pPr>
      <w:r>
        <w:rPr>
          <w:rFonts w:ascii="Times New Roman" w:hAnsi="Times New Roman"/>
          <w:sz w:val="20"/>
        </w:rPr>
        <w:t xml:space="preserve">Despite the contractual provisions employed when working with third parties, the need to share trade secrets and other confidential information increases the risk that such trade secrets become known by AVROBIO’s competitors, are inadvertently incorporated into the technology of others, or are disclosed or used in violation of these agreements. Given that AVROBIO’s proprietary position is based, in part, on AVROBIO’s know-how and trade secrets, a competitor’s discovery of AVROBIO’s trade secrets or other unauthorized use or disclosure would impair AVROBIO’s competitive position and may have a material adverse effect on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these agreements typically restrict the ability of AVROBIO’s collaborators, advisors, employees and consultants to publish data potentially relating to AVROBIO’s trade secrets. AVROBIO’s academic collaborators typically have rights to publish data, provided that AVROBIO is notified in advance and may delay publication for a specified time in order to secure AVROBIO’s intellectual property rights arising from the collaboration. In other cases, publication rights are controlled exclusively by AVROBIO, although in some cases AVROBIO may share these rights with other parties. Despite AVROBIO’s efforts to protect AVROBIO’s trade secrets, AVROBIO’s competitors may discover AVROBIO’s trade secrets, either through breach of these agreements, independent development or publication of information including AVROBIO’s trade secrets in cases where AVROBIO does not have proprietary or otherwise protected rights at the time of publication. A competitor’s discovery of AVROBIO’s trade secrets would impair AVROBIO’s competitive position and have an adverse impact on AVROBIO’s business. </w:t>
      </w:r>
    </w:p>
    <w:p>
      <w:pPr>
        <w:pStyle w:val="TextBody"/>
        <w:bidi w:val="0"/>
        <w:spacing w:before="360" w:after="0"/>
        <w:jc w:val="left"/>
        <w:rPr>
          <w:rFonts w:ascii="Times New Roman" w:hAnsi="Times New Roman"/>
          <w:b/>
          <w:sz w:val="20"/>
        </w:rPr>
      </w:pPr>
      <w:bookmarkStart w:id="31" w:name="toc770053_29"/>
      <w:bookmarkEnd w:id="31"/>
      <w:r>
        <w:rPr>
          <w:rFonts w:ascii="Times New Roman" w:hAnsi="Times New Roman"/>
          <w:b/>
          <w:sz w:val="20"/>
        </w:rPr>
        <w:t xml:space="preserve">Risks Related to Commercialization of AVROBIO’s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and obtain approval of any of AVROBIO’s product candidates, and AVROBIO is unable to establish sales, distribution and marketing capabilities or enter into agreements with third parties to market and sell AVROBIO’s product candidates, AVROBIO will be unable to generate any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To successfully commercialize any of AVROBIO’s product candidates, if approved, AVROBIO will need to develop AVROBIO’s commercial capabilities, either on AVROBIO’s own or with others, should AVROBIO resume development of its product candidates. The establishment and development of AVROBIO’s own commercial team or the establishment of a contract sales force to market any product candidate AVROBIO may develop will be expensive and time-consuming and could delay any product launch. Moreover, AVROBIO cannot be certain that AVROBIO will be able to successfully develop this capability. AVROBIO may enter into collaborations regarding any approved product candidates with other entities to utilize their established marketing and distribution capabilities, but AVROBIO may be unable to enter into such agreements on favorable terms, if at all. If any future collaborators do not commit sufficient resources to commercialize AVROBIO’s product candidates, or AVROBIO is unable to develop the necessary capabilities on AVROBIO’s own, AVROBIO will be unable to generate sufficient product revenue to sustain AVROBIO’s business. AVROBIO competes with many companies that currently have extensive, experienced and well-funded sales,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marketing operations to recruit, hire, train and retain marketing and sales personnel. AVROBIO also faces competition in AVROBIO’s search for third parties to assist AVROBIO with the sales and marketing efforts of AVROBIO’s product candidates, if approved. Without an internal team or the support of a third-party to perform marketing and sales functions, AVROBIO may be unable to compete successfully against these more established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and the market opportunities for AVROBIO’s product candidates are smaller than AVROBIO believes they are, AVROBIO’s product revenues may be adversely affected and AVROBIO’s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AVROBIO has historically focused AVROBIO’s research and product development on treatments for serious lysosomal disorders. AVROBIO’s understanding of both the number of people who have these diseases, as well as the subset of people with these diseases who have the potential to benefit from treatment with AVROBIO’s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AVROBIO’s products, patients may become increasingly difficult to identify and access, and any approval AVROBIO receives from regulatory agencies may be for a narrower indication and smaller patient population than anticipated, all of which, should AVROBIO resume development of its product candidates, would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the commercial success of any current or future product candidate will depend upon the degree of market acceptance by physicians, patients, third-party payors and others in the medical community.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and thereafter if AVROBIO obtains any regulatory approval for AVROBIO’s product candidates, the commercial success of AVROBIO’s product candidates will depend in part on the medical community, patients, and third-party payors accepting gene therapy products in general, and AVROBIO’s product candidates in particular, as effective, safe and cost-effective. Any product that AVROBIO brings to the market may not gain market acceptance by physicians, patients, third-party payors and others in the medical community. The degree of market acceptance of these product candidates, if approved for commercial sale, will depend on a number of factors, including: </w:t>
      </w:r>
    </w:p>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efficacy and potential advantages over alternative treatments, including any similar generic treatments;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as demonstrated in pivotal clinical trials and published in peer-reviewed journals;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adverse events or side effects, including any limitations or warnings contained in a product’s approved labeling or that are later found to be associated with a product, including in findings from long-term follow-up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resulting from the conditioning regimen for the administration of AVROBIO’s product candidates;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offer the products for sale at competitive prices;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products are approved by the FDA or comparable regulatory agencies;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dosing and administration compared to alternative treatments;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and timing of market introduction of competitive products;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how the product is distributed;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accessible and skilled healthcare centers capable of administering AVROBIO’s treatments;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publicity concerning AVROBIO’s products or competing products and treatments; and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favorable third-party insurance coverage and sufficient reimbursement.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AVROBIO cannot predict whether physicians, physicians’ organizations, hospitals, other healthcare providers, government agencies or private insurers will determine that AVROBIO’s product is safe, therapeutically effective and cost effective as compared with competing treatments.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displays a favorable efficacy and safety profile in preclinical and clinical studies, market acceptance of the product, if approved for commercial sale, will not be known until after it is launched. AVROBIO’s efforts to educate the medical community and third-party payors on the benefits of AVROBIO’s product candidates may require significant resources and may never be successful. Such efforts to educate the marketplace may require more resources than are required by the conventional technologies marketed by AVROBIO’s competitors. If these products do not achieve an adequate level of acceptance, AVROBIO may not generate significant product revenue and may not become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if AVROBIO obtains approval to commercialize AVROBIO’s product candidates outside of the United States, a variety of risks associated with international operations could materially adversely affect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had been conducting clinical trials for AVROBIO’s product candidates in the United States, Canada and Australia, and should AVROBIO resume development of its product candidates, AVROBIO would expect to expand AVROBIO’s clinical trials to other geographies. If any of AVROBIO’s product candidates are approved for commercialization, AVROBIO may enter into agreements with third parties to market them on a worldwide basis or in more limited geographical regions. AVROBIO expects that AVROBIO will be subject to additional risks related to entering into international business relationships, including: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different regulatory requirements for approval of drugs and biologics in foreign countries;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for intellectual property rights;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tariffs, trade barriers and regulatory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fluctuating interest rates, or political instability in particular foreign economies and markets;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revenues, and other obligations incident to doing business in another country;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the United States; </w:t>
            </w:r>
          </w:p>
        </w:tc>
      </w:tr>
    </w:tbl>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or natural disasters including earthquakes, typhoons, floods and fires.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insurance coverage and reimbursement status of newly-approved products are uncertain. Should AVROBIO resume development of its product candidates, failure to obtain or maintain adequate coverage and reimbursement for any of AVROBIO’s product candidates, if approved, could limit AVROBIO’s ability to market those products and decrease AVROBIO’s ability to generate revenue. </w:t>
      </w:r>
    </w:p>
    <w:p>
      <w:pPr>
        <w:pStyle w:val="TextBody"/>
        <w:bidi w:val="0"/>
        <w:spacing w:before="120" w:after="0"/>
        <w:jc w:val="left"/>
        <w:rPr>
          <w:rFonts w:ascii="Times New Roman" w:hAnsi="Times New Roman"/>
          <w:sz w:val="20"/>
        </w:rPr>
      </w:pPr>
      <w:r>
        <w:rPr>
          <w:rFonts w:ascii="Times New Roman" w:hAnsi="Times New Roman"/>
          <w:sz w:val="20"/>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AVROBIO might obtain marketing approval for a product in a particular country, but then be subject to price regulations that delay AVROBIO’s or their commercial launch of the product, possibly for lengthy time periods, and negatively impact the revenue AVROBIO is able to generate from the sale of the product in that country. Adverse pricing limitations may hinder AVROBIO’s ability to recoup AVROBIO’s investment in one or more product candidates, even if any product candidates AVROBIO may develop obtain marketing approval. Please see the section titled “</w:t>
      </w:r>
      <w:r>
        <w:rPr>
          <w:rFonts w:ascii="Times New Roman" w:hAnsi="Times New Roman"/>
          <w:i/>
          <w:sz w:val="20"/>
        </w:rPr>
        <w:t>AVROBIO’s Business – Government Regulation – Coverage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obtain regulatory approval for such candidates, AVROBIO’s ability to successfully commercialize AVROBIO’s product candidates or any other products that AVROBIO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AVROBIO’s product candidates will depend substantially, both domestically and abroad, on the extent to which the costs of AVROBIO’s product candidates will be paid by health maintenance, managed care, pharmacy benefit and similar healthcare management organizations, or reimbursed by government health administration authorities, private health coverage insurers and other third-party payors. AVROBIO may not be able to provide data sufficient to gain acceptance with respect to coverage and reimbursement. If reimbursement is not available, or is available only at limited levels, AVROBIO may not be able to successfully commercialize AVROBIO’s product candidates, if approved. Even if coverage is provided, the approved reimbursement amount may not be high enough to allow AVROBIO to establish or maintain pricing sufficient to realize a sufficient return on AVROBIO’s investment.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the insurance coverage and reimbursement of newly approved products. In the United States, the principal decisions about reimbursement for new medicines are typically made by Centers for Medicare &amp; Medicaid Services (“CMS”) an agency within the U.S. Department of Health and Human Services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AVROBIO’s,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other third-party payors have attempted to control costs by limiting coverage and the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for particular medications. Outside the United States, international operations are generally subject to extensive governmental price controls and other market regulations, and AVROBIO believes the increasing emphasis on cost-containment initiatives in Europe and certain other major markets where AVROBIO plans to commercialize may put pressure on the pricing and usage of AVROBIO’s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AVROBIO may be required to conduct a clinical trial that compares the cost effectiveness of AVROBIO’s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AVROBIO is able to charge for AVROBIO’s product candidates. Accordingly, in markets outside the United States, the reimbursement for AVROBIO’s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AVROBIO’s product candidates. Should AVROBIO resume development of its product candidates, AVROBIO expects to experience pricing pressures in connection with the sale of any of AVROBIO’s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the novel nature of AVROBIO’s technology and the potential for AVROBIO’s product candidates to offer therapeutic benefit in a single administration, AVROBIO faces uncertainty related to pricing and reimbursement for these product candidates should AVROBIO resume their development.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AVROBIO’s target patient populations are relatively small, as a result of which the pricing and reimbursement of AVROBIO’s product candidates, if approved, must be adequate to support commercial infrastructure. If AVROBIO is unable to obtain adequate levels of reimbursement, AVROBIO’s ability to successfully market and sell AVROBIO’s product candidates will be adversely affected. The manner and level at which reimbursement is provided for services related to AVROBIO’s product candidates (e.g., for administration of AVROBIO’s product to patients) is also important. Inadequate reimbursement for such services may lead to physician resistance and adversely affect AVROBIO’s ability to market or sell AVROBIO’s product candidates, if approved. Moreover, if approved for marketing, because AVROBIO’s product candidates are designed to provide their intended therapeutic benefit from a single administration, treatment with AVROBIO’s product candidates may result in a decrease in the available pool of target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and constraints on national budget social security systems may have a material adverse effect on AVROBIO’s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The United States and many foreign jurisdictions have enacted or proposed legislative and regulatory changes affecting the healthcare system that could prevent or delay marketing approval of AVROBIO’s product candidates or any future product candidates, restrict or regulate post-approval activities and affect AVROBIO’s ability to profitably sell any product for which AVROBIO obtains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Please see the section titled “</w:t>
      </w:r>
      <w:r>
        <w:rPr>
          <w:rFonts w:ascii="Times New Roman" w:hAnsi="Times New Roman"/>
          <w:i/>
          <w:sz w:val="20"/>
        </w:rPr>
        <w:t>Business – Government Regulation – Healthcare Reform.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the continuing efforts of the government, insurance companies, managed care organizations and other payers of healthcare services to contain or reduce costs of healthcare may adversely affect: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any of AVROBIO’s product candidates, if approved;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set a price that AVROBIO believes is fair for any of AVROBIO’s product candidates, if approved;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ability to generate revenues and achieve or maintain profitability;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110"/>
        <w:gridCol w:w="60"/>
        <w:gridCol w:w="4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AVROBIO is required to pay; and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Legislative and regulatory proposals have been made to expand post-approval requirements and restrict sales and promotional activities for pharmaceutical and biologic products. AVROBIO cannot be sure whether additional legislative changes will be enacted, or whether existing regulations, guidance or interpretations will be changed, or what the impact of such changes on the marketing approvals of AVROBIO’s product candidates, if any, may be. In addition, increased scrutiny by Congress of the FDA’s approval process may significantly delay or prevent marketing approval, as well as subject AVROBIO to more stringent product labeling and post-marketing testing and other requirements. </w:t>
      </w:r>
    </w:p>
    <w:p>
      <w:pPr>
        <w:pStyle w:val="TextBody"/>
        <w:bidi w:val="0"/>
        <w:spacing w:before="240" w:after="0"/>
        <w:jc w:val="left"/>
        <w:rPr>
          <w:rFonts w:ascii="Times New Roman" w:hAnsi="Times New Roman"/>
          <w:sz w:val="20"/>
        </w:rPr>
      </w:pPr>
      <w:r>
        <w:rPr>
          <w:rFonts w:ascii="Times New Roman" w:hAnsi="Times New Roman"/>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AVROBIO’s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It is expected that the healthcare reform measures that have been adopted and may be adopted in the future, may result in more rigorous coverage criteria and in additional downward pressure on the price that AVROBIO receives for any approved product and could seriously harm AVROBIO’s future revenues. Any reduction in reimbursement from Medicare or other government programs may result in a similar reduction in payments from private payors. Should AVROBIO resume development of its product candidates, the implementation of cost containment measures or other healthcare reforms may prevent AVROBIO from being able to generate revenue, attain profitability or commercialize AVROBIO’s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AVROBIO’s business may rely, which could negatively impact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AVROBIO’s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new drugs to be reviewed and/or approved by necessary government agencies, which would adversely affect AVROBIO’s business.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or any other public health crisis and may experience delays in their regulatory activities. If a prolonged government shutdown occurs, it could significantly impact the ability of the FDA to timely review and process AVROBIO’s regulatory submissions, should AVROBIO resume development of its product candidates, which could have a material adverse effect on AVROBIO’s business. Further, future shutdowns of other government agencies, such as the SEC, may also impact AVROBIO’s business through review of AVROBIO’s public filings and AVROBIO’s ability to access the public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any contamination in AVROBIO’s manufacturing process, shortages of materials or failure of any of AVROBIO’s key suppliers to deliver necessary components could result in interruption in the supply of AVROBIO’s product candidates and delays in AVROBIO’s clinical development or commercialization schedules. </w:t>
      </w:r>
    </w:p>
    <w:p>
      <w:pPr>
        <w:pStyle w:val="TextBody"/>
        <w:bidi w:val="0"/>
        <w:spacing w:before="120" w:after="0"/>
        <w:jc w:val="left"/>
        <w:rPr>
          <w:rFonts w:ascii="Times New Roman" w:hAnsi="Times New Roman"/>
          <w:sz w:val="20"/>
        </w:rPr>
      </w:pPr>
      <w:r>
        <w:rPr>
          <w:rFonts w:ascii="Times New Roman" w:hAnsi="Times New Roman"/>
          <w:sz w:val="20"/>
        </w:rPr>
        <w:t xml:space="preserve">Given the nature of biologics manufacturing, there is a risk of contamination in AVROBIO’s manufacturing processes. Should AVROBIO resume development of AVROBIO’s product candidates, any contamination could materially adversely affect AVROBIO’s ability to produce product candidates on schedule and could, therefore, harm AVROBIO’s results of operations and cause reputational damage. </w:t>
      </w:r>
    </w:p>
    <w:p>
      <w:pPr>
        <w:pStyle w:val="TextBody"/>
        <w:bidi w:val="0"/>
        <w:spacing w:before="240" w:after="0"/>
        <w:jc w:val="left"/>
        <w:rPr>
          <w:rFonts w:ascii="Times New Roman" w:hAnsi="Times New Roman"/>
          <w:sz w:val="20"/>
        </w:rPr>
      </w:pPr>
      <w:r>
        <w:rPr>
          <w:rFonts w:ascii="Times New Roman" w:hAnsi="Times New Roman"/>
          <w:sz w:val="20"/>
        </w:rPr>
        <w:t xml:space="preserve">Some of the materials required in AVROBIO’s manufacturing process are derived from biologic sources. Such materials are difficult to procure and may be subject to contamination or recall. A material shortage, contamination, recall or restriction on the use of biologically derived substances in the manufacture of AVROBIO’s product candidates could adversely impact or disrupt the commercial manufacturing or the production of clinical material, which could materially and adversely affect AVROBIO’s development timelines and AVROBIO’s business, financial condition, results of operations and prospects. </w:t>
      </w:r>
    </w:p>
    <w:p>
      <w:pPr>
        <w:pStyle w:val="TextBody"/>
        <w:bidi w:val="0"/>
        <w:spacing w:before="360" w:after="0"/>
        <w:jc w:val="left"/>
        <w:rPr>
          <w:rFonts w:ascii="Times New Roman" w:hAnsi="Times New Roman"/>
          <w:b/>
          <w:sz w:val="20"/>
        </w:rPr>
      </w:pPr>
      <w:bookmarkStart w:id="32" w:name="toc770053_30"/>
      <w:bookmarkEnd w:id="32"/>
      <w:r>
        <w:rPr>
          <w:rFonts w:ascii="Times New Roman" w:hAnsi="Times New Roman"/>
          <w:b/>
          <w:sz w:val="20"/>
        </w:rPr>
        <w:t xml:space="preserve">Risks Related to AVROBIO’s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AVROBIO’s gene therapy approach utilizes lentiviral vectors derived from viruses, which may be perceived as unsafe or may result in unforeseen adverse events. Negative public opinion and increased regulatory scrutiny of gene therapy and genetic research may damage public perception of AVROBIO’s product candidates or adversely affect AVROBIO’s ability to conduct AVROBIO’s business or obtain regulatory approvals for AVROBIO’s product candidates, should AVROBIO resume their development. </w:t>
      </w:r>
    </w:p>
    <w:p>
      <w:pPr>
        <w:pStyle w:val="TextBody"/>
        <w:bidi w:val="0"/>
        <w:spacing w:before="120" w:after="0"/>
        <w:jc w:val="left"/>
        <w:rPr>
          <w:rFonts w:ascii="Times New Roman" w:hAnsi="Times New Roman"/>
          <w:sz w:val="20"/>
        </w:rPr>
      </w:pPr>
      <w:r>
        <w:rPr>
          <w:rFonts w:ascii="Times New Roman" w:hAnsi="Times New Roman"/>
          <w:sz w:val="20"/>
        </w:rPr>
        <w:t xml:space="preserve">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AVROBIO’s success will depend upon physicians specializing in the treatment of those diseases that AVROBIO’s product candidates target prescribing treatments that involve the use of AVROBIO’s product candidates in lieu of, or in addition to, existing treatments they are already familiar with and for which greater clinical data may be available. More restrictive government regulations or negative public opinion would have a negative effect on AVROBIO’s business or financial condition and may delay or impair the development and commercialization of AVROBIO’s product candidates or demand for any products should AVROBIO resume development of its product candidates. For example,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earlier gene therapy trials led to several well-publicized adverse events, including cases of leukemia, myelodysplastic syndromes and deaths seen in other trials using other vectors. Adverse events in AVROBIO’s clinical studies or discovered in long-term follow-up, even if not ultimately attributable to AVROBIO’s product candidates (such as the many adverse events that typically arise from the conditioning process), or adverse events in other gene therapy trials, and the resulting publicity could result in a decline in AVROBIO’s stock price, increased governmental regulation, unfavorable public perception and, should AVROBIO resume development of its product candidates, potential regulatory delays in the testing or approval of AVROBIO’s potential product candidates, stricter labeling requirements for those product candidates that are approved and a decrease in demand for any such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future success depends on AVROBIO’s ability to retain key employees, consultants and advisors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AVROBIO is highly dependent on principal members of AVROBIO’s executive team and key employees, the loss of whose services may adversely impact the achievement of AVROBIO’s objectives. While AVROBIO has entered into employment agreements with each of AVROBIO’s executive officers, any of them could leave AVROBIO’s employment at any time, as all of AVROBIO’s employees are “at will” employees. Following the resignation of AVROBIO’s former President and Chief Executive Officer, Geoff MacKay, on May 1, 2023, AVROBIO appointed its Chief Financial Officer, Erik Ostrowski, to serve in the additional roles of President and Interim Chief Executive Officer, effective on May 1, 2023. In July 2023, in connection with the determination to halt further development of AVROBIO’s programs and to conduct a comprehensive exploration of strategic alternatives, AVROBIO paused AVROBIO’s search for a permanent Chief Executive Officer. Accordingly, no assurance can be made as to when or whether AVROBIO will hire a permanent Chief Executive Officer. AVROBIO does not maintain “key person” insurance policies on the lives of these individuals or the lives of any of AVROBIO’s other employees. The loss of the services of one or more of AVROBIO’s current executive or key employees might impede the achievement of AVROBIO’s ongoing business commitments and strategic objectives. </w:t>
      </w:r>
    </w:p>
    <w:p>
      <w:pPr>
        <w:pStyle w:val="TextBody"/>
        <w:bidi w:val="0"/>
        <w:spacing w:before="240" w:after="0"/>
        <w:jc w:val="left"/>
        <w:rPr>
          <w:rFonts w:ascii="Times New Roman" w:hAnsi="Times New Roman"/>
          <w:sz w:val="20"/>
        </w:rPr>
      </w:pPr>
      <w:r>
        <w:rPr>
          <w:rFonts w:ascii="Times New Roman" w:hAnsi="Times New Roman"/>
          <w:sz w:val="20"/>
        </w:rPr>
        <w:t xml:space="preserve">Retaining other qualified employees, consultants and advisors for AVROBIO’s business, including scientific and technical personnel, remains critical to AVROBIO’s success. AVROBIO implemented a reduction in force in January 2022 in connection with the deprioritization of AVROBIO’s Fabry disease program, and through the first half of 2022 AVROBIO continued to streamline employee headcount including senior management. In July 2023, in connection with the determination to halt further development of AVROBIO’s programs and to conduct a comprehensive exploration of strategic alternatives, AVROBIO implemented a reduction in force by approximately 50% across different areas. AVROBIO’s remaining workforce was further reduced by 11 employees in a workforce reduction implemented effective as of October 31, 2023, three employees in a workforce reduction implemented effective as of November 30, 2023, and five employees in a further workforce reduction implemented effective as of December 31, 2023. Reductions in force, management changes and program reprioritizations can have an adverse impact on employee morale. While AVROBIO believes AVROBIO’s relations with AVROBIO’s continuing employees to be good, there can be no assurance that AVROBIO can avoid retention challenges for skilled personnel as AVROBIO explores potential strategic alternatives. There is currently a shortage of skilled executives and other personnel in AVROBIO’s industry, which is likely to continue. As a result, competition for skilled personnel, including in gene therapy research and vector manufacturing, is intense and the turnover rate can be high. AVROBIO may not be able to retain personnel on acceptable terms given the competition among numerous pharmaceutical and biotechnology companies for individuals with similar skill sets. In addition, AVROBIO’s ability to retain qualified personnel could be impacted by other factors, such as remote or hybrid working arrangements, which could impact employees’ productivity and morale. In addition, in recent months, the market price of AVROBIO’s common stock has experienced significant downward pressure, resulting in “underwater” or “out-of-the-money” stock options for many of AVROBIO’s employees, thereby limiting the desired retentive effect that AVROBIO’s equity incentive program was intended to achieve. The inability to recruit, if necessary, or the loss of the services of any executive, key employee, skilled personnel, consultant or advisor may impede AVROBIO’s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objectives. Furthermore, AVROBIO may not realize, in full or in part, the anticipated benefits, savings and improvements in AVROBIO’s cost structure from AVROBIO’s workforce reductions and restructuring efforts due to unforeseen difficulties, delays or unexpected costs. If AVROBIO is unable to realize the expected operational efficiencies and cost savings from the restructuring, AVROBIO’s operating results and financial condition would be adversely affected. AVROBIO’s restructuring plan may also be disruptive to AVROBIO’s operations, for example, AVROBIO’s reductions in force could yield unanticipated consequences, such as increased difficulties in implementing AVROBIO’s pursuit of strategic alternatives, including retention of AVROBIO’s remaining employees, attrition beyond AVROBIO’s reductions in force and employee litigation related to the reductions in force could be costly and prevent management from fully concentrating on the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need to expand or streamline AVROBIO’s operations and AVROBIO may experience difficulties in managing any such changes, which could disrupt AVROBIO’s operations.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may need to rapidly expand AVROBIO’s full-time employee base and to hire more consultants and contractors. AVROBIO’s management may need to divert a disproportionate amount of its attention away from AVROBIO’s day-to-day activities and devote a substantial amount of time to managing these growth activities. AVROBIO may not be able to effectively manage the expansion of AVROBIO’s operations, which may result in weaknesses in AVROBIO’s infrastructure, operational mistakes, loss of business opportunities, loss of employees and reduced productivity among remaining employees. AVROBIO’s expected growth could require significant capital expenditures and may divert financial resources from other projects if AVROBIO’s management is unable to effectively manage AVROBIO’s growth, AVROBIO’s expenses may increase more than expected, AVROBIO’s ability to generate and/or grow revenues could be reduced, and AVROBIO may not be able to implement AVROBIO’s business strategy. AVROBIO’s future financial performance and AVROBIO’s ability to commercialize product candidates and compete effectively will depend, in part, on AVROBIO’s ability to effectively manage any future growth. </w:t>
      </w:r>
    </w:p>
    <w:p>
      <w:pPr>
        <w:pStyle w:val="TextBody"/>
        <w:bidi w:val="0"/>
        <w:spacing w:before="240" w:after="0"/>
        <w:jc w:val="left"/>
        <w:rPr>
          <w:rFonts w:ascii="Times New Roman" w:hAnsi="Times New Roman"/>
          <w:sz w:val="20"/>
        </w:rPr>
      </w:pPr>
      <w:r>
        <w:rPr>
          <w:rFonts w:ascii="Times New Roman" w:hAnsi="Times New Roman"/>
          <w:sz w:val="20"/>
        </w:rPr>
        <w:t xml:space="preserve">Conversely, headwinds in the overall economy and limited availability of suitable financing to meet AVROBIO’s needs could constrain AVROBIO’s ability to achieve AVROBIO’s growth objectives, and could in turn lead to further reductions in force or scaling back of business operations, that could impact employee morale and adversely impact AVROBIO’s ability to manage ongoing operations, should AVROBIO resume development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and AVROBIO is unable to manage expected growth in the scale and complexity of AVROBIO’s operations, AVROBIO’s performance may suffer.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will need to expand AVROBIO’s managerial, operational, financial and other systems and resources to manage AVROBIO’s operations, resume AVROBIO’s research and development activities and, in the longer term, build a commercial infrastructure to support commercialization of any of AVROBIO’s product candidates that are approved for sale. Future growth would impose significant added responsibilities on members of management. It is likely that AVROBIO’s management, finance, development personnel, systems and facilities currently in place may not be adequate to support this future growth. AVROBIO’s need to effectively manage AVROBIO’s operations, growth and product candidates requires that AVROBIO continues to develop more robust business processes and improve AVROBIO’s systems and procedures in each of these areas and to attract and retain sufficient numbers of talented employees. AVROBIO may be unable to successfully implement these tasks on a larger scale and, accordingly, may not achieve AVROBIO’s research, development and growth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AVROBIO’s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AVROBIO is exposed to the risk of fraud or other misconduct by AVROBIO’s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AVROBIO. In particular, sales, marketing and business conduct in the healthcare industry are subject to extensive laws and regulations intended to prevent fraud, misconduct, kickbacks, self-dealing and other abusive practices. These laws and regulations may restrict or prohibit a wide range of healthcare professional interactions, drug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AVROBIO’s reputation. AVROBIO has adopted a code of conduct applicable to all of AVROBIO’s employees, but it is not always possible to identify and deter employee misconduct, and the precautions AVROBIO takes to detect and prevent this activity may not be effective in controlling unknown or unmanaged risks or losses or in protecting AVROBIO from governmental investigations or other actions or lawsuits stemming from a failure to comply with these laws or regulations. If any such actions are instituted against AVROBIO, and AVROBIO is not successful in defending itself or asserting AVROBIO’s rights, those actions could have a significant impact on AVROBIO’s business, including the imposition of significant fines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is subject to certain U.S. and foreign anti-corruption, anti-money laundering, export control, sanctions, and other trade laws and regulations. AVROBIO can face serious consequences for violations. </w:t>
      </w:r>
    </w:p>
    <w:p>
      <w:pPr>
        <w:pStyle w:val="TextBody"/>
        <w:bidi w:val="0"/>
        <w:spacing w:before="120" w:after="0"/>
        <w:jc w:val="left"/>
        <w:rPr>
          <w:rFonts w:ascii="Times New Roman" w:hAnsi="Times New Roman"/>
          <w:sz w:val="20"/>
        </w:rPr>
      </w:pPr>
      <w:r>
        <w:rPr>
          <w:rFonts w:ascii="Times New Roman" w:hAnsi="Times New Roman"/>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AVROBIO has direct or indirect interactions with officials and employees of government agencies or government-affiliated hospitals, universities, and other organizations. AVROBIO also expects, should AVROBIO resume development of its product candidates, that AVROBIO’s non-U.S. activities would increase in time. Should AVROBIO resume development of its product candidates, AVROBIO would also expect to engage third parties for clinical trials and/or to obtain necessary permits, licenses, patent registrations, and other regulatory approvals and AVROBIO can be held liable for the corrupt or other illegal activities of AVROBIO’s personnel, agents, or partners, even if AVROBIO does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is subject, directly or indirectly, to federal and state healthcare fraud and abuse laws, false claims laws health information privacy and security laws, and other health care laws and regulations. If AVROBIO is unable to comply, or have not fully complied, with such laws, AVROBIO could face substantial penalties.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and may be increasingly subject if AVROBIO obtains FDA approval for any of AVROBIO’s product candidates, to various federal and state fraud and abuse laws and regulations,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without limitation, the federal Health Care Program Anti-Kickback Statute, the federal civil and criminal False Claims Act and Physician Payments Sunshine Act and regulations. Please see the section titled “</w:t>
      </w:r>
      <w:r>
        <w:rPr>
          <w:rFonts w:ascii="Times New Roman" w:hAnsi="Times New Roman"/>
          <w:i/>
          <w:sz w:val="20"/>
        </w:rPr>
        <w:t>Business – Government Regulation – Other Healthcare Laws and Compliance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laws will impact, among other things, AVROBIO’s clinical trial programs, healthcare professional interactions, grant making activities, and AVROBIO’s anticipated sales, marketing and medical educational programs. In addition, AVROBIO may be subject to patient privacy laws by both the federal government and the states in which AVROBIO conducts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time-and resource-consuming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AVROBIO’s operations, as well as additional reporting obligations and oversight if AVROBIO becomes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AVROBIO expects to do business is found not to be in compliance with applicable laws, that person or entity may be subject to criminal, civil or administrative sanctions, including exclusions from government funded healthcare programs. Prohibitions or restrictions on personnel, sales or withdrawal of future marketed products could materially affect business in an adverse way.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AVROBIO’s business arrangements will comply with applicable healthcare laws may involve substantial costs. It is possible that governmental and enforcement authorities will conclude that AVROBIO’s business practices may not comply with current or future statutes, regulations or case law interpreting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candidates outside the United States will also likely subject AVROBIO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 and data protection laws and regulations could lead to government enforcement actions (which could include civil or criminal penalties), private litigation, and/or adverse publicity and could negatively affect AVROBIO’s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health-related and other personal information could apply to AVROBIO’s operations or the operations of AVROBIO’s collaborators. In addition, AVROBIO may obtain health information from third parties (including research institutions from which AVROBIO obtains clinical trial data) that are subject to privacy and security requirements under Health Insurance Portability and Accountability Act of 1996 (“HIPAA”), as amended by Health Information Technology for Economic and Clinical Health Act of 2009 (“HITECH”). Depending on the facts and circumstances, AVROBIO could be subject to civil, criminal, and administrative penalties if AVROBIO knowingly obtain, use, or disclose individually identifiable health information maintained by a HIPAA-covered entity in a manner that is not authorized or permitted by HIPAA.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AVROBIO to take on more onerous obligations in AVROBIO’s contracts, restrict AVROBIO’s ability to collect, use and disclose data, or in some cases, impact AVROBIO’s ability to operate in certain jurisdictions. Failure to comply with these laws and regulations could result in government enforcement actions (which could include civil, criminal and administrative penalties), private litigation, and/or adverse publicity and could negatively affect AVROBIO’s operating results and business. Moreover, clinical trial patients, employees and other individuals about whom AVROBIO or AVROBIO’s potential collaborators obtain personal information, as well as the providers who share this information with AVROBIO, may limit AVROBIO’s ability to collect, use and disclose the information. Claims that AVROBIO has violated individuals’ privacy rights, failed to comply with data protection laws, or breached AVROBIO’s contractual obligations, even if AVROBIO is not found liable, could be expensive and time-consuming to defend and could result in adverse publicity that could harm AVROBIO’s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data collection is governed by restrictive regulations governing the use, processing and cross-border transfer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would expect to conduct clinical trials in the European Economic Area (“EEA”), and the UK and as a result would be subject to additional privacy restrictions. The collection, use, disclosure, transfer or other processing of personal health data in the EU and the UK is governed by the provisions of the European Union General Data Protection Regulation (“GDPR”) (references to the GDPR include both the “EU GDPR” and “UK GDPR” unless specified otherwise). The GDPR is wide-ranging in scope and imposes numerous requirements on companies that process personal data, including requirements relating to ensuring a legal basis or condition applies to the processing of personal data, stricter requirements relating to the processing of sensitive data (such as health data), providing information to individuals regarding data processing activities, when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AVROBIO’s obligations with respect to any clinical trials conducted in the EEA or the UK. Its definition of personal data includes coded data, requires changes to informed consent practices and detailed notices for clinical trial subjects and investigators. In addition, the GDPR imposes strict rules on the transfer of personal data out of the EEA or the UK, including to the United States (see below). The GDPR also permits data protection authorities to require destruction of improperly gathered or used personal data and/or impose substantial fines for violations of the GDPR, which can be up to four percent of global revenues or 20 million Euros (£ 17.5 million for the UK),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EEA member states or the UK may make their own further laws and regulations limiting the processing of personal data, including genetic, biometric, or health data. </w:t>
      </w:r>
    </w:p>
    <w:p>
      <w:pPr>
        <w:pStyle w:val="TextBody"/>
        <w:bidi w:val="0"/>
        <w:spacing w:before="240" w:after="0"/>
        <w:jc w:val="left"/>
        <w:rPr>
          <w:rFonts w:ascii="Times New Roman" w:hAnsi="Times New Roman"/>
          <w:sz w:val="20"/>
        </w:rPr>
      </w:pPr>
      <w:r>
        <w:rPr>
          <w:rFonts w:ascii="Times New Roman" w:hAnsi="Times New Roman"/>
          <w:sz w:val="20"/>
        </w:rPr>
        <w:t xml:space="preserve">The GDPR prohibits cross-border data transfers of personal data to countries outside the EEA or the UK that are not considered by the European Commission and UK government as providing “adequate” protection to personal data, or third countries, including the United States in certain circumstances, unless a valid GDPR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mechanism (for example, the European Commission approved Standard Contractual Clauses (“the SCCs”) and the UK International Data Transfer Agreement/Addendum (“the UK IDTA”)) has been put in place. Where relying on the SCCs/UK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AVROBIO needing to make strategic considerations around where EEA and UK personal data is located and which service providers AVROBIO can utilize for the processing of EEA and UK personal data. </w:t>
      </w:r>
    </w:p>
    <w:p>
      <w:pPr>
        <w:pStyle w:val="TextBody"/>
        <w:bidi w:val="0"/>
        <w:spacing w:before="240" w:after="0"/>
        <w:jc w:val="left"/>
        <w:rPr>
          <w:rFonts w:ascii="Times New Roman" w:hAnsi="Times New Roman"/>
          <w:sz w:val="20"/>
        </w:rPr>
      </w:pPr>
      <w:r>
        <w:rPr>
          <w:rFonts w:ascii="Times New Roman" w:hAnsi="Times New Roman"/>
          <w:sz w:val="20"/>
        </w:rPr>
        <w:t xml:space="preserve">AVROBIO has yet to adopt and implement comprehensive processes, systems and other relevant measures within AVROBIO’s organization, and/or with AVROBIO’s relevant collaborators, service providers, contractors or consultants, which are appropriate to address relevant requirements relating to international transfers of personal data from Europe, and to minimize the potential impacts and risks resulting from those requirements, across AVROBIO’s organization. Failure to implement valid mechanisms for personal data transfers from Europe may result in AVROBIO’s facing increased exposure to regulatory actions, substantial fines and injunctions against processing personal data from Europe. Inability to export personal data may also: restrict AVROBIO’s activities outside Europe; limit AVROBIO’s ability to collaborate with partners as well as other service providers, contractors and other companies outside of Europe; and/or require AVROBIO to increase AVROBIO’s processing capabilities within Europe at significant expense or otherwise cause AVROBIO to change the geographical location or segregation of AVROBIO’s relevant systems and operations – any or all of which could adversely affect AVROBIO’s operations or financial results. Additionally, other countries outside of Europe have enacted or are considering enacting similar cross-border data transfer restrictions and laws requiring local data residency, which could increase the cost and complexity of delivering AVROBIO’s services and operating AVROBIO’s business. The type of challenges AVROBIO faces in Europe will likely also arise in other jurisdictions that adopt laws similar in construction to the GDPR or regulatory frameworks of equivalent complexity. </w:t>
      </w:r>
    </w:p>
    <w:p>
      <w:pPr>
        <w:pStyle w:val="TextBody"/>
        <w:bidi w:val="0"/>
        <w:spacing w:before="240" w:after="0"/>
        <w:jc w:val="left"/>
        <w:rPr>
          <w:rFonts w:ascii="Times New Roman" w:hAnsi="Times New Roman"/>
          <w:sz w:val="20"/>
        </w:rPr>
      </w:pPr>
      <w:r>
        <w:rPr>
          <w:rFonts w:ascii="Times New Roman" w:hAnsi="Times New Roman"/>
          <w:sz w:val="20"/>
        </w:rPr>
        <w:t xml:space="preserve">Although the UK is regarded as a third country under the EU GDPR, the European Commission has issued an adequacy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EU remain free flowing. The UK Government has also now introduced a Data Protection and Digital Information Bill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AVROBIO’s handling of personal data and AVROBIO’s privacy and data security compliance programs and could require AVROBIO to implement different compliance measures for the UK and the EEA. </w:t>
      </w:r>
    </w:p>
    <w:p>
      <w:pPr>
        <w:pStyle w:val="TextBody"/>
        <w:bidi w:val="0"/>
        <w:spacing w:before="240" w:after="0"/>
        <w:jc w:val="left"/>
        <w:rPr>
          <w:rFonts w:ascii="Times New Roman" w:hAnsi="Times New Roman"/>
          <w:sz w:val="20"/>
        </w:rPr>
      </w:pPr>
      <w:r>
        <w:rPr>
          <w:rFonts w:ascii="Times New Roman" w:hAnsi="Times New Roman"/>
          <w:sz w:val="20"/>
        </w:rPr>
        <w:t xml:space="preserve">Given the breadth and depth of its obligations, complying with the GDPR’s requirements is rigorous and time intensive and requires significant resources and assessment of AVROBIO’s technologies, systems and practices, as well as those of any third-party collaborators, service providers, contractors, or consultants that process or transfer personal data collected in the EEA or the UK. Compliance with the GDPR will be a rigorous and time-intensive process that may increase AVROBIO’s cost of doing business and require AVROBIO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 AVROBIO’s business practices, and despite those efforts, there is a risk that AVROBIO may be subject to fines and penalties, litigation, and reputational harm in connection with European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faces potential product liability, and, if successful claims are brought against AVROBIO, AVROBIO may incur substantial liability and costs. If the use of AVROBIO’s product candidates harms patients, or is perceived to harm patients even when such harm is unrelated to AVROBIO’s product candidates, AVROBIO’s regulatory approvals could be revoked or otherwise negatively impacted and AVROBIO could be subject to costly and damaging product liability claims. </w:t>
      </w:r>
    </w:p>
    <w:p>
      <w:pPr>
        <w:pStyle w:val="TextBody"/>
        <w:bidi w:val="0"/>
        <w:spacing w:before="120" w:after="0"/>
        <w:jc w:val="left"/>
        <w:rPr>
          <w:rFonts w:ascii="Times New Roman" w:hAnsi="Times New Roman"/>
          <w:sz w:val="20"/>
        </w:rPr>
      </w:pPr>
      <w:r>
        <w:rPr>
          <w:rFonts w:ascii="Times New Roman" w:hAnsi="Times New Roman"/>
          <w:sz w:val="20"/>
        </w:rPr>
        <w:t xml:space="preserve">The use of AVROBIO’s product candidates including in clinical studies and, should AVROBIO resume the development of its product candidates, the future sale of any products for which AVROBIO may obtain marketing approval, exposes AVROBIO to the risk of product liability claims. Product liability claims might be brought against AVROBIO by consumers, healthcare providers, pharmaceutical companies or others selling or otherwise coming into contact with AVROBIO’s products. There is a risk that AVROBIO’s product candidates may induce adverse events. If AVROBIO cannot successfully defend against product liability claims, AVROBIO could incur substantial liability and costs. In addition, regardless of merit or eventual outcome, product liability claims may result in: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impairment of AVROBIO’s business reputation;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of clinical study participants;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due to related litigation;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distraction of management’s attention from AVROBIO’s primary business;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patients or other claimants;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AVROBIO’s product candidates; and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AVROBIO’s product candidates, if approved for commercial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carries master product liability insurance of $5.0 million per occurrence and $5.0 million in the aggregate in the United States. For studies conducted in certain countries outside the United States, AVROBIO maintains local admitted policies with varying limits. AVROBIO believes AVROBIO’s product liability insurance coverage is sufficient in light of AVROBIO’s current clinical programs; however, AVROBIO may not be able to maintain insurance coverage at a reasonable cost or in sufficient amounts to protect AVROBIO against losses due to liability. If AVROBIO resume development of its product candidates and thereafter obtain marketing approval for product candidates, AVROBIO expects that AVROBIO would expand AVROBIO’s insurance coverage to include the sale of commercial products; however, AVROBIO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AVROBIO could cause AVROBIO’s stock price to decline and, if judgments exceed AVROBIO’s insurance coverage, could adversely affect AVROBIO’s results of operations and business. </w:t>
      </w:r>
    </w:p>
    <w:p>
      <w:pPr>
        <w:pStyle w:val="TextBody"/>
        <w:bidi w:val="0"/>
        <w:spacing w:before="240" w:after="0"/>
        <w:jc w:val="left"/>
        <w:rPr>
          <w:rFonts w:ascii="Times New Roman" w:hAnsi="Times New Roman"/>
          <w:sz w:val="20"/>
        </w:rPr>
      </w:pPr>
      <w:r>
        <w:rPr>
          <w:rFonts w:ascii="Times New Roman" w:hAnsi="Times New Roman"/>
          <w:sz w:val="20"/>
        </w:rPr>
        <w:t xml:space="preserve">Patients with the diseases targeted by certain of AVROBIO’s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AVROBIO’s product candidates. Such events could subject AVROBIO to costly litigation, require AVROBIO to pay substantial amounts of money to injured patients, delay, negatively impact or end AVROBIO’s opportunity to receive or maintain regulatory approval to market AVROBIO’s products, or require AVROBIO to suspend or abandon AVROBIO’s commercialization efforts. Even in a circumstance in which AVROBIO does not believe that an adverse event is related to AVROBIO’s products, the investigation into the circumstance may be time-consuming or inconclusive. These investigations may interrupt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efforts, delay AVROBIO’s regulatory approval process in other countries, or impact and limit the type of regulatory approvals AVROBIO’s product candidates receive or maintain. As a result of these factors, a product liability claim, even if successfully defended, could have a material adverse effect on AVROBIO’s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fails to comply with environmental, health and safety laws and regulations, AVROBIO could become subject to fines or penalties or incur costs that could have a material adverse effect on the success of AVROBIO’s business.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to numerous environmental, health and safety laws and regulations, including those governing laboratory procedures and the handling, use, storage, treatment and disposal of hazardous materials and wastes. AVROBIO’s operations involve the use of hazardous and flammable materials, including chemicals and biological materials. AVROBIO’s operations also produce hazardous waste products. AVROBIO generally contracts with third parties for the disposal of these materials and wastes. AVROBIO cannot eliminate the risk of contamination or injury from these materials. In the event of contamination or injury resulting from AVROBIO’s use of hazardous materials, AVROBIO could be held liable for any resulting damages, and any liability could exceed AVROBIO’s resources. AVROBIO also could incur significant costs associated with civil or criminal fines and penalties. Furthermore, environmental laws and regulations are complex, change frequently and have tended to become more stringent. AVROBIO cannot predict the impact of such changes and cannot be certain of AVROBIO’s future compliance.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AVROBIO maintains workers’ compensation insurance to cover AVROBIO for costs and expenses AVROBIO may incur due to injuries to AVROBIO’s employees resulting from the use of hazardous materials or other work-related injuries, this insurance may not provide adequate coverage against potential liabilities. In addition, AVROBIO may incur substantial costs in order to comply with current or future environmental, health and safety laws and regulations. These current or future laws and regulations may impair AVROBIO’s research, development or production efforts. Failure to comply with these laws and regulations also may result in substantial fines, penalties or other sanctions or liabilities, which could materially adversely affect AVROBIO’s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might not be able to utilize a significant portion of AVROBIO’s net operating loss carryforwards and research and development tax credit carryforwards. </w:t>
      </w:r>
    </w:p>
    <w:p>
      <w:pPr>
        <w:pStyle w:val="TextBody"/>
        <w:bidi w:val="0"/>
        <w:spacing w:before="120" w:after="0"/>
        <w:jc w:val="left"/>
        <w:rPr>
          <w:rFonts w:ascii="Times New Roman" w:hAnsi="Times New Roman"/>
          <w:sz w:val="20"/>
        </w:rPr>
      </w:pPr>
      <w:r>
        <w:rPr>
          <w:rFonts w:ascii="Times New Roman" w:hAnsi="Times New Roman"/>
          <w:sz w:val="20"/>
        </w:rPr>
        <w:t>As of December 31, 2023 and 2022, AVROBIO had federal and state net operating loss carryforwards of $575.9 million and $657.0 million, respectively, and federal research and development tax credit carryforwards of approximately $6.4 million and $6.8 million, respectively. If not utilized, the net operating loss carryforwards and research and development credits will generally expire at various dates through 2041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AVROBIO may have experienced ownership changes in the past. AVROBIO may also experience ownership changes in the future as a result of subsequent shifts in AVROBIO’s stock ownership, some of which may be outside of AVROBIO’s control. In addition, the merger, if consummated, may also constitute an ownership change (within the meaning of Section 382 of the Code) which could eliminate or otherwise substantially limit AVROBIO’s ability to use its pre-change net operating loss carryforwards and other pre-change tax attributes.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ownership change occurred or occurs and AVROBIO’s ability to use AVROBIO’s historical net operating loss and tax credit carryforwards is materially limited (or entirely eliminated), or if AVROBIO’s research and development carryforwards are adjusted, it would harm AVROBIO’s future operating results by effectively increasing AVROBIO’s future tax obligations. For taxable years beginning after December 31, 2020, deductions for federal net operating losses arising in taxable years beginning after December 31, 2017 may only offset 80% of taxable income. </w:t>
      </w:r>
    </w:p>
    <w:p>
      <w:pPr>
        <w:pStyle w:val="TextBody"/>
        <w:bidi w:val="0"/>
        <w:spacing w:before="360" w:after="0"/>
        <w:jc w:val="left"/>
        <w:rPr>
          <w:rFonts w:ascii="Times New Roman" w:hAnsi="Times New Roman"/>
          <w:b/>
          <w:sz w:val="20"/>
        </w:rPr>
      </w:pPr>
      <w:bookmarkStart w:id="33" w:name="toc770053_31"/>
      <w:bookmarkEnd w:id="33"/>
      <w:r>
        <w:rPr>
          <w:rFonts w:ascii="Times New Roman" w:hAnsi="Times New Roman"/>
          <w:b/>
          <w:sz w:val="20"/>
        </w:rPr>
        <w:t xml:space="preserve">Risks Related to AVROBIO’s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Should AVROBIO resume development of its product candidates, third-party claims of intellectual property infringement may prevent or delay AVROBIO’s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AVROBIO’s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parties reexamination proceedings before the U.S. Patent and Trademark Office (“USPTO”) and corresponding foreign patent offices. Numerous U.S. and foreign issued patents and pending patent applications, which are owned by third parties, exist in the fields in which AVROBIO is pursuing development candidates. As the biotechnology and pharmaceutical industries expand and more patents are issued, the risk increases that AVROBIO’s product candidates may be subject to claims of infringement of the patent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AVROBIO or AVROBIO’s licensors are employing their proprietary technology without authorization. There may be third-party patents or patent applications with claims to materials, formulations, methods of manufacture or methods for treatment related to the use or manufacture of AVROBIO’s product candidates. In particular, AVROBIO is aware of issued patents in the United States that cover the lentiviral vectors used in the manufacture of AVROBIO’s product candidates. While AVROBIO believes that AVROBIO has reasonable defenses against a claim of infringement, potentially including that certain of these patents are expected to expire prior to commercializing AVROBIO’s product candidates, if approved, in the United States, there can be no assurance that AVROBIO will prevail in any such action by the holder of these patents. In the event that the holder of these patents seeks to enforce its patent rights and AVROBIO’s defenses against a claim of infringement are unsuccessful, AVROBIO may not be able to commercialize AVROBIO’s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AVROBIO’s management from AVROBIO’s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Because patent applications can take many years to issue, there may be currently pending patent applications which may later result in issued patents that AVROBIO’s product candidates may infringe or be alleged to infringe. In addition, third parties may obtain patents in the future and claim that use of AVROBIO’s or AVROBIO’s licensors’ technologies infringes upon these patents. If any third-party patents were held by a court of competent jurisdiction to cover the manufacturing process of any of AVROBIO’s product candidates, any molecules formed during the manufacturing process or any final product itself, the holders of any such patents may be able to block AVROBIO’s ability to commercialize such product candidate unless AVROBIO obtained a license under the applicable patents, or until such patents expire. </w:t>
      </w:r>
    </w:p>
    <w:p>
      <w:pPr>
        <w:pStyle w:val="TextBody"/>
        <w:bidi w:val="0"/>
        <w:spacing w:before="240" w:after="0"/>
        <w:jc w:val="left"/>
        <w:rPr>
          <w:rFonts w:ascii="Times New Roman" w:hAnsi="Times New Roman"/>
          <w:sz w:val="20"/>
        </w:rPr>
      </w:pPr>
      <w:r>
        <w:rPr>
          <w:rFonts w:ascii="Times New Roman" w:hAnsi="Times New Roman"/>
          <w:sz w:val="20"/>
        </w:rPr>
        <w:t xml:space="preserve">Similarly, if any third-party patents were held by a court of competent jurisdiction to cover aspects of AVROBIO’s formulations, processes for manufacture or methods of use, including combination therapy, the holders of any such patents may be able to block AVROBIO’s ability to develop and commercialize the applicable product candidate unless AVROBIO obtained a license or until such patent expires. In either case, such a license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AVROBIO may obtain injunctive or other equitable relief, which could effectively block AVROBIO’s ability to further develop and commercialize one or more of AVROBIO’s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Defense of these claims, regardless of their merit, would involve substantial litigation expense and would be a substantial diversion of employee resources from AVROBIO’s business. In the event of a successful claim of infringement against AVROBIO, AVROBIO may have to pay substantial damages, including treble damages and attorneys’ fees for willful infringement, pay royalties, redesign AVROBIO’s infringing products or obtain one or more licenses from third parties, which may be impossible or require substantial time and monetary expenditure. Even in the absence of a finding of infringement, AVROBIO may choose to obtain a license, if such a license is available. A successful claim of patent or other intellectual property infringement against AVROBIO could materially adversely affect AVROBIO’s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rights to develop and commercialize its product candidates, should AVROBIO resume development of its product candidates, are subject, in part, to the terms and conditions of licenses granted to AVROBIO by others. </w:t>
      </w:r>
    </w:p>
    <w:p>
      <w:pPr>
        <w:pStyle w:val="TextBody"/>
        <w:bidi w:val="0"/>
        <w:spacing w:before="120" w:after="0"/>
        <w:jc w:val="left"/>
        <w:rPr>
          <w:rFonts w:ascii="Times New Roman" w:hAnsi="Times New Roman"/>
          <w:sz w:val="20"/>
        </w:rPr>
      </w:pPr>
      <w:r>
        <w:rPr>
          <w:rFonts w:ascii="Times New Roman" w:hAnsi="Times New Roman"/>
          <w:sz w:val="20"/>
        </w:rPr>
        <w:t xml:space="preserve">AVROBIO depends upon the intellectual property rights granted to AVROBIO under licenses from third parties that are important or necessary to the development of AVROBIO’s technology and products, including technology related to AVROBIO’s manufacturing process and AVROBIO’s gene therapy product candidates. In particular, AVROBIO had in-licensed certain intellectual property rights and know-how from the University Health Network (“UHN”) (relevant to AVR-RD-01 and AVROBIO’s Fabry program, which AVROBIO deprioritized in January 2022) and affiliates of Lund University (relevant to AVR-RD-02 and AVROBIO’s Gaucher type 1 and type 3 programs), and AVROBIO’s Fabry license agreement with UHN was terminated as of January 4, 2024. In addition, AVROBIO has in-licensed patents and patent applications from BioMarin Pharmaceutical Inc. (“BioMarin”) (relevant to AVR-RD-03 and AVROBIO’s Pompe program) directed to compositions and methods related to the manufacture and use of AVR-RD-03. AVROBIO also previously had in place in-licensed patent applications from The University of Manchester relevant to AVR-RD-05 and AVROBIO’s Hunter program, which license agreement was terminated as of September 8, 2023. Any termination of AVROBIO’s remaining licenses could result in the loss of significant rights and could harm or prevent AVROBIO’s ability to commercialize AVROBIO’s product candidates, should AVROBIO resume development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Each of AVROBIO’s existing licenses with affiliates of Lund University and BioMarin are exclusive but are limited to particular fields, such as Gaucher disease type 1, or Pompe disease, and are subject to certain retained rights. Absent an amendment or additional agreement, AVROBIO may not have the right to use intellectual property in-licensed for one of AVROBIO’s programs for another program. In addition, licenses that AVROBIO may enter into in the future may not provide exclusive rights to use such intellectual property and technology in all relevant fields of use and in all territories in which AVROBIO may wish to develop or commercialize AVROBIO’s technology and products in the future. As a result, AVROBIO may not be able to prevent competitors from developing and commercializing competitive products in territories included in all of AVROBIO’s licenses. Licenses to additional third-party technology that may be required for AVROBIO’s development programs may not be available in the future or may not be available on commercially reasonable terms, or at all, which could have a material adverse effect on AVROBIO’s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some circumstances, AVROBIO may not have the right to control the preparation, filing and prosecution of patent applications, or to maintain the patents, covering technology that AVROBIO licenses from third parties. For example, pursuant to each of AVROBIO’s intellectual property licenses with BioMarin, the rights holders associated with Lund University, AVROBIO’s licensors retain control of such activities. Therefore, AVROBIO cannot be certain that these patents and applications will be prosecuted, maintained and enforced in a manner consistent with the best interests of AVROBIO’s business. If AVROBIO’s licensors fail to maintain such patents, or lose rights to those patents or patent applications, the rights AVROBIO has licensed may be reduced or eliminated and AVROBIO’s right to develop and commercialize any of AVROBIO’s products that are the subject of such licensed rights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AVROBIO’s current license agreements impose, and AVROBIO expects that future license agreements that AVROBIO may enter into will impose, various obligations, including diligence and certain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AVROBIO fails to satisfy AVROBIO’s obligations, the licensor may have the right to terminate the agreement. Disputes may arise between AVROBIO and any of AVROBIO’s licensors regarding intellectual property subject to such agreements and other issues. Such disputes over intellectual property that AVROBIO has licensed or the terms of AVROBIO’s license agreements may prevent or impair AVROBIO’s ability to maintain AVROBIO’s current arrangements on acceptable terms, or at all, or may impair the value of the arrangement to AVROBIO. Any such dispute could have a material adverse effect on AVROBIO’s business. If AVROBIO cannot maintain a necessary license agreement or if the agreement is terminated, AVROBIO may be unable to successfully develop and commercialize the affected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is unable to obtain and maintain patent protection for AVROBIO’s product candidates, or if the scope of the patent protection obtained is not sufficiently broad, AVROBIO’s competitors could develop and commercialize products similar or identical to AVROBIO’s, and AVROBIO’s ability to successfully commercialize AVROBIO’s product candidates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AVROBIO’s ability to compete effectively will depend, in part, on AVROBIO’s ability to maintain the proprietary nature of AVROBIO’s technology and manufacturing processes. AVROBIO relies on manufacturing and other know-how, patents, trade secrets, trademarks, license agreements and contractual provisions to establish AVROBIO’s intellectual property rights and protect AVROBIO’s products. These legal means, however, afford only limited protection and may not adequately protect AVROBIO’s rights. The failure to obtain, maintain, enforce or defend such intellectual property rights, for any reason, could allow third parties to make competing products or impact AVROBIO’s ability to develop, manufacture and market AVROBIO’s products, if approved, on a commercially viable basis, or at all, which could have a material adverse effect on AVROBIO’s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AVROBIO relies primarily on trade secrets, know-how and other unpatented technology, which are difficult to protect. Although AVROBIO seeks such protection in part by entering into confidentiality agreements with AVROBIO’s vendors, employees, consultants and others who may have access to proprietary information, AVROBIO cannot be certain that these agreements will not be breached, adequate remedies for any breach would be available or AVROBIO’s trade secrets, know-how and other unpatented proprietary technology will not otherwise become known to or be independently developed by AVROBIO’s competitors. Should AVROBIO resume development of its product candidates and AVROBIO is unsuccessful in protecting AVROBIO’s intellectual property rights, sales of AVROBIO’s products may suffer and AVROBIO’s ability to generate revenue could be severely impacted. </w:t>
      </w:r>
    </w:p>
    <w:p>
      <w:pPr>
        <w:pStyle w:val="TextBody"/>
        <w:bidi w:val="0"/>
        <w:spacing w:before="240" w:after="0"/>
        <w:jc w:val="left"/>
        <w:rPr>
          <w:rFonts w:ascii="Times New Roman" w:hAnsi="Times New Roman"/>
          <w:sz w:val="20"/>
        </w:rPr>
      </w:pPr>
      <w:r>
        <w:rPr>
          <w:rFonts w:ascii="Times New Roman" w:hAnsi="Times New Roman"/>
          <w:sz w:val="20"/>
        </w:rPr>
        <w:t xml:space="preserve">AVROBIO’s licensors and AVROBIO has sought, and AVROBIO intends to continue to seek to protect AVROBIO’s proprietary position by filing patent applications in the United States and, in at least some cases, one or more countries outside the United States related to product candidates that are important to AVROBIO’s business. However, AVROBIO cannot predict whether the patent applications AVROBIO and AVROBIO’s licensors are currently pursuing will issue as patents, whether the claims of any issued patents will provide AVROBIO with a competitive advantage, or whether AVROBIO will be able to successfully pursue patent applications in the future related to AVROBIO’s product candidates, should AVROBIO resume development of its product candidates. While AVROBIO has in-licensed patents and patent applications relevant to AVR-RD-03, AVROBIO currently has no owned or in-licensed patents or patent applications covering AVR-RD-01 or AVR-RD-02. Some of AVROBIO’s product candidates are in-licensed from third parties. Accordingly, in some cases, the availability and scope of potential patent protection is limited based on prior decisions by AVROBIO’s licensors or the inventors, such as decisions on when to file patent applications or whether to file patent applications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Should AVROBIO resume development of its product candidates, AVROBIO may not be able to protect AVROBIO’s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AVROBIO’s intellectual property rights in some countries outside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could be less extensive than those in the United States. Although AVROBIO’s license agreements grant AVROBIO worldwide rights, and AVROBIO’s currently in-licensed U.S. patent rights have certain corresponding foreign patents or patent applications, there can be no assurance that AVROBIO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AVROBIO and AVROBIO’s licensors pursue patent protection. Consequently, AVROBIO and AVROBIO’s licensors may not be able to prevent third parties from practicing AVROBIO’s inventions in all countries outside the United States, even in jurisdictions where AVROBIO and AVROBIO’s licensors pursue patent protection, or from selling or importing products made using AVROBIO’s inventions in and into the United States or other jurisdictions. Competitors may use AVROBIO’s technologies in jurisdictions where AVROBIO and AVROBIO’s licensors have not pursued and obtained patent protection to develop their own products and, further, may export otherwise infringing products to territories where AVROBIO has patent protection, but enforcement is not as strong as that in the United States. These products may compete with AVROBIO’s product candidates and AVROBIO’s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AVROBIO to stop the infringement of AVROBIO’s patents or marketing of competing products in violation of AVROBIO’s proprietary rights generally. Proceedings to enforce AVROBIO’s patent rights, even if obtained, in foreign jurisdictions could result in substantial costs and divert AVROBIO’s efforts and attention from other aspects of AVROBIO’s business, could put AVROBIO’s patents at risk of being invalidated or interpreted narrowly and AVROBIO’s patent applications at risk of not issuing and could provoke third parties to assert claims against AVROBIO. AVROBIO may not prevail in any lawsuits that AVROBIO initiate and the damages or other remedies awarded, if any, may not be commercially meaningful. Accordingly, AVROBIO’s efforts to enforce AVROBIO’s intellectual property rights around the world may be inadequate to obtain a significant commercial advantage from the intellectual property that AVROBIO develops or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AVROBIO’s product candidates could be found invalid or unenforceable if challenged in court. AVROBIO may not be able to protect AVROBIO’s trade secrets in court. </w:t>
      </w:r>
    </w:p>
    <w:p>
      <w:pPr>
        <w:pStyle w:val="TextBody"/>
        <w:bidi w:val="0"/>
        <w:spacing w:before="120" w:after="0"/>
        <w:jc w:val="left"/>
        <w:rPr>
          <w:rFonts w:ascii="Times New Roman" w:hAnsi="Times New Roman"/>
          <w:sz w:val="20"/>
        </w:rPr>
      </w:pPr>
      <w:r>
        <w:rPr>
          <w:rFonts w:ascii="Times New Roman" w:hAnsi="Times New Roman"/>
          <w:sz w:val="20"/>
        </w:rPr>
        <w:t xml:space="preserve">If one of AVROBIO’s licensing partners or AVROBIO initiate legal proceedings against a third-party to enforce a patent covering one of AVROBIO’s product candidates, should such a patent issue, the defendant could counterclaim that the patent covering AVROBIO’s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inter parties review and equivalent proceedings in foreign jurisdictions. Such proceedings could result in the revocation or cancellation of or amendment to AVROBIO’s patents in such a way that they no longer cover AVROBIO’s product candidates. The outcome following legal assertions of invalidity and unenforceability is unpredictable. With respect to the validity question, for example, AVROBIO cannot be certain that there is no invalidating prior art, of which the patent examiner and AVROBIO or AVROBIO’s licensing partners were unaware during prosecution. If a defendant were to prevail on a legal assertion of invalidity or unenforceability, AVROBIO could lose at least part, and perhaps all, of the patent protection on one or more of AVROBIO’s product candidates. Such a loss of patent protection could have a material adverse impact on AVROBIO’s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protection afforded by patents, AVROBIO relies on trade secret protection and confidentiality agreements to protect proprietary know-how that is not patentable or that AVROBIO elects not to patent, processes for which patents are difficult to enforce and any other elements of AVROBIO’s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AVROBIO seeks to protect AVROBIO’s proprietary technology and processes, in part, by entering into confidentiality agreements with AVROBIO’s employees, consultants, scientific advisors and contractors. AVROBIO cannot guarantee that AVROBIO has entered into such agreements with each party that may have or have had access to AVROBIO’s trade secrets or proprietary technology and processes. AVROBIO also seeks to preserve the integrity and confidentiality of AVROBIO’s data and trade secrets by maintaining physical security of AVROBIO’s premises and physical and electronic security of AVROBIO’s information technology systems. While AVROBIO has confidence in these individuals, organizations and systems, agreements or security measures may be breached, and AVROBIO may not have adequate remedies for any breach. In addition, AVROBIO’s trade secrets may otherwise become known or be independently discovered by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may be subject to claims asserting that AVROBIO’s employees, consultants or advisors have wrongfully used or disclosed alleged trade secrets of their current or former employers or claims asserting ownership of what AVROBIO regards as AVROBIO’s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Certain of AVROBIO’s employees, consultants or advisors are currently, or were previously, employed at universities or other biotechnology or pharmaceutical companies, including AVROBIO’s competitors or potential competitors. Although AVROBIO tries to ensure that AVROBIO’s employees, consultants and advisors do not use the proprietary information or know-how of others in their work for AVROBIO, AVROBIO may be subject to claims that these individuals or AVROBIO has used or disclosed intellectual property, including trade secrets or other proprietary information, of any such individual’s current or former employer. Litigation may be necessary to defend against these claims. If AVROBIO fails in defending any such claims, in addition to paying monetary damages, AVROBIO may lose valuable intellectual property rights or personnel. Even if AVROBIO is successful in defending against such claims, litigation could result in substantial costs and be a distraction to management. AVROBIO’s licensors may face similar risks, which could have an adverse impact on intellectual property that is licensed to AVROBIO.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AVROBIO’s policy to require AVROBIO’s employees and contractors who may be involved in the conception or development of intellectual property to execute agreements assigning such intellectual property to AVROBIO, AVROBIO may be unsuccessful in executing such an agreement with each party who, in fact, conceives or develops intellectual property that AVROBIO regards as AVROBIO’s own. The assignment of intellectual property rights may not be self-executing or the assignment agreements may be breached, and AVROBIO may be forced to bring claims against third parties, or defend claims that they may bring against AVROBIO, to determine the ownership of what AVROBIO regards as AVROBIO’s intellectual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may be subject to claims challenging the inventorship or ownership of the patents and other intellectual property that AVROBIO owns or licenses. </w:t>
      </w:r>
    </w:p>
    <w:p>
      <w:pPr>
        <w:pStyle w:val="TextBody"/>
        <w:bidi w:val="0"/>
        <w:spacing w:before="120" w:after="0"/>
        <w:jc w:val="left"/>
        <w:rPr>
          <w:rFonts w:ascii="Times New Roman" w:hAnsi="Times New Roman"/>
          <w:sz w:val="20"/>
        </w:rPr>
      </w:pPr>
      <w:r>
        <w:rPr>
          <w:rFonts w:ascii="Times New Roman" w:hAnsi="Times New Roman"/>
          <w:sz w:val="20"/>
        </w:rPr>
        <w:t xml:space="preserve">AVROBIO or AVROBIO’s licensors may be subject to claims that former employees, collaborators or other third parties have an ownership interest in the patents and intellectual property that AVROBIO owns or licenses or that AVROBIO may own or license in the future. While it is AVROBIO’s policy to require AVROBIO’s employees and contractors who may be involved in the development of intellectual property to execute agreements assigning such intellectual property to AVROBIO, AVROBIO may be unsuccessful in executing such an agreement with each party who in fact develops intellectual property that AVROBIO regards as AVROBIO’s own; AVROBIO’s licensors may face similar obstacles. AVROBIO could be subject to ownership disputes arising, for example, from conflicting obligations of consultants or others who are involved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developing AVROBIO’s product candidates. Litigation may be necessary to defend against any claims challenging inventorship or ownership. If AVROBIO or AVROBIO’s licensors fail in defending any such claims, AVROBIO may have to pay monetary damages and may lose valuable intellectual property rights, such as exclusive ownership of, or right to use, intellectual property, which could adversely impact AVROBIO’s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could diminish the value of patents in general, thereby impairing AVROBIO’s ability to protect 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AVROBIO’s business. However, the Leahy-Smith Act and its implementation could increase the uncertainties and costs surrounding the prosecution of AVROBIO’s patent applications and the enforcement or defense of AVROBIO’s issued patents, all of which could have a material adverse effect on AVROBIO’s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companies engaged in the development and commercialization of biologics and pharmaceuticals are particularly uncertain. Two cases involving diagnostic method claims and “gene patents” were decided this year by the Supreme Court of the United States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w:t>
      </w:r>
    </w:p>
    <w:p>
      <w:pPr>
        <w:pStyle w:val="TextBody"/>
        <w:bidi w:val="0"/>
        <w:spacing w:before="240" w:after="0"/>
        <w:jc w:val="left"/>
        <w:rPr>
          <w:rFonts w:ascii="Times New Roman" w:hAnsi="Times New Roman"/>
          <w:sz w:val="20"/>
        </w:rPr>
      </w:pPr>
      <w:r>
        <w:rPr>
          <w:rFonts w:ascii="Times New Roman" w:hAnsi="Times New Roman"/>
          <w:sz w:val="20"/>
        </w:rPr>
        <w:t xml:space="preserve">Certain claims of AVROBIO’s licensed patents and patent applications contain, and any future patents AVROBIO may obtain may contain, claims that relate to specific recombinant DNA sequences that are naturally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occurring at least in part and, therefore, could be the subject of future challenges made by third parties. In addition, the 2014 USPTO guidance could impact AVROBIO’s ability to pursue similar patent claims in patent applications AVROBIO may prosecute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assure you that AVROBIO’s efforts to seek patent protection for AVROBIO’s product candidates will not be negatively impacted by the decisions described above, rulings in other cases or changes in guidance or procedures issued by the USPTO. AVROBIO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AVROBIO’s existing patent rights and AVROBIO’s ability to protect and enforce AVROBIO’s intellectual property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although the Supreme Court has held in Myriad that isolated segments of naturally occurring DNA are not patent-eligible subject matter, certain third parties could allege that activities that AVROBIO may undertake infringe other gene-related patent claims, and AVROBIO may deem it necessary to defend itself against these claims by asserting non-infringement and/or invalidity positions, or paying to obtain a license to these claims. In any of the foregoing or in other situations involving third-party intellectual property rights, if AVROBIO is unsuccessful in defending against claims of patent infringement, AVROBIO could be forced to pay damages or be subjected to an injunction that would prevent AVROBIO from utilizing the patented subject matter. Such outcomes could harm AVROBIO’s business, financial condition, results of operations or prospects.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and AVROBIO does not obtain patent term extension and data exclusivity for AVROBIO’s product candidates, AVROBIO’s business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specifics of any FDA marketing approval of AVROBIO’s product candidates, one or more U.S. patents that AVROBIO licenses or may own or license in the future, if any, may be eligible for limited patent term extension under the Drug Price Competition and Patent Term Restoration Act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AVROBIO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AVROBIO requests. If AVROBIO is unable to obtain patent term extension or the term of any such extension is less than AVROBIO requests, AVROBIO’s competitors may obtain approval of competing products following AVROBIO’s patent expiration, and AVROBIO’s revenue could be reduced, possibly materially. In addition, AVROBIO does not control the efforts of AVROBIO’s licensors to obtain a patent term extension, and there can be no assurance that they will pursue or obtain such extensions to the patents that AVROBIO licenses from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AVROBIO’s trademarks and trade names are not adequately protected, then AVROBIO may not be able to build name recognition in AVROBIO’s markets of interest and AVROBIO’s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AVROBIO has registered the marks “AVROBIO” and “plato” with the USPTO and in certain other countries, but AVROBIO does not have trademarks or trademark applications with the USPTO for the marks “AVRO” or the AVROBIO logo. In the future, even if AVROBIO applies for registration of these marks, there can be no assurance that such registration will be approved. Once registered, AVROBIO’s trademarks or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names may be challenged, infringed, circumvented or declared generic or determined to be infringing on other marks. AVROBIO may not be able to protect AVROBIO’s rights to these trademarks and trade names, which AVROBIO needs to build name recognition among potential partners or customers in AVROBIO’s markets of interest. At times, competitors may adopt trade names or trademarks similar to AVROBIO’s, thereby impeding AVROBIO’s ability to build brand identity and possibly leading to market confusion. In addition, there could be potential trade name or trademark infringement claims brought by owners of other registered trademarks or trademarks that incorporate variations of AVROBIO’s registered or unregistered trademarks or trade names. Over the long term, if AVROBIO is unable to establish name recognition based on AVROBIO’s trademarks and trade names, then AVROBIO may not be able to compete effectively and AVROBIO’s business may be adversely affected. AVROBIO’s efforts to enforce or protect AVROBIO’s proprietary rights related to trademarks, trade secrets, domain names, copyrights or other intellectual property may be ineffective and could result in substantial costs and diversion of resources and could adversely impact AVROBIO’s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and regulatory exclusivity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AVROBIO’s intellectual property rights is uncertain because intellectual property rights have limitations, and may not adequately protect AVROBIO’s business or permit AVROBIO to maintain AVROBIO’s competitive advantage, should AVROBIO resume development of its product candidates.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gene therapy products that are similar to AVROBIO’s product candidates but that are not covered by the claims of the patents that AVROBIO licenses or may own or license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AVROBIO’s license partners or current or future collaborators, might not have been the first to make the inventions covered by the issued patents or pending patent applications that AVROBIO licenses or may own or license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AVROBIO’s license partners or current or future collaborators, might not have been the first to file patent applications covering certain of AVROBIO’s or their inventions;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AVROBIO’s technologies without infringing AVROBIO’s owned or licensed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AVROBIO’s pending licensed patent applications or those that AVROBIO may own or license in the future will not lead to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AVROBIO holds rights to or may hold rights to in the future may be held invalid or unenforceable, including as a result of legal challenges by AVROBIO’s competitors;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 or more of AVROBIO’s product candidates may never be protected by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competitors might conduct research and development activities in countries where AVROBIO does not have patent rights and then use the information learned from such activities to develop competitive products for sale in AVROBIO’s major commercial markets;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not develop additional proprietary technologies that are patentable;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75"/>
        <w:gridCol w:w="110"/>
        <w:gridCol w:w="60"/>
        <w:gridCol w:w="6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AVROBIO’s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may choose not to file a patent application for certain trade secrets or know-how, and a third party may subsequently file a patent application or obtain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significantly harm AVROBIO’s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4" w:name="toc770053_32"/>
      <w:bookmarkEnd w:id="34"/>
      <w:r>
        <w:rPr>
          <w:rFonts w:ascii="Times New Roman" w:hAnsi="Times New Roman"/>
          <w:b/>
          <w:sz w:val="20"/>
        </w:rPr>
        <w:t xml:space="preserve">Risks Related to Ownership of AVROBIO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AVROBIO common stock may be highly volatile, and you may not be able to resell your shares at or above the price at which you purchased AVROBIO’s shares. </w:t>
      </w:r>
    </w:p>
    <w:p>
      <w:pPr>
        <w:pStyle w:val="TextBody"/>
        <w:bidi w:val="0"/>
        <w:spacing w:before="120" w:after="0"/>
        <w:jc w:val="left"/>
        <w:rPr>
          <w:rFonts w:ascii="Times New Roman" w:hAnsi="Times New Roman"/>
          <w:sz w:val="20"/>
        </w:rPr>
      </w:pPr>
      <w:r>
        <w:rPr>
          <w:rFonts w:ascii="Times New Roman" w:hAnsi="Times New Roman"/>
          <w:sz w:val="20"/>
        </w:rPr>
        <w:t xml:space="preserve">AVROBIO’s stock price is likely to be volatile. Since AVROBIO’s IPO in June 2018, through March 15, 2024, the trading price of AVROBIO common stock has ranged from $53.70 to $0.56.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AVROBIO common stock may be influenced by many factors, including: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AVROBIO’s exploration of strategic alternatives;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results or delays in preclinical studies or clinical trials;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of adverse events in other gene therapy products or clinical studies of such products;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additional funding;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successfully develop and commercialize AVROBIO’s product candidates;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maintain AVROBIO’s existing strategic collaborations or enter into new collaborations;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or AVROBIO’s licensors and strategic partners to prosecute, maintain or enforce AVROBIO’s intellectual property rights;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AVROBIO’s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obtain adequate product supply for AVROBIO’s product candidates or the inability to do so at acceptable prices;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new products, services or technologies by AVROBIO’s competitors;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meet or exceed financial projections AVROBIO may provide to the public;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AVROBIO to meet or exceed the financial projections of the investment community;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AVROBIO, AVROBIO’s strategic partners or AVROBIO’s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AVROBIO’s ability to obtain patent protection for AVROBIO’s technologies;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scientific or management personnel, or other skilled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AVROBIO’s common stock by AVROBIO or AVROBIO stockholders in the future;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volume of AVROBIO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AVROBIO common stock, regardless of AVROBIO’s actual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AVROBIO because pharmaceutical companies have experienced significant stock price volatility in recent years. If AVROBIO faces such litigation, it could result in substantial costs and a diversion of management’s attention and resources, which could harm AVROBIO’s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AVROBIO’s common stock may not be sustained. </w:t>
      </w:r>
    </w:p>
    <w:p>
      <w:pPr>
        <w:pStyle w:val="TextBody"/>
        <w:bidi w:val="0"/>
        <w:spacing w:before="120" w:after="0"/>
        <w:jc w:val="left"/>
        <w:rPr>
          <w:rFonts w:ascii="Times New Roman" w:hAnsi="Times New Roman"/>
          <w:sz w:val="20"/>
        </w:rPr>
      </w:pPr>
      <w:r>
        <w:rPr>
          <w:rFonts w:ascii="Times New Roman" w:hAnsi="Times New Roman"/>
          <w:sz w:val="20"/>
        </w:rPr>
        <w:t xml:space="preserve">Prior to AVROBIO’s IPO in June 2018, there had been no public market for AVROBIO common stock. Although AVROBIO common stock is listed on Nasdaq, an active trading market for AVROBIO’s shares may never be sustained. If an active market for AVROBIO common stock is not sustained, it may be difficult for you to sell shares you purchased without depressing the market price for the shares, or at all. </w:t>
      </w:r>
    </w:p>
    <w:p>
      <w:pPr>
        <w:pStyle w:val="TextBody"/>
        <w:bidi w:val="0"/>
        <w:spacing w:before="240" w:after="0"/>
        <w:jc w:val="left"/>
        <w:rPr>
          <w:rFonts w:ascii="Times New Roman" w:hAnsi="Times New Roman"/>
          <w:sz w:val="20"/>
        </w:rPr>
      </w:pPr>
      <w:r>
        <w:rPr>
          <w:rFonts w:ascii="Times New Roman" w:hAnsi="Times New Roman"/>
          <w:sz w:val="20"/>
        </w:rPr>
        <w:t xml:space="preserve">An inactive trading market may also impair AVROBIO’s ability to raise capital to continue to fund operations by selling additional shares and may impair AVROBIO’s ability to acquire other companies or technologies by using AVROBIO’s shares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AVROBIO’s business, AVROBIO’s share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AVROBIO common stock will likely depend in part on the research and reports that securities or industry analysts publish about AVROBIO or AVROBIO’s business. AVROBIO does not have any control over these analysts. Although AVROBIO has obtained research coverage from certain analysts, there can be no assurance, including during such time period that AVROBIO pursues potential strategic alternatives, that analysts will continue to cover AVROBIO or provide favorable coverage. If one or more analysts downgrade AVROBIO’s stock or change their opinion of AVROBIO’s stock, AVROBIO’s share price would likely decline. In addition, if one or more analysts cease coverage of AVROBIO’s company or fail to regularly publish reports on AVROBIO, AVROBIO could lose visibility in the financial markets, which could cause AVROBIO’s share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ownership of AVROBIO common stock among AVROBIO’s existing executive officers, directors and principal stockholders may prevent new investors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Based on shares outstanding as of March 15, 2024, AVROBIO’s executive officers, directors, five percent stockholders and their affiliates beneficially owned approximately 37.8% of AVROBIO’s voting stock. As a result, if these stockholders were to act together, they would be able to significantly influence all matters submitted to AVROBIO stockholders for approval, as well as AVROBIO’s management and affairs. For example, these stockholders, acting together, may be able to influence elections of directors, amendments of AVROBIO’s organizational documents, or approval of any merger, sale of assets, or other major corporate transaction. This may prevent or discourage unsolicited acquisition proposals or offers for AVROBIO common stock that you may believe are in your best interest as one of AVROBIO stockholders. Some of these persons or entities may have interests different than yours. For example, because many of these stockholders purchased their shares at prices substantially below the current trading price of AVROBIO’s stock and have held their shares for a longer period, they may be more interested in selling AVROBIO’s company to an acquirer than other investors or they may want AVROBIO to pursue strategies that deviate from the interests of other stockholders. Additionally, from time to time, any of AVROBIO’s non-affiliated stockholders may accumulate or acquire significant positions in AVROBIO common stock and may similarly be able to influence AVROBIO’s business or matters submitted to AVROBIO stockholders for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is a “smaller reporting company,” and the reduced disclosure requirements applicable to smaller reporting companies may make AVROBIO common shares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AVROBIO is a “smaller reporting company” as defined in Item 10(f)(1) of Regulation S-K. Smaller reporting companies may take advantage of certain reduced disclosure obligations, including, among other things, providing only two years of audited financial statements in its Annual Report on Form 10-K, and, similar to emerging growth companies, smaller reporting companies have reduced disclosure obligations regarding executive compensation. To the extent AVROBIO takes advantage of such reduced disclosure obligations, it may also make comparison of its financial statements with other public companies difficult or impossible. AVROBIO will remain a smaller reporting company until the last day of the fiscal year in which (i) the market value of its common shares held by non-affiliates exceeds $250 million as of the end of that year’s second fiscal quarter, or (ii) its annual revenues exceeded $100 million during such completed fiscal year and the market value of its common shares held by non-affiliates exceeds $700 million as of the end of that year’s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Investors may find AVROBIO common stock less attractive to the extent AVROBIO will rely on these exemptions. If some investors find AVROBIO common stock less attractive as a result, there may be a less active trading market for AVROBIO common stock and its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expects to continue to incur increased costs as a result of operating as a public company, and AVROBIO’s management is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and particularly because AVROBIO is no longer an “emerging growth company” as defined in Regulation S-K, AVROBIO will incur significant legal, accounting and other expenses that AVROBIO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AVROBIO’s management and other personnel will continue to devote a substantial amount of time to these compliance initiatives. Moreover, these rules and regulations have increased AVROBIO’s legal and financial compliance costs and will continue to make some activities more time-consuming and costly. For example, AVROBIO expects that these rules and regulations may make it more difficult and increasingly more expensive for AVROBIO to obtain and maintain director and officer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AVROBIO is required to furnish a report by AVROBIO’s management on AVROBIO’s internal control over financial reporting, and, once AVROBIO is no longer a smaller reporting company, AVROBIO will be required to furnish an attestation report on internal control over financial reporting issued by AVROBIO’s independent registered public accounting firm. To achieve compliance with Section 404, AVROBIO continues to be engaged in a process to document and evaluate AVROBIO’s internal control over financial reporting, which is both costly and challenging. In this regard, AVROBIO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AVROBIO’s efforts, there is a risk that AVROBIO will not be able to conclude that AVROBIO’s internal control over financial reporting is effective as required by Section 404. This could result in an adverse reaction in the financial markets due to a loss of confidence in the reliability of AVROBIO’s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fails to maintain an effective system of internal control over financial reporting, AVROBIO may not be able to accurately report AVROBIO’s financial results or prevent fraud. As a result, stockholders could lose confidence in AVROBIO’s financial and other public reporting, which would harm AVROBIO’s business and the trading price of AVROBIO’s common stock. </w:t>
      </w:r>
    </w:p>
    <w:p>
      <w:pPr>
        <w:pStyle w:val="TextBody"/>
        <w:bidi w:val="0"/>
        <w:spacing w:before="120" w:after="0"/>
        <w:jc w:val="left"/>
        <w:rPr>
          <w:rFonts w:ascii="Times New Roman" w:hAnsi="Times New Roman"/>
          <w:sz w:val="20"/>
        </w:rPr>
      </w:pPr>
      <w:r>
        <w:rPr>
          <w:rFonts w:ascii="Times New Roman" w:hAnsi="Times New Roman"/>
          <w:sz w:val="20"/>
        </w:rPr>
        <w:t xml:space="preserve">Effective internal control over financial reporting is necessary for AVROBIO to provide reliable financial reports and, together with adequate disclosure controls and procedures, are designed to prevent fraud. Any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implement required new or improved controls, or difficulties encountered in their implementation could cause AVROBIO to fail to meet AVROBIO’s reporting obligations. In addition, any testing by AVROBIO conducted in connection with Section 404, or any subsequent testing by AVROBIO’s independent registered public accounting firm, may reveal deficiencies in AVROBIO’s internal control over financial reporting that are deemed to be material weaknesses or that may require prospective or retroactive changes to AVROBIO’s financial statements, or may identify other areas for further attention or improvement. Inferior internal controls could also cause investors to lose confidence in AVROBIO’s reported financial information, which could have a negative effect on the trading price of AVROBIO’s stock. </w:t>
      </w:r>
    </w:p>
    <w:p>
      <w:pPr>
        <w:pStyle w:val="TextBody"/>
        <w:bidi w:val="0"/>
        <w:spacing w:before="240" w:after="0"/>
        <w:jc w:val="left"/>
        <w:rPr>
          <w:rFonts w:ascii="Times New Roman" w:hAnsi="Times New Roman"/>
          <w:sz w:val="20"/>
        </w:rPr>
      </w:pPr>
      <w:r>
        <w:rPr>
          <w:rFonts w:ascii="Times New Roman" w:hAnsi="Times New Roman"/>
          <w:sz w:val="20"/>
        </w:rPr>
        <w:t xml:space="preserve">AVROBIO is required to disclose changes made in AVROBIO’s internal controls and procedures on a quarterly basis and AVROBIO’s management is required to assess the effectiveness of these controls annually. However, for as long as AVROBIO is a smaller reporting company, AVROBIO’s independent registered public accounting firm will not be required to attest to the effectiveness of AVROBIO’s internal control over financial reporting pursuant to Section 404. AVROBIO will qualify as a smaller reporting company if the market value of AVROBIO’s common stock held by non-affiliates is below $250 million (or $700 million if AVROBIO’s annual revenue is less than $100 million) as of June 30 in any given year. An independent assessment of the effectiveness of AVROBIO’s internal control over financial reporting could detect problems that AVROBIO’s management’s assessment might not. Undetected material weaknesses in AVROBIO’s internal control over financial reporting could lead to financial statement restatements and require AVROBIO to incur the expense of remediation.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AVROBIO experiences material weaknesses or deficiencies in the future, or otherwise fails to establish and maintain effective internal controls, AVROBIO may be unable to produce timely and accurate financial statements, and AVROBIO may conclude that its internal control over financial reporting is not effective, which could adversely impact AVROBIO’s investors’ confidence and AVROBIO’s stock price. </w:t>
      </w:r>
    </w:p>
    <w:p>
      <w:pPr>
        <w:pStyle w:val="TextBody"/>
        <w:bidi w:val="0"/>
        <w:spacing w:before="120" w:after="0"/>
        <w:jc w:val="left"/>
        <w:rPr>
          <w:rFonts w:ascii="Times New Roman" w:hAnsi="Times New Roman"/>
          <w:sz w:val="20"/>
        </w:rPr>
      </w:pPr>
      <w:r>
        <w:rPr>
          <w:rFonts w:ascii="Times New Roman" w:hAnsi="Times New Roman"/>
          <w:sz w:val="20"/>
        </w:rPr>
        <w:t xml:space="preserve">AVROBIO expects to continue AVROBIO’s efforts to improve AVROBIO’s control processes, though there can be no assurance that AVROBIO’s efforts will ultimately be successful or avoid potential material weaknesses, and AVROBIO expects to continue incurring additional costs as a result of these efforts. If AVROBIO is unable to successfully remediate any material weaknesses in AVROBIO’s internal control over financial reporting, the accuracy and timing of AVROBIO’s financial reporting may be adversely affected, AVROBIO may be unable to maintain compliance with securities law requirements regarding timely filing of periodic reports in addition to applicable stock exchange listing requirements, investors may lose confidence in AVROBIO’s financial reporting, and AVROBIO’s stock price may decline as a result. AVROBIO also could become subject to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AVROBIO’s disclosure controls and procedures are designed to reasonably assure that information required to be disclosed by AVROBIO in reports AVROBIO files or submits under the Exchange Act is accumulated and communicated to management, recorded, processed, summarized and reported within the time periods specified in the rules and forms of the SEC. AVROBIO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AVROBIO’s control system, misstatements or insufficient disclosures due to error or fraud may occur and not be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 does not intend to pay dividends on AVROBIO common stock, so any returns will be limited to the value of AVROBIO’s stock. </w:t>
      </w:r>
    </w:p>
    <w:p>
      <w:pPr>
        <w:pStyle w:val="TextBody"/>
        <w:bidi w:val="0"/>
        <w:spacing w:before="120" w:after="0"/>
        <w:jc w:val="left"/>
        <w:rPr>
          <w:rFonts w:ascii="Times New Roman" w:hAnsi="Times New Roman"/>
          <w:sz w:val="20"/>
        </w:rPr>
      </w:pPr>
      <w:r>
        <w:rPr>
          <w:rFonts w:ascii="Times New Roman" w:hAnsi="Times New Roman"/>
          <w:sz w:val="20"/>
        </w:rPr>
        <w:t xml:space="preserve">AVROBIO has never declared or paid any cash dividends on AVROBIO common stock. AVROBIO currently anticipates that AVROBIO will retain future earnings for the development, operation and expansion of AVROBIO’s business and do not anticipate declaring or paying any cash dividends for the foreseeable future. Any return to stockholders will therefore be limited to the appreciation of their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AVROBIO’s charter and bylaws, as well as provisions of Delaware law, could make it more difficult for a third party to acquire AVROBIO or increase the cost of acquiring AVROBIO, even if doing so would benefit AVROBIO stockholders or remove AVROBIO’s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and bylaws and Delaware law contain provisions that may have the effect of delaying or preventing a change in control of AVROBIO or changes in AVROBIO’s management. AVROBIO’s charter and bylaws, include provisions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AVROBIO Board without stockholder approval and may contain voting, liquidation, dividend and other rights superior to AVROBIO common stock;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AVROBIO stockholders can be called only by the AVROBIO Board, the chairperson of the AVROBIO Board, AVROBIO’s Chief Executive Officer or AVROBIO’s President;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AVROBIO stockholders, including proposed nominations of persons for election to the AVROBIO Board;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110"/>
        <w:gridCol w:w="60"/>
        <w:gridCol w:w="5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AVROBIO’s directors may be removed only for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AVROBIO Board may be filled only by a majority of directors then in office, even though less than a quorum;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AVROBIO Board to modify, alter or repeal AVROBIO’s amended and restated by-laws;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AVROBIO common stock to amend specified provisions of AVROBIO’s charter and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AVROBIO’s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AVROBIO is incorporated in Delaware, AVROBIO is governed by the provisions of Section 203 of the DGCL, which limits the ability of stockholders owning in excess of 15% of AVROBIO’s outstanding voting stock to merge or combine with AVROBIO.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AVROBIO’s amended and restated certificate of incorporation or amended and restated by-laws or Delaware law that has the effect of delaying or deterring a change in control could limit the opportunity for AVROBIO stockholders to receive a premium for their shares of AVROBIO common stock, and could also affect the price that some investors are willing to pay for AVROBIO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AVROBIO’s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AVROBIO’s amended and restated bylaws provide that, unless AVROBIO consents in writing to an alternative forum, the Court of Chancery of the State of Delaware will be the sole and exclusive forum for any state law claim for (1) any derivative action or proceeding brought on AVROBIO’s behalf; (2) any action asserting a claim of breach of or based on a fiduciary duty owed by any of AVROBIO’s current or former directors, officers or other employees to AVROBIO or AVROBIO stockholders; (3) any action asserting a claim against AVROBIO or any of AVROBIO’s current or former directors, officers, employees or stockholders arising pursuant to any provision of the DGCL, AVROBIO’s amended and restated certificate of incorporation or AVROBIO’s amended and restated bylaws; or (4) any action asserting a claim governed by the internal affairs doctrine, or the Delaware Forum Provision. The Delaware Forum Provision will not apply to any causes of action arising under the Securities Act or the Exchange Act. AVROBIO’s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AVROBIO’s principal executive offices are located in Cambridge, Massachusetts. In addition, AVROBIO’s amended and restated bylaws provide that any person or entity purchasing or otherwise acquiring any interest in shares of AVROBIO’s capital stock is deemed to have notice of and consented to the foregoing Delaware Forum Provision and the Federal Forum Provision; provided, however, that stockholders cannot and will not be deemed to have waived AVROBIO’s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AVROBIO recognizes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AVROBIO’s amended and restated bylaws may limit AVROBIO stockholders’ ability to bring a claim in a judicial forum that they find favorable for disputes with AVROBIO or AVROBIO’s directors, officers or employees, which may discourage such lawsuits against AVROBIO and AVROBIO’s directors, officers and employees even though an action, if successful, might benefit AVROBIO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AVROBIO’s Federal Forum Provision. The Federal Forum Provision may also impose additional litigation costs on stockholders who assert the provision is unenforceable, and if the Federal Forum Provision is found to be unenforceable, AVROBIO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AVROBIO than AVROBIO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AVROBIO’s failure to meet Nasdaq’s continued listing requirements could result in a delisting of AVROBIO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AVROBIO fails to satisfy the continued listing requirements of Nasdaq, such as the corporate governance requirements or the requirement to maintain a minimum bid price of $1.00 per share pursuant to Nasdaq Listing Rule 5450(a)(1) (the “Minimum Bid Price Requirement”) Nasdaq may take steps to delist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October 4, 2022, AVROBIO received a written notice from the staff (the “Staff”) of Nasdaq’s Listing Qualifications Department, notifying AVROBIO that, for the 30 consecutive business day period between August 22, 2022 through October 3, 2022, AVROBIO common stock had not complied with the Minimum Bid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Requirement. On February 23, 2023, AVROBIO received a written notice from the Staff notifying AVROBIO that for 10 consecutive business days, from February 8, 2023 to February 22, 2023, the closing bid price of AVROBIO common stock was at $1.00 per share or greater, and accordingly, the Staff advised AVROBIO that AVROBIO had regained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On May 11, 2023, AVROBIO received a written notice from the Staff notifying AVROBIO that, for the 30 consecutive business day period between March 29, 2023 through May 10, 2023, AVROBIO common stock had not complied with the Minimum Bid Price Requirement. On June 12, 2023, AVROBIO received a written notice from the Staff notifying AVROBIO that for 14 consecutive business days, from May 22, 2023 to June 9, 2023, the closing bid price of AVROBIO common stock was at $1.00 per share or greater, and accordingly, the Staff advised AVROBIO that AVROBIO had regained 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While AVROBIO has regained compliance with the Minimum Bid Price Requirement as of the date hereof, AVROBIO can provide no assurance that AVROBIO will continue to remain in compliance with the Minimum Bid Price Requirement. If AVROBIO is unable to maintain compliance with any of Nasdaq’s continued listing requirements in the future, AVROBIO may be subject to delisting. At that time, AVROBIO may appeal the Staff’s delisting determination to a Nasdaq Hearing Panel. There can be no assurance that, if AVROBIO receives a delisting notice and appeal the delisting determination by the Staff to the Nasdaq Hearing Panel, such appeal would be successful. </w:t>
      </w:r>
    </w:p>
    <w:p>
      <w:pPr>
        <w:pStyle w:val="TextBody"/>
        <w:bidi w:val="0"/>
        <w:spacing w:before="240" w:after="0"/>
        <w:jc w:val="left"/>
        <w:rPr>
          <w:rFonts w:ascii="Times New Roman" w:hAnsi="Times New Roman"/>
          <w:sz w:val="20"/>
        </w:rPr>
      </w:pPr>
      <w:r>
        <w:rPr>
          <w:rFonts w:ascii="Times New Roman" w:hAnsi="Times New Roman"/>
          <w:sz w:val="20"/>
        </w:rPr>
        <w:t xml:space="preserve">Such a delisting would likely have a negative effect on the price of AVROBIO common stock and would impair your ability to sell or purchase AVROBIO common stock when you wish to do so. Any such delisting could also adversely impact AVROBIO’s ability to raise additional capital or enter into strategic transactions. Additionally, if AVROBIO common stock is not listed on, or becomes delisted from, Nasdaq for any reason, trading AVROBIO common stock could be conducted only in the over-the-counter (“OTC”) market or on an electronic bulletin board established for unlisted securities such as the OTC Bulletin Board, an inter-dealer automated quotation system for equity securities that is not a national securities exchange, and the liquidity and price of AVROBIO common stock may be more limited than if AVROBIO was quoted or listed on Nasdaq or another national securities exchange. In such circumstances, you may be unable to sell your common stock unless a market can be established or sustained. </w:t>
      </w:r>
    </w:p>
    <w:p>
      <w:pPr>
        <w:pStyle w:val="TextBody"/>
        <w:bidi w:val="0"/>
        <w:spacing w:before="360" w:after="0"/>
        <w:jc w:val="left"/>
        <w:rPr>
          <w:rFonts w:ascii="Times New Roman" w:hAnsi="Times New Roman"/>
          <w:b/>
          <w:sz w:val="20"/>
        </w:rPr>
      </w:pPr>
      <w:bookmarkStart w:id="35" w:name="toc770053_33"/>
      <w:bookmarkEnd w:id="35"/>
      <w:r>
        <w:rPr>
          <w:rFonts w:ascii="Times New Roman" w:hAnsi="Times New Roman"/>
          <w:b/>
          <w:sz w:val="20"/>
        </w:rPr>
        <w:t xml:space="preserve">Risks Related to Tectonic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Tectonic’s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has a limited operating history and has incurred net losses in every year since its inception. Tectonic expects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Tectonic is a clinical-stage biotechnology company with a limited operating history. Since its inception in 2019, Tectonic has invested most of its resources in organizing and staffing its company, developing its technology and product candidates, building its intellectual property portfolio, conducting business planning, raising capital and providing general and administrative support for these operations. Consequently, Tectonic has no meaningful operations upon which to evaluate its business and predictions about Tectonic’s future success or viability may not be as accurate as they could be if Tectonic had a longer operating history or a history of successfully developing and commercializing drug products. Tectonic continues to incur significant research and development and other expenses related to its ongoing operations. As a result, Tectonic is not profitable and has incurred losses in each period since its inception. For the fiscal years ended December 31, 2023 and 2022, Tectonic reported a net loss of $42.8 million and $32.2 million, respectively. As of December 31, 2023, Tectonic had an accumulated deficit of $90.6 million. Tectonic expects to continue to incur significant losses for the foreseeable future, and expects these losses to increase as Tectonic continues its research and development of, and seek regulatory approvals for, its lead product candidate, TX45, along with any future product candidates it may develop.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anticipates that its expenses will increase substantially if, and as, Tectonic: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the research and development of its clinical- and preclinical-stage product candidates and discovery-stage programs, including the continued development of its lead product candidate TX45;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increases the amount of research and development activities to identify and develop product candidates using its proprietary discovery approach;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makes milestone, royalty or other payments under in-license or collaboration agreements;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and protects its intellectual property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its operational, financial and management systems and increases personnel, including personnel to support its clinical development, manufacturing and commercialization efforts and its operations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medical affairs and distribution infrastructure to commercialize any products for which Tectonic may obtain marketing approval and intends to commercialize on its own or jointly with third parties;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invests in or in-license other technologies;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experiences any delays or encounter any issues with any of the above, including but not limited to failed studies, complex results, manufacturing challenges, safety issues or other regulatory challenges.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Tectonic, its collaborators and any potential future collaborators must develop and eventually commercialize products with significant market potential. This will require Tectonic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Tectonic may obtain marketing approval and satisfying any post-marketing requirements. Tectonic may never succeed in any or all of these activities and, even if it does, it may never generate revenue that is significant or large enough to achieve profitability. If Tectonic does achieve profitability, it may not be able to sustain or increase profitability on a quarterly or annual basis. Tectonic’s failure to become and remain profitable would decrease the value of the company and could impair its ability to raise capital, maintain its research and development efforts, expand its business or continue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Tectonic succeeds in commercializing one or more of its product candidates, Tectonic will continue to incur substantial research and development and other expenditures to develop and market additional product candidates. Tectonic may encounter unforeseen expenses, difficulties, complications, delays and other unknown factors that may adversely affect its business. The size of Tectonic’s future net losses will depend, in part, on the rate of future growth of its expenses and its ability to generate revenue. Tectonic’s prior losses and expected future losses have had and will continue to have an adverse effect on its stockholders’ equity and working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will need substantial additional funding in order to complete the development and commence commercialization of its product candidates. Failure to obtain this necessary capital when needed may force Tectonic to delay, reduce or eliminate certain of its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Tectonic has funded its operations primarily with proceeds from the sale of Series A convertible preferred stock, convertible promissory notes and the issuance of SAFEs. Tectonic expects its expenses to increase in connection with its ongoing activities, particularly as Tectonic completes the Phase 1 clinical trial of TX45, initiates the Phase 2 clinical trials of TX45, and continues to research, develop and initiate clinical trials of any other future product candidates. In addition, if Tectonic successfully completes development through Phase 3 and obtains regulatory approval for any of its product candidates, Tectonic expects to incur significant commercialization expenses related to product manufacturing, marketing, sales and distribution. Accordingly, Tectonic will need to obtain substantial additional funding in connection with its continuing operations.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is unable to raise capital when needed or on attractive terms, Tectonic could be forced to delay, reduce or eliminate its product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that its existing cash and cash equivalents upon completion of the merger and Tectonic’s private financings will enable it to fund its operating expenses and capital expenditure requirements into mid-2027. Tectonic has based this estimate on assumptions that may prove to be wrong, and Tectonic could use its capital resources sooner than it currently expects. Tectonic’s future capital requirements for TX45 or its preclinical programs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its current or any future product candidates, as well as the associated costs, including any unforeseen costs Tectonic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Tectonic is required to make or is eligible to receive under its license agreements with President and Fellows of Harvard College (“Harvard”) and other license agreements, as applicable;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Tectonic identifies and decides to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Tectonic plans to conduct with respect to its current and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its current or any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Tectonic’s existing license and collaboration agreements and the entry into new license and collaboration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its product candidates and any delays Tectonic may encounter as a result of evolving regulatory requirements or adverse results with respect to any of its product candidates;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Tectonic may receive regulatory approval in regions where Tectonic chooses to commercialize its products on its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Tectonic may derive either directly or in the form of royalty payments from future sales of its product candidates, if approved; and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 does not have any committed external source of funds or other support for its development efforts and Tectonic cannot be certain that additional funding will be available on acceptable terms, or at all. Until Tectonic can generate sufficient product or royalty revenue to finance its cash requirements, which it may never do, Tectonic expects to finance its future cash needs through a combination of public or private equity offerings, debt financings, collaborations, strategic alliances, licensing arrangements and other marketing or distribution arrangements.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raise additional funds will depend on financial, economic and market conditions and other factors, over which it may have no or limited control. Market volatility resulting from geopolitical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economic instability, including the conflicts between Russia and Ukraine and Israel and Hamas or other factors could also adversely impact its ability to access capital as and when needed. If adequate funds are not available on commercially acceptable terms when needed, Tectonic may be forced to delay, reduce or terminate the development or commercialization of all or part of its research programs or product candidates or Tectonic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recurring losses from operations and financial conditions raise substantial doubt about its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Tectonic’s recurring losses from operations and financial condition raise substantial doubt about its ability to continue as a going concern. In Tectonic’s financial statements for the year ended December 31, 2023, Tectonic concluded that its recurring losses from operations and need for additional financing to fund future operations raise substantial doubt about Tectonic’s ability to continue as a going concern. Similarly, Tectonic’s independent registered public accounting firm included an explanatory paragraph in its report on Tectonic’s financial statements for the year ended December 31, 2023 with respect to this uncertainty. Tectonic’s ability to continue as a going concern will require it to obtain additional funding. If Tectonic is unable to obtain sufficient funding, its business, prospects, financial condition and results of operations will be materially and adversely affected, and Tectonic may be unable to continue as a going concern. If Tectonic is unable to raise capital when needed or on acceptable terms, it would be forced to delay, limit, reduce or terminate its product development or future commercialization efforts of one or more of its product candidates, or may be forced to reduce or terminate its operations. If Tectonic is unable to continue as a going concern, Tectonic may have to liquidate its assets and may receive less than the value at which those assets are carried on its audited financial statements, and it is likely that investors will lose all or part of their investment. After the closing of the merger, in the combined company’s own required quarterly assessment, the combined company may again conclude that there is substantial doubt about its ability to continue as a going concern, and future reports from its independent registered public accounting firm may also contain statements expressing substantial doubt about its ability to continue as a going concern. Even if the reverse merger and the private financing close, the combined company may still need to seek additional funding. If the combined company seeks additional financing to fund its business activities in the future and there remains substantial doubt about its ability to continue as a going concern, investors and other financing sources may be unwilling to provide additional funding to it on commercially reasonable terms,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Tectonic’s stockholders, restrict its operations, or require Tectonic to relinquish rights to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Tectonic can generate substantial product revenue, Tectonic expects to finance its cash needs through equity or debt financings, third-party funding, marketing, and distribution arrangements, as well as other collaborations, strategic alliances and licensing arrangements, or any combination of these approaches. Tectonic does not have any committed external source of funds. To the extent that Tectonic raises additional capital through the sale of equity or convertible debt securities, the ownership interest of current Tectonic stockholders will be diluted, and the terms of these securities may include liquidation or other preferences. Debt and equity financings, if available, may involve agreements that include covenants limiting or restricting Tectonic’s ability to take specific actions, such as redeeming shares, making investments, incurring additional debt, making capital expenditures, declaring dividends or placing limitations on Tectonic’s ability to acquire, sell or license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If Tectonic raises additional capital through future collaborations, strategic alliances, or third-party licensing arrangements, it may have to relinquish certain valuable rights to its intellectual property, future revenue streams, research programs or product candidates, or grant licenses on terms that may not be favorable to Tectonic. If Tectonic is unable to raise additional capital when needed, it may be required to delay, limit, reduce or terminate its clinical development or future commercialization efforts, or grant rights to develop and market product candidates that Tectonic would otherwise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Discovery, Development and Regulatory Approval of Tectonic’s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has limited experience in therapeutic discovery and development and its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the Tectonic management team in drug discovery and development, Tectonic is still a relatively young organization that has not yet completed the full cycle of activites from discovery through regulatory approval for any of its portfolio projects. Its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is very early in its development efforts. If Tectonic is unable to advance TX45 or any of Tectonic’s other product candidates through clinical development, obtain regulatory approval and ultimately commercialize TX45 or any of Tectonic’s other product candidates, or experience significant delays in doing so, Tectonic’s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Tectonic has no products approved for sale and its lead product candidate, TX45, will require clinical development, regulatory review and approval in each jurisdiction in which Tectonic intends to market it, access to sufficient commercial manufacturing capacity, and significant sales and marketing efforts before Tectonic can generate any revenue from product sales. </w:t>
      </w:r>
    </w:p>
    <w:p>
      <w:pPr>
        <w:pStyle w:val="TextBody"/>
        <w:bidi w:val="0"/>
        <w:spacing w:before="240" w:after="0"/>
        <w:jc w:val="left"/>
        <w:rPr>
          <w:rFonts w:ascii="Times New Roman" w:hAnsi="Times New Roman"/>
          <w:sz w:val="20"/>
        </w:rPr>
      </w:pPr>
      <w:r>
        <w:rPr>
          <w:rFonts w:ascii="Times New Roman" w:hAnsi="Times New Roman"/>
          <w:sz w:val="20"/>
        </w:rPr>
        <w:t xml:space="preserve">Before obtaining marketing approval from regulatory authorities for the sale of its product candidates, Tectonic must conduct extensive clinical trials to demonstrate the safety and efficacy of the product candidates in humans. Tectonic is early in its product candidate development efforts, as TX45 is still in Phase 1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generate product revenues, which it does not expect will occur in the foreseeable future, if ever, will depend heavily on the successful development and eventual commercialization of TX45 and any future product candidates Tectonic develops, which may never occur. TX45 and any future product candidates Tectonic develops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Tectonic generates any revenues from product sales. The success of Tectonic’s current and future product candidates will depend on several factors,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Tectonic’s financial and other resources to complete the necessary preclinical studies and clinical trials;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Tectonic’s planned clinical trials or future clinical trials;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its product candidates from applicable regulatory authorities;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Tectonic’s clinical trials and commercial manufacturing, if any of its product candidates are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its product candidates, both in the United States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its product candidates,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of its product candidates’ benefits and uses, if approved, by patients, the medical community and third-party payors;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its product candidates following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its product candidates target;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 is not successful with respect to one or more of these factors in a timely manner or at all, it could experience significant delays or an inability to successfully commercialize TX45 or any future product candidates it develops, which would materially harm Tectonic’s business. If Tectonic does not receive marketing approvals for its current and future product candidates, Tectonic may not be able to continue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Tectonic’s product candidates are in discovery, preclinical or early clinical development. Clinical trials are difficult to design and implement, and they involve a lengthy and expensive process with uncertain outcomes. Tectonic may experience delays in completing, or ultimately be unable to complete, the development and commercialization of TX45 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Tectonic’s future clinical trial results may not be successful. Tectonic cannot guarantee that any of its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To date, Tectonic has not completed any clinical trials required for the approval of any of its product candidates. Although Tectonic has recently commenced its Phase 1a clinical trial of TX45, in healthy volunteers, Tectonic may experience delays in its ongoing clinical trials or preclinical studies and Tectonic does not know whether planned clinical trials will begin on time, need to be redesigned, enroll patients on time, have sufficient drug supply for its product candidates on a timely basis or be completed on schedule, if at all. A failure of one or more clinical trials can occur at any stage of testing, and Tectonic’s ongoing and future clinical trials may not be successful. Tectonic also may experience numerous unforeseen events during its clinical trials that could delay or prevent its ability to receive marketing approval or commercialize TX45 or any future product candidates, including: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its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contract research organizations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its product candidates for use in clinical trials in a timely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Tectonic or its collaborators, as applicable, to suspend or terminate a trial if Tectonic or its collaborators find that the participants are being exposed to unacceptable health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of its third-party research contractors to comply with regulatory requirements or meet their contractual obligations to Tectonic in a timely manner, or at all;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its product candidates falling below acceptable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Tectonic could also encounter delays if a clinical trial is suspended or terminated by it,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its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Tectonic’s product candidates. Further, the FDA or comparable foreign regulatory authorities may disagree with Tectonic’s clinical trial design and its interpretation of data from clinical trials, or may change the requirements for approval even after they have reviewed and commented on the design for Tectonic’s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development costs will increase if it experiences delays in clinical testing or marketing approvals. Tectonic does not know whether any of its clinical trials will begin as planned, will need to be restructured or will be completed on schedule, or at all. Significant clinical trial delays also could shorten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periods during which Tectonic may have the exclusive right to commercialize its product candidates and may allow its competitors to bring products to market before Tectonic does, potentially impairing its ability to successfully commercialize its product candidates and harming Tectonic’s business and results of operations. Any delays in Tectonic’s clinical development programs may harm its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clinical trials may fail to demonstrate substantial evidence of the safety, efficacy, purity and potency of its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Tectonic’s product candidates, including TX45 and any other future product candidates, Tectonic must demonstrate through extensive preclinical studies and clinical trials that its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Tectonic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Tectonic, its collaborators or its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that Tectonic conducts may not demonstrate the efficacy and safety necessary to obtain regulatory approval to market its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Tectonic’s ongoing or future clinical trials are inconclusive with respect to the efficacy of its product candidates, if Tectonic does not meet the clinical endpoints with statistical and clinically meaningful significance, or if there are safety concerns associated with its product candidates, Tectonic may be delayed in obtaining marketing approval, if at all. Additionally, any safety concerns observed in any one of Tectonic’s clinical trials in its targeted indications could limit the prospects for regulatory approval of its product candidates in those and other indications.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Tectonic cannot guarantee that the FDA or comparable foreign regulatory authorities will interpret the results as Tectonic does or find a risk-benefit ratio for a proposed indication acceptable, and more trials could be required before Tectonic submits its product candidates for approval. Tectonic cannot guarantee that the FDA or comparable foreign regulatory authorities will view its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Tectonic may be required to expend significant additional resources, which may not be available to it, to conduct additional trials in support of potential approval of its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results of preclinical studies and early-stage clinical trials of Tectonic’s product candidates may not be predictive of the results of later-stage clinical trials. Initial success in Tectonic’s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Tectonic’s clinical trials will ultimately be successful or support further clinical development of any of its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Tectonic cannot be certain that it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Tectonic’s clinical development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product candidates may be associated with serious adverse, undesirable or unacceptable side effects or other properties or safety risks, which may delay or halt their clinical development, or prevent marketing approval. If such side effects are identified during the development of its product candidates or following approval, Tectonic may suspend or abandon its development of such product candidates, the commercial profile of any approved label may be limited, or Tectonic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Tectonic’s product candidates could cause Tectonic or regulatory authorities to interrupt, delay or halt clinical trials and could result in a more restrictive label or the delay or denial of regulatory approval by the FDA or comparable foreign regulatory authorities. While Tectonic’s lead product candidate, TX45, has generally been well tolerated in its preclinical studies and the Phase 1 healthy volunteer trials to date, the results from future preclinical studies and clinical trials, including of Tectonic’s other product candidates, may identify safety concerns or other undesirable properties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Tectonic’s ongoing Phase 1 clinical trial of TX45, its planned Phase 2 clinical trials of TX45, and future clinical trials of these and other product candidates may show that its product candidates cause undesirable or unacceptable side effects or even death. In such an event, Tectonic’s trials could be suspended or terminated and the FDA or comparable foreign regulatory authorities could order it to cease further development of or deny approval of its product candidates for any or all targeted indications. The drug-related side effects could affect patient recruitment or the ability of enrolled patients to complete the trial or result in potential product liability claims. Any of these occurrences may harm Tectonic’s business,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Moreover, if Tectonic’s product candidates are associated with undesirable side effects in preclinical studies or clinical trials or have characteristics that are unexpected, it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Tectonic’s clinical trials or to change the requirements for approval of any of its product candidates. For example, immunogenicity is a concern for all protein therapeutics in human clinical trials, and immunogenic reactions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in Tectonic’s trials may lead to adverse effects and/or impact exposure, which in turn may lead to protocol amendments, clinical holds, or other actions that delay or significantly impact the prospects for Tectonic’s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of Tectonic’s product candidates receives marketing approval and Tectonic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Tectonic to take such approved product off the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Tectonic implements a risk evaluation and mitigation strategy (“REMS”) plan to ensure that the benefits of the product outweigh its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subject to limitations on how it may promote the product;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subject to litigation or product liability claims; and </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10"/>
        <w:gridCol w:w="60"/>
        <w:gridCol w:w="2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Tectonic, its collaborators or its potential future partners from achieving or maintaining market acceptance of the affected product or could substantially increase commercialization costs and expenses, which in turn could delay or prevent Tectonic from generating significant revenue from the sale of its product candidates,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find it difficult to enroll patients in its clinical trials, which could delay or prevent Tectonic from proceeding with, or otherwise adversely affect, clinical trials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Tectonic’s product candidates is critical to its success. The timely completion of Tectonic’s clinical trials in accordance with their protocols depends, among other things, on its ability to recruit a sufficient number of eligible patients to participate and remain in the trial until its conclusion. Patients may be unwilling to participate in Tectonic’s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Tectonic’s product candidates, delays in testing the effectiveness of Tectonic’s product candidates or termination of the clinical trials altogether. Tectonic may not be able to identify, recruit and enroll a sufficient number of patients, or those with the required or desired characteristics, to complete its clinical trials in a timely manner. Patient enrollment and trial completion is affected by many factors, including the: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of one of Tectonic’s expected trial sites in Moldova for the Phase 1b trial and its proximity to the conflict between Russia and the Ukraine;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Tectonic’s approach;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Tectonic’s patient eligibility criteria;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110"/>
        <w:gridCol w:w="60"/>
        <w:gridCol w:w="5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Tectonic’s clinical trials will compete with other clinical trials for product candidates that are in the same therapeutic areas as its product candidates, and this competition will reduce the number and types of patients available to Tectonic, because some patients who might have opted to enroll in its trials may instead opt to enroll in a trial being conducted by one of its competitors. Since the number of qualified clinical investigators is limited, Tectonic expects to conduct some of its clinical trials at the same clinical trial sites that some of its competitors use, which will reduce the number of patients who are available for its clinical trials in such clinical trial site.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its future clinical trials, which could prevent completion of these trials and adversely affect Tectonic’s ability to advance the development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Tectonic’s clinical trials that Tectonic announces or publishes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Tectonic may publish interim, topline or preliminary data from its clinical trials. Preliminary and interim data from its clinical trials may change as more patient data become available. Preliminary or interim data from its clinical trials are not necessarily predictive of final results. Preliminary and interim data are subject to the risk that one or more of the clinical outcomes may materially change as patient enrollment continues, more patient data become available and Tectonic issues its final clinical trial report. Interim, topline and preliminary data also remain subject to audit and verification procedures that may result in the final data being materially different from the preliminary data Tectonic previously published. As a result, preliminary, topline and interim data should be viewed with caution until the final data are available. Material adverse changes in the final data compared to the interim data could significantly harm Tectonic’s business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Tectonic’s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Tectonic chooses to publicly disclose regarding a particular preclinical study or clinical trial is based on what is typically extensive information, and you or others may not agree with what Tectonic determines is the material or otherwise appropriate information to include in its disclosure, and any information Tectonic determines not to disclose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ultimately be deemed significant with respect to future decisions, conclusions, views, activities or otherwise regarding a particular product, if any, product candidate or its business. If the preliminary and interim data that Tectonic reports differ from actual results, or if others, including regulatory authorities, disagree with the conclusions reached, Tectonic’s ability to obtain approval for, and commercialize, its product candidates may be harmed, which could harm its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Tectonic’s preclinical programs may experience delays or may never advance to clinical trials, which would adversely affect its ability to obtain regulatory approvals or commercialize these programs on a timely basis or at all, which would have an adverse effect on Tectonic’s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Tectonic can commence clinical trials for any product candidate, it must complete extensive preclinical studies that support any future Investigational New Drug (“IND”) applications in the United States, or similar applications in other jurisdictions. Tectonic has not interacted with or submitted any IND to the FDA and all of its clinical trials have, to date, been conducted in Australia. Conducting preclinical testing is a lengthy, time-consuming and expensive process and delays associated with product candidates for which Tectonic is directly conducting preclinical testing and studies may cause it to incur additional operating expenses. While Tectonic is currently conducting a Phase 1 clinical trial for TX45, and plans to initially conduct Phase 2 clinical trials for TX45, including some trials which may be outside of the United States, it cannot be certain of the timely completion or outcome of its preclinical testing and studies for its other product candidates and cannot predict if the FDA will accept Tectonic’s proposed clinical programs or if the outcome of its preclinical testing and foreign clinical trials will ultimately support the further development of its other product candidates. As a result, Tectonic cannot be sure that it will be able to submit INDs or similar applications for its preclinical programs on the timelines Tectonic expect, if at all, and Tectonic cannot be sure that submission of INDs or similar applications will result in the FDA or comparable foreign regulatory authorities allowing clinical trials to begin.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Tectonic is ultimately unable to obtain regulatory approval for its product candidates, its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Tectonic has not obtained regulatory approval for any product candidate and it is possible that none of its existing product candidates or any product candidates Tectonic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candidates could fail to receive regulatory approval for many reasons, including the following: </w:t>
      </w:r>
    </w:p>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its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Tectonic seeks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be unable to demonstrate that a product candidate’s clinical and other benefits outweigh its safety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its interpretation of data from preclinical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Tectonic currently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Tectonic’s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Tectonic contracts for clinical and commercial supplies;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Tectonic’s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Tectonic’s failing to obtain regulatory approval to market any of its product candidates, which would significantly harm Tectonic’s business, financial condition and results of operations. The FDA and comparable foreign regulatory authorities have substantial discretion in the approval process, and determining when or whether regulatory approval will be obtained for any of its product candidates. Even if Tectonic believes the data collected from clinical trials of its product candidates are promising, such data may not be sufficient to support approval by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Tectonic were to obtain approval, regulatory authorities may approve any of its product candidates for fewer or more limited indications than Tectonic requests, may not approve the price Tectonic intends to charge for its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Tectonic’s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Tectonic is presently conducting clinical development solely in Australia and will likely choose to conduct additional international clinical trials in the future. Tectonic has not interacted with or submitted any IND to the FDA.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Tectonic’s business plan, and which may result in its product candidates not receiving approval for commercialization in the applicable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Tectonic receives regulatory approval of a product candidate, Tectonic will be subject to ongoing regulatory obligations and continued regulatory review, which may result in significant additional expense and Tectonic may be subject to penalties if it fails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Tectonic’s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Tectonic will be subject to continued compliance with current Good Manufacturing Practices (“cGMPs”) and GCP requirements for any clinical trials that it conducts post-approval.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Tectonic and its contract manufacturers will be subject to continual review and inspections to assess compliance with cGMP and adherence to commitments made in any BLA, other marketing application, and previous responses to inspection observations. Accordingly, Tectonic and others with whom it works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Tectonic receives for its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Tectonic’s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Tectonic’s product candidates, Tectonic will have to comply with requirements including submissions of safety and other post-marketing information and reports 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Tectonic’s product candidates, including adverse events of unanticipated severity or frequency, or with its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Tectonic’s products, withdrawal of the product from the market or voluntary or mandatory product recalls;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Tectonic or suspension or revocation of license approvals;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Tectonic’s product candidates;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Tectonic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Tectonic could also be asked to conduct post-marketing clinical trials to verify the safety and efficacy of its products in general or in specific patient subsets. If original marketing approval was obtained via the accelerated approval pathway, Tectonic could be required to conduct a successful post-marketing clinical trial to confirm clinical benefit for its products. An unsuccessful post-marketing study or failure to complete such a study could result in the withdrawal of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Tectonic’s product candidates. Tectonic cannot predict the likelihood, nature or extent of government regulation that may arise from future legislation or administrative action, either in the United States or abroad. If Tectonic is slow or unable to adapt to changes in existing requirements or the adoption of new requirements or policies, or if Tectonic is not able to maintain regulatory compliance, it may lose any marketing approval that Tectonic may have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Tectonic’s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Tectonic is developing TX45 initially for the treatment of Group 2 Pulmonary Hypertension (“PH”), which it anticipates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Tectonic believes that any of its product candidates approved as a biological product under a BLA should qualify for the 12-year period of exclusivity. However, there is a risk that this exclusivity could be shortened due to congressional action or otherwise, or that the FDA will not consider Tectonic’s investigational medicines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Tectonic’s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Tectonic’s products, its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become exposed to costly and damaging liability claims, either when testing its product candidates in the clinic or at the commercial stage, and Tectonic’s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Tectonic is exposed to potential product liability and professional indemnity risks that are inherent in the research, development, manufacturing, marketing and use of biotechnology products. Currently, Tectonic has no products that have been approved for commercial sale; however, the current and future use of product candidates by Tectonic and its collaborators in clinical trials, and the potential sale of any approved products in the future, may expose Tectonic to liability claims. These claims might be made by patients who use the product, healthcare providers, pharmaceutical companies, its collaborators or others selling such products. Any claims against Tectonic, regardless of their merit, could be difficult and costly to defend and could materially adversely affect the market for its product candidates or any prospects for commercialization of its product candidates. Although the clinical trial process is designed to identify and assess potential side effects, it is always possible that a product, even after regulatory approval, may exhibit unforeseen side effects. If any of Tectonic’s product candidates were to cause adverse side effects during clinical trials or after approval of the product candidate, it may be exposed to substantial liabilities. Physicians and patients may not comply with any warnings that identify known potential adverse effects and patients who should not use its product candidates. Regardless of the merits or eventual outcome, liability claims may result in: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Tectonic’s products due to negative public perception;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Tectonic’s reputation;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10"/>
        <w:gridCol w:w="60"/>
        <w:gridCol w:w="7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Tectonic’s resources;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Tectonic’s product candidates, if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Tectonic believes it maintains adequate product liability insurance for its product candidates, it is possible that its liabilities could exceed its insurance coverage. Tectonic intends to expand its insurance coverage to include the sale of commercial products if Tectonic obtains marketing approval for any of its product candidates. However, Tectonic may not be able to maintain insurance coverage at a reasonable cost or obtain insurance coverage that will be adequate to satisfy any liability that may arise. If a successful product liability claim or series of claims is brought against Tectonic for uninsured liabilities or in excess of insured liabilities, its assets may not be sufficient to cover such claims and its business operations could be impaired.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Tectonic’s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Tectonic’s limited resources and access to capital, Tectonic must, and has in the past decided to, prioritize development of certain product candidates over other potential product candidates. These decisions may prove to have been wrong and may adversely affect Tectonic’s ability to develop its own programs, its attractiveness as a commercial partner and may ultimately have an impact on its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Tectonic has limited resources and access to capital to fund its operations, it must decide which product candidates to pursue and the amount of resources to allocate to each. Tectonic’s decisions concerning the allocation of research, collaboration, management and financial resources toward particular proprietary molecules in its library, product candidates or therapeutic areas may not lead to the development of viable commercial products and may divert resources away from better opportunities. Similarly, Tectonic’s decisions to delay, terminate or collaborate with third parties in respect of certain product development programs may also prove not to be optimal and could cause Tectonic to miss valuable opportunities. If Tectonic makes incorrect determinations regarding the market potential of its product candidates or misread trends in the biotechnology industry, in particular for its lead product candidate, TX45, Tectonic’s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seek orphan drug designation for product candidates it develops, and Tectonic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Tectonic’s business strategy, it may seek orphan drug designation for any product candidates it develops, and it may be unsuccessful. While Tectonic has not made a determination regarding whether Tectonic intends to seek orphan drug designation for any of its product candidates at this time, Tectonic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24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Even if Tectonic obtains orphan drug exclusivity for any of its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Tectonic may seek orphan drug designation for applicable indications for its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any future product candidates, Tectonic may never receive such designations. Even if Tectonic does receive such designations, there is no guarantee that Tectonic will enjoy the benefits of those designations.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Commercialization of Tectonic’s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Tectonic is unable to successfully commercialize any product candidate for which Tectonic receives regulatory approval, or experience significant delays in doing so, its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Tectonic is successful in obtaining marketing approval from applicable regulatory authorities for TX45 or any other product candidate, its ability to generate revenues from any such products will depend on its success in: </w:t>
      </w:r>
    </w:p>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Tectonic’s ability to market such products;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Tectonic receives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Tectonic is not able to do any of the foregoing, its business, financial condition, results of operations, stock price and prospects will be materially harmed.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Tectonic faces significant competition from other biotechnology and pharmaceutical companies, and its operating results will suffer if Tectonic fails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Tectonic’s competitors may be able to develop other compounds or drugs that are able to achieve similar or better results. Tectonic’s potential competitors include major multinational pharmaceutical companies, established biotechnology companies, specialty pharmaceutical companies and universities and other research institutions. Many of its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Tectonic’s product candidates are also focused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treating. Established pharmaceutical companies may also invest heavily to accelerate discovery and development of novel therapeutics or to in-license novel therapeutics that could make the product candidates that Tectonic develops obsolete. Mergers and acquisitions in the biotechnology and pharmaceutical industries may result in even more resources being concentrated in Tectonic’s competitors. Competition may increase further as a result of advances in the commercial applicability of technologies and greater availability of capital for investment in these industries. Tectonic’s competitors, either alone or with collaborative partners, may succeed in developing, acquiring or licensing on an exclusive basis drug or biologic products that are more effective, safer, more easily commercialized or less costly than its product candidates or may develop proprietary technologies or secure patent protection that Tectonic may need for the development of its technologies and products. Tectonic believes the key competitive factors that will affect the development and commercial success of its product candidates are efficacy, safety, tolerability, reliability, convenience of use,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Tectonic competes in the segments of the biotechnology, pharmaceutical and other related industries that develop and market therapies for the treatment of Group 2 PH and HHT disorders. Although there are no other companies who have commercialized therapies for the same therapeutic areas that Tectonic’s product candidates target, there are many other companies, including large biotechnology and pharmaceutical companies, that are developing therapies for the same therapeutic areas. For example, AstraZeneca for the treatment of Group 2 PH and Vaderis for the treatment of HHT. Also, treatments that could potentially be of use across all HFpEF patients, such as are currently being developed by Lilly and others, could also benefit the Group 2 PH subgroup of the HFpEF population and thus represent competition for Tectonic in this segment as well. </w:t>
      </w:r>
    </w:p>
    <w:p>
      <w:pPr>
        <w:pStyle w:val="TextBody"/>
        <w:bidi w:val="0"/>
        <w:spacing w:before="240" w:after="0"/>
        <w:jc w:val="left"/>
        <w:rPr>
          <w:rFonts w:ascii="Times New Roman" w:hAnsi="Times New Roman"/>
          <w:sz w:val="20"/>
        </w:rPr>
      </w:pPr>
      <w:r>
        <w:rPr>
          <w:rFonts w:ascii="Times New Roman" w:hAnsi="Times New Roman"/>
          <w:sz w:val="20"/>
        </w:rPr>
        <w:t xml:space="preserve">Tectonic anticipates that it will continue to face intense and increasing competition as new treatments enter the market and advanced technologies become available. There can be no assurance that Tectonic’s competitors are not currently developing, or will not in the future develop, products that are equally or more effective or are more economically attractive than any of its current or future product candidates. Competing products may gain faster or greater market acceptance than Tectonic’s products, if any, and medical advances or rapid technological development by competitors may result in its product candidates becoming non-competitive or obsolete before Tectonic is able to recover its research and development and commercialization expenses. If Tectonic or its product candidates do not compete effectively, it may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does not have a sales or marketing infrastructure and has no experience in the sale or marketing of biotechnology products. To achieve commercial success for any approved product, Tectonic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Tectonic may decide to establish its own sales and marketing capabilities and promote its product candidates if and when regulatory approval has been obtained in the United States or in other jurisdictions. There are risks involved if Tectonic decides to establish its own sales and marketing capabilities or enter into arrangements with third parties to perform these services. Even if Tectonic establishes sales and marketing capabilities, Tectonic may fail to launch its products effectively or to market its products effectively since Tectonic has no experience in the sales and marketing of biotechnology products. In addition, recruiting and training a sales force is expensive and time consuming and could delay any product launch. In the event that any such launch is delayed or does not occur for any reason, Tectonic would have prematurely or unnecessarily incurred these commercialization expenses, and its investment would be lost if Tectonic cannot retain or reposition its sales and marketing personnel. Factors that may inhibit Tectonic’s efforts to commercialize its products on its own include: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inability to recruit, train and retain adequate numbers of effective sales and marketing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its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Tectonic at a competitive disadvantage relative to companies with more extensive product lines;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Tectonic.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 enters into arrangements with third parties to perform sales and marketing services, its product revenues or the profitability of these product revenues to Tectonic could be lower than if it were to market and sell any products that it develops itself. Such collaborative arrangements with partners may place the commercialization of Tectonic’s products outside of its control and would make Tectonic subject to a number of risks including that Tectonic may not be able to control the amount or timing of resources that its collaborative partner devotes to Tectonic’s products or that Tectonic’s collaborator’s willingness or ability to complete its obligations, and Tectonic’s obligations under Tectonic’s arrangements may be adversely affected by business combinations or significant changes in Tectonic’s collaborator’s business strategy. In addition, Tectonic may not be successful in entering into arrangements with third parties to sell and market its products or may be unable to do so on terms that are favorable to Tectonic. Acceptable third parties may fail to devote the necessary resources and attention to sell and market Tectonic’s products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Tectonic does not establish sales and marketing capabilities successfully, either on its own or in collaboration with third parties, Tectonic may not be successful in commercializing its products, if any, which in turn would have a material adverse effect on Tectonic’s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 product candidate Tectonic develops receives marketing approval, it may fail to achieve the degree of market acceptance by physicians, patients, third-party payors and others in the medical community necessary for commercial success. The revenues that Tectonic generates from their sales may be limited, and Tectonic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Tectonic has never commercialized a product candidate for any indication. Even if Tectonic’s product candidates are approved by the appropriate regulatory authorities for marketing and sale, they may not gain acceptance among physicians, patients, third-party payors and others in the medical community. If any product candidates for which Tectonic obtains regulatory approval does not gain an adequate level of market acceptance, Tectonic could be prevented from or significantly delayed in achieving profitability. Market acceptance of its product candidates by the medical community, patients and third-party payors will depend on a number of factors, some of which are beyond its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Efforts to educate the medical community and third-party payors on the benefits of its product candidates may require significant resources and may not be successful. If any of Tectonic’s product candidates are approved but do not achieve an adequate level of market acceptance, Tectonic could be prevented from or significantly delayed in achieving profitability. The degree of market acceptance of any product for which Tectonic receives marketing approval will depend on a number of factors, including: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Tectonic’s product candidates are approved;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Tectonic’s product candidates as a safe and effective treatment;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its product candidates over alternative treatments;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110"/>
        <w:gridCol w:w="60"/>
        <w:gridCol w:w="9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Tectonic’s product candidates in relation to other potentially competitive products;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Tectonic’s product candidates in relation to alternative treatments;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Tectonic’s product candidates;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Tectonic’s sales and marketing efforts and distribution support; and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110"/>
        <w:gridCol w:w="60"/>
        <w:gridCol w:w="5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Tectonic’s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Tectonic’s ability to profitably sell any product for which it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Tectonic’s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0"/>
        <w:jc w:val="left"/>
        <w:rPr>
          <w:rFonts w:ascii="Times New Roman" w:hAnsi="Times New Roman"/>
          <w:sz w:val="20"/>
        </w:rPr>
      </w:pPr>
      <w:r>
        <w:rPr>
          <w:rFonts w:ascii="Times New Roman" w:hAnsi="Times New Roman"/>
          <w:sz w:val="20"/>
        </w:rPr>
        <w:t xml:space="preserve">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Tectonic’s interest in pursuing orphan drug designation for its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Tectonic expects that the healthcare reform measures that have been adopted and may be adopted in the future may result in more rigorous coverage criteria and additional downward pressure on the price that it receives for any approved product and could seriously harm its future revenues. Any reduction in reimbursement from Medicare or other government programs may result in a similar reduction in payments from private payors. The implementation of cost containment measures or other healthcare reforms may prevent Tectonic from being able to generate revenue, attain profitability or commercialize its products.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that Tectonic may successfully develop and for which it may obtain regulatory approval and may affect its overall financial condition and ability to develop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Tectonic expects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Tectonic’s products may be subject to favorable pricing and reimbursement status only in certain EU countries. If Tectonic is unable to maintain favorable pricing and reimbursement status in EU member states that represent significant markets, including following periodic review, its anticipated revenue from and growth prospects for its products in the EU could be negatively affected. Moreover, in order to obtain reimbursement for its products in some EU member states, Tectonic may be required to compile additional data comparing the cost-effectiveness of its products to other available therapies. Efforts to generate additional data for the HTA process will involve additional expenses which may substantially increase the cost of commercializing and marketing Tectonic’s products in certain EU member states. </w:t>
      </w:r>
    </w:p>
    <w:p>
      <w:pPr>
        <w:pStyle w:val="TextBody"/>
        <w:bidi w:val="0"/>
        <w:spacing w:before="240" w:after="0"/>
        <w:jc w:val="left"/>
        <w:rPr>
          <w:rFonts w:ascii="Times New Roman" w:hAnsi="Times New Roman"/>
          <w:sz w:val="20"/>
        </w:rPr>
      </w:pPr>
      <w:r>
        <w:rPr>
          <w:rFonts w:ascii="Times New Roman" w:hAnsi="Times New Roman"/>
          <w:sz w:val="20"/>
        </w:rPr>
        <w:t xml:space="preserve">Tectonic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240" w:after="0"/>
        <w:jc w:val="left"/>
        <w:rPr>
          <w:rFonts w:ascii="Times New Roman" w:hAnsi="Times New Roman"/>
          <w:sz w:val="20"/>
        </w:rPr>
      </w:pPr>
      <w:r>
        <w:rPr>
          <w:rFonts w:ascii="Times New Roman" w:hAnsi="Times New Roman"/>
          <w:sz w:val="20"/>
        </w:rPr>
        <w:t xml:space="preserve">If Tectonic or any third parties it may engage are slow or unable to adapt to changes in existing requirements or the adoption of new requirements or policies, or if Tectonic or such third parties are not able to maintain regulatory compliance, its product candidates may lose any regulatory approval that may have been obtained and it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Tectonic’s business may rely,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Tectonic’s operations may rely, including those that fund research and development activities, is subject to the political process, which is inherently fluid and unpredictable.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Disruptions at the FDA and other agencies may also slow the time necessary for new product candidates to be reviewed and/or approved by necessary government agencies, which would adversely affect Tectonic’s business. If a prolonged government shutdown occurs, it could significantly impact the ability of the FDA to timely review and process Tectonic’s regulatory submissions, which could have a material adverse effect on its business. Further, future government shutdowns could impact Tectonic’s ability to access the public markets and obtain necessary capital in order to properly capitalize and continue its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relationships with healthcare providers,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Tectonic or its partner obtains marketing approval. Tectonic’s arrangements with healthcare providers, third-party payors and customers may expose it to broadly applicable fraud and abuse and other healthcare laws and regulations that may constrain the business or financial arrangements and relationships through which it researches, markets, sells and distributes its products for which Tectonic or its partner obtain marketing approval. Restrictions under applicable federal and state healthcare laws and regulations,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Tectonic’s business arrangements with third parties will comply with applicable healthcare laws and regulations will involve substantial costs. It is possible that governmental authorities will conclude that Tectonic’s business practices may not comply with current or future statutes, regulations or case law interpreting applicable fraud and abuse or other healthcare laws and regulations. If Tectonic’s operations are found to be in violation of any of these laws or any other governmental regulations that may apply to it, Tectonic may be subject to significant civil, criminal and administrative penalties, damages, fines, additional regulatory oversight, litigation, imprisonment, exclusion from government funded healthcare programs, such as Medicare and Medicaid, and the curtailment or restructuring of its operations. If any of the physicians or other healthcare providers or entities with whom Tectonic expects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Tectonic’s business could be materially and adversely affected in the future by political unrest in China, as well as the effects of disease outbreaks, epidemics and pandemics. </w:t>
      </w:r>
    </w:p>
    <w:p>
      <w:pPr>
        <w:pStyle w:val="TextBody"/>
        <w:bidi w:val="0"/>
        <w:spacing w:before="120" w:after="0"/>
        <w:jc w:val="left"/>
        <w:rPr>
          <w:rFonts w:ascii="Times New Roman" w:hAnsi="Times New Roman"/>
          <w:sz w:val="20"/>
        </w:rPr>
      </w:pPr>
      <w:r>
        <w:rPr>
          <w:rFonts w:ascii="Times New Roman" w:hAnsi="Times New Roman"/>
          <w:sz w:val="20"/>
        </w:rPr>
        <w:t xml:space="preserve">Disease outbreaks, epidemics and pandemics in regions where Tectonic may have clinical trial sites or other business operations could adversely affect its business, including by causing significant disruptions in its operations and/or in the operations of third-party manufacturers and CROs upon whom it relies. Disease outbreaks, epidemics and pandemics have negative impacts on its ability to initiate new clinical trial sites, to enroll new patients and to maintain existing patients who are participating in its clinical trials, which may include increased clinical trial costs, longer timelines and delay in Tectonic’s ability to obtain regulatory approvals of TX45 and 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Tectonic’s key manufacturer and supplier is located in China, Tectonic is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Tectonic’s components may in the future be subject to these tariffs, which could increase its manufacturing costs and could make its products, if successfully developed and approved, less competitive than those of Tectonic’s competitors whose inputs are not subject to these tariffs. Tectonic may otherwise experience supply disruptions or delays, and although it carefully manages its inventory and lead-times, Tectonic’s supplier may not continue to provide it with battery components in its required quantities, to its required specifications and quality levels or at attractive prices. In addition, certain Chinese biotechnology companies and CDMOs may become subject to trade restrictions, sanctions, and other regulatory requirements by the U.S. government, which could restrict or even prohibit Tectonic’s ability to work with such entities, thereby potentially disrupting the supply of material to Tectonic. Such disruption could have adverse effects on the development of Tectonic’s product candidates and Tectonic’s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Tectonic’s clinical trial sites to obtain basic medical supplies used in its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Tectonic’s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its clinical trials could adversely affect its ability to conduct ongoing and future clinical trials of TX45 on Tectonic’s anticipated development timelines. Likewise, the operations of Tectonic’s third-party manufacturers may be requisitioned, diverted or allocated by U.S. or foreign government orders. If any of Tectonic’s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Tectonic’s clinical trials, perhaps substantially, which could materially and adversely affect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Tectonic’s estimates of market opportunity and forecasts of market growth may prove to be inaccurate, and even if the markets in which Tectonic compete achieve the forecasted growth, its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Tectonic’s market opportunity estimates and growth forecasts are subject to significant uncertainty and are based on assumptions and estimates which may not prove to be accurate. Its estimates and forecasts relating to size and expected growth of its target market may prove to be inaccurate. Even if the markets in which Tectonic competes meet its size estimates and growth forecasts, its business may not grow at similar rates, or at all. Tectonic’s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Tectonic’s revenue will be dependent, in part, upon the size of the markets in the territories for which Tectonic gains regulatory approval, the accepted price for the product, the ability to obtain coverage and reimbursement, the ability to gain market share and whether Tectonic owns the commercial rights for that territory. If the number of its addressable patients is not as significant as Tectonic estimates, the indication approved by regulatory authorities is narrower than Tectonic expects or the treatment population is narrowed by competition, physician choice or treatment guidelines, Tectonic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Tectonic obtains approval to market TX45 or other potential future product candidates, these products may become subject to unfavorable pricing regulations, reimbursement practices from third-party payors or healthcare reform initiatives in the United States and abroad, which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Tectonic’s products should be based on prices of other commercially available drugs for the same disease, rather than allowing it to market its products at a premium as new drugs. As a result, Tectonic might obtain marketing approval for a product in a particular country, but then be subject to price regulations that delay or limit its commercial launch of the product, possibly for lengthy time periods, which could negatively impact the revenue it generates from the sale of the product in that particular country. In some foreign markets, prescription pharmaceutical pricing remains subject to continuing governmental control even after initial approval is granted. Adverse pricing limitations may hinder Tectonic’s ability to recoup its investment in one or more product candidates, even if Tectonic’s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commercial success also depends on coverage and adequate reimbursement of its product candidates by third-party payors, including government payors, private health insurers, health maintenance organizations and other organizations, which may be difficult or time-consuming to obtain, may be limited in scope and may not be obtained in all jurisdictions in which it may seek to market its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Tectonic cannot be sure that coverage and reimbursement will be available for any product that it or its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commercialize and, if reimbursement is available, what the level of reimbursement will be. Coverage and reimbursement may impact the demand for, or the price of, any product candidate for which Tectonic or its partners obtain regulatory approval. If coverage and reimbursement are not available or reimbursement is available only to limited levels, it and its partners may not be able to successfully commercialize any product candidate for which marketing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Tectonic’s costs, including costs of research, development, manufacture, sale and distribution. Interim reimbursement levels for new drugs, if applicable, may also not be sufficient to cover Tectonic’s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Tectonic’s inability to promptly obtain coverage and profitable reimbursement rates from both government-funded and private payors for any approved products that it develops could have a material adverse effect on its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Tectonic’s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Tectonic’s success depends in part on its ability to protect its intellectual property. It is difficult and costly to protect its proprietary rights and technology, and Tectonic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Tectonic’s commercial success will depend in large part on obtaining and maintaining patent, trademark and trade secret protection of its proprietary technologies and its product candidates, their respective components, formulations, combination therapies, methods used to manufacture them and methods of treatment, as well as successfully defending these patents against third-party challenges. Tectonic’s ability to stop unauthorized third parties from making, using, selling, offering to sell or importing its product candidates is dependent upon the extent to which Tectonic has rights under valid and enforceable patents that cover these activities. If Tectonic is unable to secure and maintain patent protection for any product or technology it develops, or if the scope of the patent protection secured is not sufficiently broad, its competitors could develop and commercialize products and technology similar or identical to Tectonic’s, and its ability to commercialize any product candidates Tectonic may develop may be adversely affected. The patenting process is expensive and time-consuming, and Tectonic may not be able to file, prosecute and maintain all necessary or desirable patent applications at a reasonable cost or in a timely manner. In addition, Tectonic may not pursue, obtain or maintain patent protection in all relevant markets. It is also possible that Tectonic will fail to identify patentable aspects of its research and development output before it is too late to obtain patent protection. Moreover, in some circumstances, Tectonic may not have the right to control the preparation, filing and prosecution of patent applications, or to maintain the patents, covering technology that it licenses from or licenses to third parties and is reliant on its licensors or licensees. Therefore, these patents and applications may not be prosecuted and enforced in a manner consistent with the best interests of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Tectonic owns or in-licenses may fail to result in issued patents with claims that cover its product candidates or uses thereof in the United States or in other foreign countries. Even if the patents do successfully issue, third parties may challenge the validity, enforceability or scope thereof,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result in such patents being narrowed, invalidated or held unenforceable. Furthermore, even if they are unchallenged, Tectonic’s patents and patent applications may not adequately protect its intellectual property or prevent others from designing around its claims. If the breadth or strength of protection provided by the patent applications Tectonic holds with respect to its product candidates is threatened, it could dissuade companies from collaborating with Tectonic to develop, and threaten its ability to commercialize, its product candidates. Further, if Tectonic encounters delays in its clinical trials, the period of time during which Tectonic could market its product candidates under patent protection would be reduced. Since patent applications in the United States and most other countries are confidential for a period of time after filing, Tectonic cannot be certain that it was the first to file any patent application related to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Tectonic may be required to disclaim part or all of the term of certain patents or all of the term of certain patent applications. There may be prior art of which Tectonic is not aware that may affect the validity or enforceability of a patent claim, and Tectonic may be subject to a third-party preissuance submission of prior art to the USPTO. There also may be prior art of which Tectonic is aware, but which it does not believe affects the validity or enforceability of a claim, which may, nonetheless, ultimately be found to affect the validity or enforceability of a claim. No assurance can be given that if challenged, Tectonic’s patents would be declared by a court to be valid or enforceable or that even if found valid and enforceable, a competitor’s technology or product would be found by a court to infringe its patents. Tectonic may analyze patents or patent applications of its competitors that it believes are relevant to its activities, and consider that it is free to operate in relation to its product candidates, but Tectonic’s competitors may achieve issued claims, including in patents Tectonic considers to be unrelated, which block its efforts or may potentially result in its product candidates or its activities infringing such claims. The possibility exists that others will develop products which have the same effect as Tectonic’s products on an independent basis which do not infringe its patents or other intellectual property rights, or will design around the claims of patents that Tectonic has had issued that cover its products. </w:t>
      </w:r>
    </w:p>
    <w:p>
      <w:pPr>
        <w:pStyle w:val="TextBody"/>
        <w:bidi w:val="0"/>
        <w:spacing w:before="240" w:after="0"/>
        <w:jc w:val="left"/>
        <w:rPr>
          <w:rFonts w:ascii="Times New Roman" w:hAnsi="Times New Roman"/>
          <w:sz w:val="20"/>
        </w:rPr>
      </w:pPr>
      <w:r>
        <w:rPr>
          <w:rFonts w:ascii="Times New Roman" w:hAnsi="Times New Roman"/>
          <w:sz w:val="20"/>
        </w:rPr>
        <w:t xml:space="preserve">Recent or future patent reform legislation could increase the uncertainties and costs surrounding the prosecution of Tectonic’s patent applications and the enforcement or defense of its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Tectonic’s patent applications and the enforcement or defense of its issued patents, all of which could have a material adverse effect on its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 degree of future protection for Tectonic’s proprietary rights is uncertain because legal means afford only limited protection and may not adequately protect its rights or permit Tectonic to gain or keep its competitive advantage.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Tectonic’s product candidates but that are not covered by the claims of its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Tectonic’s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or its licensors, as the case may be, may fail to meet its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or its licensors, as the case may be, might not have been the first to file patent applications for these inventions;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Tectonic’s technologies;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Tectonic’s pending patent applications will not result in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Tectonic’s or its licensors’ patents, as the case may be, or parts of Tectonic’s or their patents;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75"/>
        <w:gridCol w:w="110"/>
        <w:gridCol w:w="60"/>
        <w:gridCol w:w="6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Tectonic’s owned or in-licensed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Tectonic’s products or technology similar to its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Tectonic’s or its licensors’, as the case may be, proprietary rights to the same extent as the laws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claims of Tectonic’s owned or in-licensed issued patents or patent applications, if and when issued, may not cover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owned or in-licensed issued patents may not provide it with any competitive advantages, may be narrowed in scope, or be held invalid or unenforceable as a result of legal challenges by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Tectonic’s owned or in-licensed patents or patent applications may become involved with competitors, develop products or processes which design around its patents, or become hostile to Tectonic or the patents or patent applications on which they are named as inventors;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Tectonic’s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has engaged in scientific collaborations in the past, and will continue to do so in the future. Such collaborators may develop adjacent or competing products to Tectonic’s that are outside the scope of its patents;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may not develop additional proprietary technologies for which it can obtain patent protection;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Tectonic develops may be covered by third parties’ patents or other exclusive rights; or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Tectonic’s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Tectonic depends on intellectual property licensed from third parties and termination of any of these licenses could result in the loss of significant rights, which would harm its business. </w:t>
      </w:r>
    </w:p>
    <w:p>
      <w:pPr>
        <w:pStyle w:val="TextBody"/>
        <w:bidi w:val="0"/>
        <w:spacing w:before="120" w:after="0"/>
        <w:jc w:val="left"/>
        <w:rPr>
          <w:rFonts w:ascii="Times New Roman" w:hAnsi="Times New Roman"/>
          <w:sz w:val="20"/>
        </w:rPr>
      </w:pPr>
      <w:r>
        <w:rPr>
          <w:rFonts w:ascii="Times New Roman" w:hAnsi="Times New Roman"/>
          <w:sz w:val="20"/>
        </w:rPr>
        <w:t>Tectonic is dependent on patents, know-how and proprietary technology, both its own and licensed from others. Any termination of these licenses could result in the loss of significant rights and could harm Tectonic’s ability to commercialize its product candidates. Please see the section titled “</w:t>
      </w:r>
      <w:r>
        <w:rPr>
          <w:rFonts w:ascii="Times New Roman" w:hAnsi="Times New Roman"/>
          <w:i/>
          <w:sz w:val="20"/>
        </w:rPr>
        <w:t>Tectonic’s Business—Collaboration, License and Services Agreements</w:t>
      </w:r>
      <w:r>
        <w:rPr>
          <w:rFonts w:ascii="Times New Roman" w:hAnsi="Times New Roman"/>
          <w:sz w:val="20"/>
        </w:rPr>
        <w:t xml:space="preserve">” on page 376 this proxy statement/prospectus for additional information regarding Tectonic’s license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Disputes may also arise between Tectonic and its licensors regarding intellectual property subject to a license agreement,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Tectonic’s technology and processes infringe on intellectual property of the licensor that is not subject to the licensing agreement; </w:t>
            </w:r>
          </w:p>
        </w:tc>
      </w:tr>
    </w:tbl>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right to sublicense patent and other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diligence obligations with respect to the use of the licensed technology in relation to its development and commercialization of its product candidates, and what activities satisfy those diligence obligations;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Tectonic’s licensors and Tectonic and its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Tectonic believes to be the scope of its rights to the relevant intellectual property or technology, or increase what Tectonic believes to be its financial or other obligations under the relevant agreement, either of which could have a material adverse effect on Tectonic’s business, financial condition, results of operations and prospects. If disputes over intellectual property that Tectonic has licensed prevent or impair Tectonic’s ability to maintain its current licensing arrangements on acceptable terms, Tectonic may be unable to successfully develop and commercialize the affected product candidates. </w:t>
      </w:r>
    </w:p>
    <w:p>
      <w:pPr>
        <w:pStyle w:val="TextBody"/>
        <w:bidi w:val="0"/>
        <w:spacing w:before="0" w:after="0"/>
        <w:jc w:val="left"/>
        <w:rPr>
          <w:rFonts w:ascii="Times New Roman" w:hAnsi="Times New Roman"/>
          <w:sz w:val="20"/>
        </w:rPr>
      </w:pPr>
      <w:r>
        <w:rPr>
          <w:rFonts w:ascii="Times New Roman" w:hAnsi="Times New Roman"/>
          <w:sz w:val="20"/>
        </w:rPr>
        <w:t xml:space="preserve">Tectonic is generally also subject to all of the same risks with respect to protection of intellectual property that it licenses, as Tectonic is for intellectual property that it owns, which are described below. If Tectonic or its licensors fail to adequately protect this intellectual property, Tectonic’s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fails to comply with its obligations under its patent license with a third party, Tectonic could lose license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is a party to a license agreement pursuant to which it in-licenses key patent and patent applications for its product candidates. These existing licenses impose various diligence, milestone payment, royalty, insurance and other obligations on Tectonic. If Tectonic fails to comply with these obligations, its licensors may have the right to terminate the license, in which event Tectonic would not be able to develop or market the products covered by such licensed intellectual property. Termination of these agreements or reduction or elimination of Tectonic’s rights under these agreements, or restrictions on its ability to freely assign or sublicense its rights under such agreements when it is in the interest of Tectonic’s business to do so, may impede,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Tectonic may have limited control over the maintenance and prosecution of these in-licensed patents and patent applications, activities or any other intellectual property that may be related to its in-licensed intellectual property. For example, Tectonic cannot be certain that such activities by its licensor have been or will be conducted in compliance with applicable laws and regulations or will result in valid and enforceable patents and other intellectual property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is unable to protect the confidentiality of its proprietary information, Tectonic’s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Tectonic relies upon know-how, as well as non-disclosure agreements and invention assignment agreements with its employees, consultants and third-parties, to protect its confidential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proprietary information, especially where Tectonic does not believe patent protection is appropriate or obtainable. In addition to contractual measures, Tectonic tries to protect the confidential nature of its proprietary information using physical and technological security measures. Such measures may not, for example, in the case of misappropriation by an employee or third party with authorized access, provide adequate protection for Tectonic’s proprietary information. Tectonic’s security measures may not prevent an employee or consultant from misappropriating its proprietary information and providing them to a competitor, and recourse Tectonic takes against such misconduct may not provide an adequate remedy to protect its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Tectonic. If any of Tectonic’s confidential or proprietary information were to be disclosed or misappropriated, or if any such information was independently developed by a competitor, Tectonic’s competitive position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Tectonic chooses to go to court to stop a third party from using any of its proprietary information, Tectonic may incur substantial costs. These lawsuits may consume Tectonic’s time and other resources even if it is successful. Although Tectonic takes steps to protect its proprietary information and proprietary information, including through contractual means with its employees and consultants, third parties may independently develop substantially equivalent proprietary information and techniques or otherwise gain access to, or disclose, its technology. </w:t>
      </w:r>
    </w:p>
    <w:p>
      <w:pPr>
        <w:pStyle w:val="TextBody"/>
        <w:bidi w:val="0"/>
        <w:spacing w:before="240" w:after="0"/>
        <w:jc w:val="left"/>
        <w:rPr>
          <w:rFonts w:ascii="Times New Roman" w:hAnsi="Times New Roman"/>
          <w:sz w:val="20"/>
        </w:rPr>
      </w:pPr>
      <w:r>
        <w:rPr>
          <w:rFonts w:ascii="Times New Roman" w:hAnsi="Times New Roman"/>
          <w:sz w:val="20"/>
        </w:rPr>
        <w:t xml:space="preserve">Thus, Tectonic may not be able to meaningfully protect its proprietary information. It is Tectonic’s policy to require its employees, consultants, outside scientific collaborators, sponsored researchers and other advisors to execute confidentiality agreements upon the commencement of employment or consulting relationships with Tectonic. These agreements provide that all confidential information concerning its business or financial affairs developed or made known to the individual or entity during the course of the party’s relationship with Tectonic is to be kept confidential and not disclosed to third parties except in specific circumstances. In the case of employees, the agreements provide that all inventions conceived by the individual, and which are related to Tectonic’s current or planned business or research and development or made during normal working hours, on its premises or using its equipment or proprietary information, are Tectonic’s exclusive property. In addition, Tectonic takes other appropriate precautions, such as physical and technological security measures, to guard against misappropriation of its proprietary information by third parties. Tectonic have also adopted policies and conduct training that provides guidance on its expectations, and its advice for best practices, in protecting its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Tectonic’s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Tectonic’s commercial success depends in part on its ability to develop, manufacture, market and sell its product candidates and use its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inter partes</w:t>
      </w:r>
      <w:r>
        <w:rPr>
          <w:rFonts w:ascii="Times New Roman" w:hAnsi="Times New Roman"/>
          <w:sz w:val="20"/>
        </w:rPr>
        <w:t xml:space="preserve"> review, post grant review, and reexamination proceedings before the USPTO or oppositions and other comparable proceedings in foreign jurisdictions. Tectonic may be exposed to, or threatened with, future litigation by third parties having patent or other intellectual property rights alleging that its product candidates and/or proprietary technologies infringe their intellectual property rights. Numerous U.S. and foreign issued patents and pending patent applications, which are owned by third parties, exist in the fields in which Tectonic is developing its product candidates. There may be third-party patents or patent applications with claims to materials, formulations, methods of manufacture or methods for treatment related to Tectonic’s product candidates and programs. As the biotechnology and pharmaceutical industries expand and more patents are issued, the risk increases that its product candidates may give rise to claims of infringement of the patent rights of others. Moreover, it is not always clear to industry participants, including Tectonic,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cover various types of drugs, products or their methods of use or manufacture. Thus, because of the large number of patents issued and patent applications filed in Tectonic’s fields, there may be a risk that third parties may allege they have patent rights encompassing its product candidates, technologies or methods. </w:t>
      </w:r>
    </w:p>
    <w:p>
      <w:pPr>
        <w:pStyle w:val="TextBody"/>
        <w:bidi w:val="0"/>
        <w:spacing w:before="240" w:after="0"/>
        <w:jc w:val="left"/>
        <w:rPr>
          <w:rFonts w:ascii="Times New Roman" w:hAnsi="Times New Roman"/>
          <w:sz w:val="20"/>
        </w:rPr>
      </w:pPr>
      <w:r>
        <w:rPr>
          <w:rFonts w:ascii="Times New Roman" w:hAnsi="Times New Roman"/>
          <w:sz w:val="20"/>
        </w:rPr>
        <w:t xml:space="preserve">If a third-party claims that Tectonic infringes its intellectual property rights, it may face a number of issues,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Tectonic’s management’s attention from its core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Tectonic may have to pay if a court decides that the product candidate or technology at issue infringes on or violates the third party’s rights, and, if the court finds that the infringement was willful, Tectonic could be ordered to pay treble damages and the patent owner’s attorneys’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Tectonic from developing, manufacturing, marketing or selling its product candidates, or from using Tectonic’s proprietary technologies, unless the third party licenses its product rights to Tectonic, which it is not required to do;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Tectonic may have to pay substantial royalties, upfront fees and other amounts, and/or grant cross-licenses to intellectual property rights for its products;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redesigning Tectonic’s product candidates or processes so they do not infringe, which may not be possible or may require substantial monetary expenditures and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Tectonic’s competitors may be able to sustain the costs of complex patent litigation more effectively than Tectonic can because they have substantially greater resources. In addition, any uncertainties resulting from the initiation and continuation of any litigation could have a material adverse effect on Tectonic’s ability to raise the funds necessary to continue its operations or could otherwise have a material adverse effect on its business, results of operations,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Tectonic is employing their proprietary technology without authorization. Generally, conducting clinical trials and other development activities in the United States is protected under the Safe Harbor exemption as set forth in 35 U.S.C. § 271. If and when TX45 or another one of Tectonic’s product candidates is approved by the FDA, that certain third party may then seek to enforce its patent by filing a patent infringement lawsuit against Tectonic. While Tectonic does not believe that any claims of such patent that could otherwise materially adversely affect commercialization of its product candidates, if approved, are valid and enforceable, Tectonic may be incorrect in this belief, or Tectonic may not be able to prove it in a litigation. In this regard, patents issued in the United States by law enjoy a presumption of validity that can be rebutted only with evidence that is “clear and convincing,” a heightened standard of proof. There may be third-party patents of which Tectonic is currently unaware with claims to materials, formulations, methods of manufacture or methods for treatment related to the use or manufacture of its product candidates. Because patent applications can take many years to issue, there may be currently pending patent applications which may later result in issued patents that Tectonic’s product candidates may infringe. In addition, third parties may obtain patents in the future and claim that use of Tectonic’s technologies infringes upon these patents. If any third-party patents were held by a court of competent jurisdiction to cover the manufacturing process of Tectonic’s product candidates, constructs or molecules used in or formed during the manufacturing process, or any final product itself, the holders of any such patents may be able to block Tectonic’s ability to commercialize the product candidate unless Tectonic obtained a license under the applicable patents, or until such patents expire or they are finally determined to be held invalid or unenforceable. Similarly, if any third-party patent were held by a court of competent jurisdiction to cover aspects of Tectonic’s formulations, processes for manufacture or methods of use, the holders of any such patent may be able to block its ability to develop and commercialize the product candidate unless Tectonic obtained a license or until such patent expires or is finally determined to be held invalid or unenforceable. In either case, such a license may not be available on commercially reasonable terms or at all. If Tectonic is unable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obtain a necessary license to a third-party patent on commercially reasonable terms, or at all, Tectonic’s ability to commercialize its product candidates may be impaired or delayed, which could in turn significantly harm its business. Even if Tectonic obtains a license, it may be non-exclusive, thereby giving its competitors access to the same technologies licensed to Tectonic. In addition, if the breadth or strength of protection provided by its patents and patent applications is threatened, it could dissuade companies from collaborating with Tectonic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Tectonic may seek and obtain injunctive or other equitable relief, which could effectively block its ability to further develop and commercialize its product candidates. Defense of these claims, regardless of their merit, would involve substantial litigation expense and would be a substantial diversion of employee resources from Tectonic’s business. In the event of a successful claim of infringement against Tectonic, it may have to pay substantial damages, including treble damages and attorneys’ fees for willful infringement, obtain one or more licenses from third parties, pay royalties or redesign its infringing products, which may be impossible or require substantial time and monetary expenditure. Tectonic cannot predict whether any such license would be available at all or whether it would be available on commercially reasonable terms. Even if such a license is available, it may be non-exclusive, which could result in Tectonic’s competitors gaining access to the same intellectual property. Furthermore, even in the absence of litigation, Tectonic may need to obtain licenses from third parties to advance its research or allow commercialization of its product candidates. Tectonic may fail to obtain any of these licenses at a reasonable cost or on reasonable terms, if at all. In that event, Tectonic would be unable to further develop and commercialize its product candidates, which could harm its business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Lastly, Tectonic may need to indemnify its customers and distributors against claims relating to the infringement of intellectual property rights of third parties related to its product candidates, including TX45. Third parties may assert infringement claims against Tectonic’s customers or distributors. These claims may require Tectonic to initiate or defend protracted and costly litigation on behalf of its customers or distributors, regardless of the merits of these claims. If any of these claims succeed, Tectonic may be forced to pay damages on behalf of its customers, suppliers or distributors, or may be required to obtain licenses for the product candidates or services they use. If Tectonic cannot obtain all necessary licenses on commercially reasonable terms, its customers may be forced to stop using its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Tectonic’s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Tectonic employs individuals who were previously employed at universities or other biopharmaceutical or pharmaceutical companies, including its competitors or potential competitors. Although no claims against Tectonic are currently pending, and although Tectonic tries to ensure that its employees and consultants do not use the proprietary information or know-how of others in their work for Tectonic, it may be subject to claims that Tectonic or its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Tectonic fails in defending any such claims, in addition to paying monetary damages, it may lose valuable intellectual property rights or personnel. Even if Tectonic is successful in defending against such claims, litigation or other legal proceedings relating to intellectual property claims may cause it to incur significant expenses, and could distract Tectonic’s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Tectonic’s common stock. This type of litigation or proceeding could substantially increase its operating losses and reduce its resources available for development activities. Tectonic may not have sufficient financial or other resources to adequately conduct such litigation or proceedings. Some of Tectonic’s competitors may be able to sustain the costs of such litigation or proceedings more effectively than Tectonic can because of their substantially greater financial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Tectonic’s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Tectonic’s programs may involve additional product candidates that may require the use of proprietary rights held by third parties, the growth of its business may depend in part on its ability to acquire, in-license or use these proprietary rights. </w:t>
      </w:r>
    </w:p>
    <w:p>
      <w:pPr>
        <w:pStyle w:val="TextBody"/>
        <w:bidi w:val="0"/>
        <w:spacing w:before="240" w:after="0"/>
        <w:jc w:val="left"/>
        <w:rPr>
          <w:rFonts w:ascii="Times New Roman" w:hAnsi="Times New Roman"/>
          <w:sz w:val="20"/>
        </w:rPr>
      </w:pPr>
      <w:r>
        <w:rPr>
          <w:rFonts w:ascii="Times New Roman" w:hAnsi="Times New Roman"/>
          <w:sz w:val="20"/>
        </w:rPr>
        <w:t xml:space="preserve">Tectonic’s product candidates may also require specific formulations to work effectively and efficiently and these rights may be held by others. Tectonic may develop products containing its compounds and pre-existing pharmaceutical compounds. Tectonic may be unable to acquire or in-license any compositions, methods of use, processes or other third-party intellectual property rights from third parties that Tectonic identifies as necessary or important to its business operations. Tectonic may fail to obtain any of these licenses at a reasonable cost or on reasonable terms, if at all, which would harm its business. Tectonic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Tectonic were able to develop such alternatives, which may not be feasible. Even if Tectonic is able to obtain a license, it may be non-exclusive, thereby giving its competitors access to the same technologies licensed to it. In that event, Tectonic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Additionally, Tectonic sometimes collaborate with academic institutions to accelerate its preclinical research or development under written agreements with these institutions. In certain cases, these institutions provide Tectonic with an option to negotiate a license to any of the institution’s rights in technology resulting from the collaboration. Regardless of such option, Tectonic may be unable to negotiate a license within the specified timeframe or under terms that are acceptable to it. If Tectonic is unable to do so, the institution may offer the intellectual property rights to others, potentially blocking its ability to pursue its program. If Tectonic is unable to successfully obtain rights to required third-party intellectual property or to maintain the existing intellectual property rights it has, Tectonic may have to abandon development of such program and its business and financial condition could suffer.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Tectonic does, may also be pursuing strategies to license or acquire third-party intellectual property rights that Tectonic may consider necessary or attractive in order to commercialize its product candidates. More established companies may have a competitive advantage over Tectonic due to their size, cash resources and greater clinical development and commercialization capabilities. There can be no assurance that Tectonic will be able to successfully complete such negotiations and ultimately acquire the rights to the intellectual property surrounding the additional product candidates that it may seek to acquire.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be involved in lawsuits to protect or enforce its patents or the patents of its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Tectonic’s patents or the patents of its licensors. To counter infringement or unauthorized use, Tectonic may be required to file infringement claims, which can be expensive and time-consuming. In addition, in an infringement proceeding, a court may decide that one or more of Tectonic’s patents is not valid or is unenforceable, or may refuse to stop the other party from using the technology at issue on the grounds that its patents do not cover the technology in question. An adverse result in any litigation or defense proceedings could put one or more of Tectonic’s patents at risk of being invalidated, held unenforceable, or interpreted narrowly and could put its patent applications at risk of not issuing. Defense of these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their merit, would involve substantial litigation expense and would be a substantial diversion of employee resources from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Tectonic may choose to challenge the patentability of claims in a third party’s U.S. patent by requesting that the USPTO review the patent claims in an </w:t>
      </w:r>
      <w:r>
        <w:rPr>
          <w:rFonts w:ascii="Times New Roman" w:hAnsi="Times New Roman"/>
          <w:i/>
          <w:sz w:val="20"/>
        </w:rPr>
        <w:t>ex-parte</w:t>
      </w:r>
      <w:r>
        <w:rPr>
          <w:rFonts w:ascii="Times New Roman" w:hAnsi="Times New Roman"/>
          <w:sz w:val="20"/>
        </w:rPr>
        <w:t xml:space="preserve"> re-exam, </w:t>
      </w:r>
      <w:r>
        <w:rPr>
          <w:rFonts w:ascii="Times New Roman" w:hAnsi="Times New Roman"/>
          <w:i/>
          <w:sz w:val="20"/>
        </w:rPr>
        <w:t>inter partes</w:t>
      </w:r>
      <w:r>
        <w:rPr>
          <w:rFonts w:ascii="Times New Roman" w:hAnsi="Times New Roman"/>
          <w:sz w:val="20"/>
        </w:rPr>
        <w:t xml:space="preserve"> review or post-grant review proceedings. These proceedings are expensive and may consume Tectonic’s time or other resources. Tectonic may choose to challenge a third party’s patent in patent opposition proceedings in the foreign patent offices. The costs of these opposition proceedings could be substantial, and may consume Tectonic’s time or other resources. If Tectonic fails to obtain a favorable result at the USPTO or other patent office then it may be exposed to litigation by a third party alleging that the patent may be infringed by its product candidates or proprietary technologies.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Tectonic cannot be certain that others have not filed patent applications for technology covered by its owned and in-licensed issued patents or its pending applications, or that Tectonic or, if applicable, a licensor were the first to invent the technology. Tectonic’s competitors may have filed, and may in the future file, patent applications covering products or technology similar to Tectonic’s. Any such patent application may have priority over Tectonic’s owned and in-licensed patent applications or patents, which could require Tectonic to obtain rights to issued patents covering such technologies. If another party has filed a U.S. patent application on inventions similar to those owned by or in-licensed to Tectonic, Tectonic or, in the case of in-licensed technology, the licensor may have to participate in an interference proceeding declared by the USPTO to determine priority of invention in the United States. If Tectonic or one of its licensors is a party to an interference proceeding involving a U.S. patent application on inventions owned by or in-licensed to Tectonic, Tectonic may incur substantial costs, divert management’s time and expend other resources, even if it is successful. </w:t>
      </w:r>
    </w:p>
    <w:p>
      <w:pPr>
        <w:pStyle w:val="TextBody"/>
        <w:bidi w:val="0"/>
        <w:spacing w:before="24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Tectonic’s patents or patent applications or those of its licensors. An unfavorable outcome could result in a loss of Tectonic’s current patent rights and could require it to cease using the related technology or to attempt to license rights to it from the prevailing party. Tectonic’s business could be harmed if the prevailing party does not offer it a license on commercially reasonable terms or at all. Litigation or interference proceedings may result in a decision adverse to Tectonic’s interests and, even if it is successful, may result in substantial costs and distract Tectonic’s management and other employees. Tectonic may not be able to prevent, alone or with its licensors, misappropriation of its proprietary or confidential information, particularly in countries where the laws may not protect those rights as fully as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Tectonic’s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Tectonic’s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Tectonic’s patent protection depends on compliance with various procedural, document submission, fee payment and other requirements imposed by governmental patent agencies, and its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Tectonic’s competitors might be able to enter the market, which would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Tectonic’s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Tectonic or one of its licensing partners initiate legal proceedings against a third party to enforce a patent covering one of its product candidates, the defendant could counterclaim that the patent covering its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Tectonic’s patents in such a way that they no longer cover its product candidates. The outcome following legal assertions of invalidity and unenforceability is unpredictable. With respect to the validity question, for example, Tectonic cannot be certain that there is no invalidating prior art, of which Tectonic, its patent counsel and the patent examiner were unaware during prosecution. If a defendant were to prevail on a legal assertion of invalidity and/or unenforceability, or if Tectonic is otherwise unable to adequately protect Tectonic’s rights, Tectonic would lose at least part, and perhaps all, of the patent protection on its product candidates. Such a loss of patent protection could have a material adverse impact on Tectonic’s business and its ability to commercialize or license its technology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Moreover, the patents included in Tectonic’s patent portfolio may expire before, or soon after, its first product achieves marketing approval in the United States or foreign jurisdictions. Upon the expiration of its current or future owned or licensed patents, Tectonic may lose the right to exclude others from practicing these inventions. The expiration of these patents could also have a similar material adverse effect on Tectonic’s business, results of operations, financial condition and prospects. Tectonic owns pending patent applications covering its proprietary technologies or its product candidates that if issued as patents are expected to expire from 2041 through 2042, without taking into account any possible patent term adjustments or extensions. However, Tectonic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Tectonic’s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Tectonic’s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Tectonic’s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Tectonic’s ability to obtain new patents or to enforce its existing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patents that Tectonic might obtain in the future. For example, in the case </w:t>
      </w:r>
      <w:r>
        <w:rPr>
          <w:rFonts w:ascii="Times New Roman" w:hAnsi="Times New Roman"/>
          <w:i/>
          <w:sz w:val="20"/>
        </w:rPr>
        <w:t>Amgen Inc. v. Sanofi,</w:t>
      </w:r>
      <w:r>
        <w:rPr>
          <w:rFonts w:ascii="Times New Roman" w:hAnsi="Times New Roman"/>
          <w:sz w:val="20"/>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sz w:val="20"/>
        </w:rPr>
        <w:t>Assoc. for Molecular Pathology v. Myriad Genetics, Inc.,</w:t>
      </w:r>
      <w:r>
        <w:rPr>
          <w:rFonts w:ascii="Times New Roman" w:hAnsi="Times New Roman"/>
          <w:sz w:val="20"/>
        </w:rPr>
        <w:t xml:space="preserve"> the Supreme Court held that certain claims to DNA molecules are not patentable. Tectonic cannot predict how these decisions or any future decisions by the courts, the U.S. Congress or the USPTO may impact the value of its patents. Similarly, any adverse changes in the patent laws of other jurisdictions could have a material adverse effect on Tectonic’s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not be able to protect its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Tectonic’s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Tectonic may not be able to prevent third parties from practicing its inventions in all countries outside the United States, or from selling or importing products made using its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Tectonic or any of its licensors are forced to grant a license to third parties with respect to any patents relevant to its business, its competitive position may be impaired, and its business, financial condition, results of operations and prospects may be adversely affected. Also, competitors may use Tectonic’s technologies in jurisdictions where Tectonic has not obtained patent protection to develop their own products and, further, may export otherwise infringing products to territories where Tectonic has patent protection but where enforcement is not as strong as that in the United States. These products may compete with Tectonic’s products in jurisdictions where it does not have any issued patents and its patent claims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Tectonic to stop the infringement of its patents or marketing of competing products against third parties in violation of its proprietary rights generally. The initiation of proceedings by third parties to challenge the scope or validity of Tectonic’s patent rights in foreign jurisdictions could result in substantial cost and divert its efforts and attention from other aspects of its business. Proceedings to enforce Tectonic’s patent rights in foreign jurisdictions could result in substantial costs and divert its efforts and attention from other aspects of its business, could put its patents at risk of being invalidated or interpreted narrowly and its patent applications at risk of not issuing and could provoke third parties to assert claims against Tectonic. Tectonic may not prevail in any lawsuits that it initiates and the damages or other remedies awarded, if any, may not be commercially meaningful. Accordingly, Tectonic’s efforts to enforce its intellectual property rights around the world may be inadequate to obtain a significant commercial advantage from the intellectual property that it develops or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may incur substantial costs as a result of litigation or other proceedings relating to patents, and it may be unable to protect its rights to its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Tectonic or its licensors choose to go to court to stop a third party from using the inventions claimed in its owned or in-licensed patents, that third party may ask the court to rule that the patents are invalid and/or should not be enforced against that third party. These lawsuits are expensive and would consume time and other resources even if Tectonic or they, as the case may be, were successful in stopping the infringement of these patents. In addition, there is a risk that the court will decide that these patents are not valid and that Tectonic or they, as the case may be, do not have the right to stop others from using the inventions.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Tectonic’s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Tectonic’s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240" w:after="0"/>
        <w:jc w:val="left"/>
        <w:rPr>
          <w:rFonts w:ascii="Times New Roman" w:hAnsi="Times New Roman"/>
          <w:sz w:val="20"/>
        </w:rPr>
      </w:pPr>
      <w:r>
        <w:rPr>
          <w:rFonts w:ascii="Times New Roman" w:hAnsi="Times New Roman"/>
          <w:sz w:val="20"/>
        </w:rPr>
        <w:t xml:space="preserve">Tectonic, or its licensors, may not be able to detect infringement against Tectonic’s owned or in-licensed patents, as the case may be, which may be especially difficult for manufacturing processes or formulation patents. Even if Tectonic or its licensors detect infringement by a third party of its owned or in-licensed patents, Tectonic or its licensors, as the case may be, may choose not to pursue litigation against or settlement with the third party. If Tectonic, or its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Tectonic or its licensors to enforce Tectonic’s owned or in-licensed patents, as the case may be, against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If another party questions the patentability of any of Tectonic’s claims in its owned or in-licensed U.S. patents, the third-party can request that the USPTO review the patent claims such as in an </w:t>
      </w:r>
      <w:r>
        <w:rPr>
          <w:rFonts w:ascii="Times New Roman" w:hAnsi="Times New Roman"/>
          <w:i/>
          <w:sz w:val="20"/>
        </w:rPr>
        <w:t>inter partes</w:t>
      </w:r>
      <w:r>
        <w:rPr>
          <w:rFonts w:ascii="Times New Roman" w:hAnsi="Times New Roman"/>
          <w:sz w:val="20"/>
        </w:rPr>
        <w:t xml:space="preserve"> review, </w:t>
      </w:r>
      <w:r>
        <w:rPr>
          <w:rFonts w:ascii="Times New Roman" w:hAnsi="Times New Roman"/>
          <w:i/>
          <w:sz w:val="20"/>
        </w:rPr>
        <w:t>ex</w:t>
      </w:r>
      <w:r>
        <w:rPr>
          <w:rFonts w:ascii="Times New Roman" w:hAnsi="Times New Roman"/>
          <w:sz w:val="20"/>
        </w:rPr>
        <w:t xml:space="preserve"> </w:t>
      </w:r>
      <w:r>
        <w:rPr>
          <w:rFonts w:ascii="Times New Roman" w:hAnsi="Times New Roman"/>
          <w:i/>
          <w:sz w:val="20"/>
        </w:rPr>
        <w:t>parte</w:t>
      </w:r>
      <w:r>
        <w:rPr>
          <w:rFonts w:ascii="Times New Roman" w:hAnsi="Times New Roman"/>
          <w:sz w:val="20"/>
        </w:rPr>
        <w:t xml:space="preserve"> re-exam or post-grant review proceedings. These proceedings are expensive and may result in a loss of scope of some claims or a loss of the entire patent. In addition to potential USPTO review proceedings, Tectonic may become a party to patent opposition proceedings in foreign patent offices, where either its owned or in-licensed foreign patents are challenged. </w:t>
      </w:r>
    </w:p>
    <w:p>
      <w:pPr>
        <w:pStyle w:val="TextBody"/>
        <w:bidi w:val="0"/>
        <w:spacing w:before="240" w:after="0"/>
        <w:jc w:val="left"/>
        <w:rPr>
          <w:rFonts w:ascii="Times New Roman" w:hAnsi="Times New Roman"/>
          <w:sz w:val="20"/>
        </w:rPr>
      </w:pPr>
      <w:r>
        <w:rPr>
          <w:rFonts w:ascii="Times New Roman" w:hAnsi="Times New Roman"/>
          <w:sz w:val="20"/>
        </w:rPr>
        <w:t xml:space="preserve">In the future, Tectonic may be involved in similar proceedings challenging the patent rights of others, and the outcome of such proceedings is highly uncertain. An adverse determination in any such proceeding could reduce the scope of, or invalidate, Tectonic’s patent rights, allow third parties to commercialize its technology or products and compete directly with Tectonic, without payment to it, or result in its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Tectonic’s right to exclude others from practicing one or more of its inventions in the relevant country or jurisdiction, which could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Tectonic’s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Tectonic’s product candidates are obtained, once the patent life has expired, Tectonic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Tectonic’s owned and licensed patent portfolio may not provide it with sufficient rights to exclude others from commercializing products similar or identical to Tectonic’s.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Tectonic does not obtain patent term extension and data exclusivity for any product candidates it may develop, its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Tectonic may develop, one or more of its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Tectonic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Tectonic requests. If Tectonic is unable to obtain patent term extension or term of any such extension is less than it requests, its competitors may obtain approval of competing products following Tectonic’s patent expiration, and Tectonic’s business, financial condition, results of operations, and prospects could be materially harmed. Further, for Tectonic’s licensed patents, Tectonic may not have the right to control prosecution, including filing with the USPTO, of a petition for patent term extension under the Hatch-Waxman Act. Thus, if one of Tectonic’s licensed patents is eligible for patent term extension under the Hatch-Waxman Act, Tectonic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Tectonic’s trademarks and trade names are not adequately protected, then Tectonic may not be able to build name recognition in its markets of interest and its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Tectonic’s trademarks or trade names may be challenged, infringed, circumvented or declared generic or determined to be infringing on other marks. Tectonic may not be able to protect its rights to these trademarks and trade names or may be forced to stop using these names, which Tectonic needs for name recognition by potential partners or customers in its markets of interest. At times, competitors may adopt trade names or trademarks similar to Tectonic’s, thereby impeding its ability to build brand identity and possibly leading to market confusion. In addition, there could be potential trade name or trademark infringement claims brought by owners of other registered trade names or trademarks that incorporate variations of Tectonic’s unregistered trade names or trademarks. If Tectonic is unable to establish name recognition based on its trademarks and trade names, Tectonic may not be able to compete effectively and its business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Tectonic’s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currently relies and expects to rely in the future on the use of manufacturing suites in third-party facilities or on third parties to manufacture TX45 and any other product candidates, and Tectonic may rely on third parties to produce and process its products, if approved. Tectonic’s business could be adversely affected if it is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Tectonic does not currently lease or own any facility that may be used as its clinical-scale manufacturing and processing facility and currently relies on a contract manufacturing organization (“CMO”), WuXi Biologics (Hong Kong) Limited (“WuXi Biologics”), to manufacture its product candidate used in Tectonic’s Phase 1a clinical trial. Tectonic currently has a sole source relationship with WuXi Biologics for its supply of TX45 (see the section titled “</w:t>
      </w:r>
      <w:r>
        <w:rPr>
          <w:rFonts w:ascii="Times New Roman" w:hAnsi="Times New Roman"/>
          <w:i/>
          <w:sz w:val="20"/>
        </w:rPr>
        <w:t>Tectonic’s Business–Collaboration, License and Services Agreements</w:t>
      </w:r>
      <w:r>
        <w:rPr>
          <w:rFonts w:ascii="Times New Roman" w:hAnsi="Times New Roman"/>
          <w:sz w:val="20"/>
        </w:rPr>
        <w:t xml:space="preserve">” located elsewhere in this proxy statement/prospectus for additional information on Tectonic’s relationship with WuXi Biologics). If there should be any disruption in such supply arrangement, including any adverse events affecting Tectonic’s sole supplier, Wuxi Biologics, it could have a negative effect on the clinical development of its product candidates and other operations while Tectonic works to identify and qualify an alternate supply source.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not control the manufacturing process of, and may be completely dependent on, its contract manufacturing partner for compliance with cGMP requirements and any other regulatory requirements of the FDA or comparable foreign regulatory authorities for the manufacture of a product candidate. Tectonic performs periodic audits of each CMO facility that supports its supply of TX45 and reviews and approves all TX45 cGMP-related documentation. Tectonic also has a quality agreement with WuXi Biologics that documents its mutual agreement on compliance with cGMPs and expectations on quality-required communications to Tectonic. Beyond this, Tectonic has no control over the ability of its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Tectonic may need to find alternative manufacturing facilities, which would require the incurrence of significant additional costs and materially and adversely affect its ability to develop, obtain regulatory approval for or market such product candidate, if approved. Similarly, Tectonic’s failure, or the failure of its CMO, to comply with applicable regulations could result in sanctions being imposed on Tectonic,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Tectonic’s business and results of operations. In addition, Tectonic has not yet caused any product candidates to be manufactured on a commercial scale and may not be able to do so for any of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Moreover, Tectonic’s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its third-party vendors and cause delays. Furthermore, since Tectonic has engaged WuXi Biologics, a manufacturer located in China, it is exposed to the possibility of product supply disruption and increased costs in the event of changes in the policies of the United States or Chinese governments or political unrest or unstable economic conditions in China. If Tectonic is required to change manufacturers for any reason, it will be required to verify that the new manufacturer maintains facilities and procedures that comply with quality standards and with all applicable regulations and guidelines. For example, in the event that Tectonic needs to transfer from WuXi Biologics, which is its sole manufacturing source for TX45, it anticipates that the complexity of the manufacturing process may materially impact the amount of time it would take to secure a replacement manufacturer. The delays associated with the verification of a new manufacturer, if Tectonic is able to identify an alternative source, could negatively affect its ability to supply product candidates, including TX45, in a timely manner or within budget. If any CMO on which Tectonic will rely fails to manufacture quantities of a product candidate at quality levels necessary to meet regulatory requirements and at a scale sufficient to meet anticipated demand at a cost that allows it to achieve profitability, Tectonic’s business, financial condition, cash flows, and prospects could be materially and adversely affected. In addition, Tectonic’s CMO and/or distribution partners are responsible for transporting temperature-controlled materials that can be inadvertently degraded during transport due to several factors, rendering certain batches unsuitable for trial use for failure to meet, among others, Tectonic’s integrity and purity specifications. Tectonic and its CMO may also face product seizure or detention or refusal to permit the import or export of products. Tectonic’s business could be materially adversely affected by business disruptions to its third-party providers that could materially adversely affect its anticipated timelines, potential future revenue and financial condition and increase its costs and expenses. Each of these risks could delay or prevent the completion of Tectonic’s preclinical studies and clinical trials or the approval of any of its product candidates by the FDA, result in higher costs or adversely impact commercialization of its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 relies, and expects to continue to rely, on third parties, including independent clinical investigators, contracted laboratories and CROs, to conduct its preclinical studies and clinical trials. If these third parties do not successfully carry out their contractual duties or meet expected deadlines, Tectonic may not be able to obtain regulatory approval for or commercialize its product candidates and Tectonic’s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Tectonic has relied upon and plan to continue to rely upon third parties, including independent clinical investigators, contracted laboratories and third-party CROs, to conduct its preclinical studies and clinical trials in accordance with applicable regulatory requirements, to validate its assays and to monitor and manage data for its ongoing preclinical and clinical programs. Tectonic relies on these parties for execution of its preclinical studies and clinical trials, and control only certain aspects of their activities. Nevertheless, Tectonic is responsible for ensuring that each of its studies and trials is conducted in accordance with the applicable protocol, legal and regulatory requirements and scientific standards, and its reliance on these third parties does not relieve Tectonic of its regulatory responsibilities. Tectonic and its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Tectonic, its investigators or any of its CROs or contracted laboratories fail to comply with applicable GLPs and GCPs, the clinical data generated in its clinical trials may be deemed unreliable and the FDA or comparable foreign regulatory authorities may require Tectonic to perform additional preclinical studies or clinical trials before approving its marketing applications. Tectonic cannot assure you that upon inspection by a given regulatory authority, such regulatory authority will determine that any of its preclinical studies or clinical trials comply with applicable GLP or GCP regulations. In addition, Tectonic’s clinical trials must be conducted with product, including biologic product, produced in compliance with applicable cGMP regulations. Tectonic’s failure to comply with these regulations may require it to repeat preclinical studies or clinical trials, which would delay the regulatory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Further, these laboratories, investigators and CROs are not Tectonic’s employees and Tectonic will not be able to control, other than by contract, the amount of resources, including time, which they devote to its product candidates and clinical trials. If independent laboratories, investigators or CROs fail to devote sufficient resources to the development of Tectonic’s product candidates, or if their performance is substandard, it may delay or compromise the prospects for approval and commercialization of any product candidates that Tectonic develops. In addition, the use of third-party service providers requires Tectonic to disclose its proprietary information to these parties, which could increase the risk that this information will be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Tectonic’s CROs have the right to terminate their agreements with Tectonic in the event of an uncured material breach. In addition, some of its CROs have an ability to terminate their respective agreements with Tectonic if it can be reasonably demonstrated that the safety of the subjects participating in Tectonic’s clinical trials warrants such termination, if Tectonic makes a general assignment for the benefit of its creditors or if Tectonic is liquidated. </w:t>
      </w:r>
    </w:p>
    <w:p>
      <w:pPr>
        <w:pStyle w:val="TextBody"/>
        <w:bidi w:val="0"/>
        <w:spacing w:before="24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its business objectives. If any of Tectonic’s relationships with these third-party laboratories, CROs or clinical investigators terminate, Tectonic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its preclinical or clinical protocols, regulatory requirements or for other reasons, its preclinical or clinical trials may be extended, delayed or terminated and Tectonic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approval for or successfully commercialize its product candidates. As a result, Tectonic’s results of operations and the commercial prospects for its product candidates would be harmed, its costs could increase and its ability to generate revenues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Tectonic’s ability to meet its desired clinical development timelines. Though Tectonic carefully manage its relationships with its contracted laboratories and CROs, there can be no assurance that Tectonic will not encounter similar challenges or delays in the future or that these delays or challenges will not have a material adverse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Tectonic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Tectonic from commercializing its clinical-stage product candidate or any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future collaborations will be important to its business. If Tectonic is unable to enter into new collaborations, or if these collaborations are not successful,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Tectonic’s strategy is to strategically evaluate and, as deemed appropriate, enter into additional strategic collaborations in the future when strategically attractive, including potentially with major biotechnology or pharmaceutical companies. Tectonic has limited capabilities for product development and do not yet have any capability for commercialization. Accordingly, Tectonic may enter into collaborations with other companies to provide it with important technologies and funding for its programs and technology. If Tectonic fails to enter into or maintain collaborations on reasonable terms or at all, its ability to develop its existing or future research programs and product candidates could be delayed, the commercial potential of its product could change and its costs of development and commercialization could increase. Furthermore, Tectonic may find that its programs require the use of intellectual property rights held by third parties, and the growth of its business may depend in part on its ability to acquire or in-license these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future collaborations Tectonic enters into may pose a number of risks, including, but not limited to, the following: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Tectonic’s products and product candidates if the collaborators believe that the competitive products are more likely to be successfully developed or can be commercialized under terms that are more economically attractive than Tectonic’s;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Tectonic may be viewed by its collaborators as competitive with their own product candidates or products, which may cause collaborators to cease to devote resources to the commercialization of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Tectonic’s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Tectonic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Tectonic’s intellectual property rights or may use its proprietary information in such a way as to invite litigation that could jeopardize or invalidate its intellectual property or proprietary information or expose Tectonic to potential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Tectonic to litigation and potential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Tectonic’s is involved in a business combination, the collaborator might deemphasize or terminate the development or commercialization of any product candidate licensed to it by Tectonic;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Tectonic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Tectonic’s collaborations do not result in the successful discovery, development and commercialization of product candidates or if one of its collaborators terminates its agreement with Tectonic, it may not receive any future research funding or milestone or royalty payments under such collaboration. All of the risks relating to product development, regulatory approval and commercialization described in this prospectus also apply to the activities of its therapeutic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of Tectonic’s collaborators terminates its agreement with Tectonic, Tectonic may find it more difficult to attract new collaborators and its perception in the business and financial communities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Tectonic faces significant competition in seeking appropriate collaborative partners. Tectonic’s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Tectonic’s ownership of technology (which can exist if there is a challenge to such ownership regardless of the merits of the challenge)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industry and market conditions generally. The collaborator may also consider alternative product candidates or technologies for similar indications that may be available to collaborate on and whether such a collaboration could be more attractive than the one with Tectonic. </w:t>
      </w:r>
    </w:p>
    <w:p>
      <w:pPr>
        <w:pStyle w:val="TextBody"/>
        <w:bidi w:val="0"/>
        <w:spacing w:before="240" w:after="0"/>
        <w:jc w:val="left"/>
        <w:rPr>
          <w:rFonts w:ascii="Times New Roman" w:hAnsi="Times New Roman"/>
          <w:sz w:val="20"/>
        </w:rPr>
      </w:pPr>
      <w:r>
        <w:rPr>
          <w:rFonts w:ascii="Times New Roman" w:hAnsi="Times New Roman"/>
          <w:sz w:val="20"/>
        </w:rPr>
        <w:t xml:space="preserve">Tectonic may not be able to negotiate collaborations on a timely basis, on acceptable terms, or at all. If Tectonic is unable to do so, Tectonic may have to curtail the development of the product candidate for which Tectonic is seeking to collaborate, reduce or delay its development program or one or more of its other development programs, delay its potential commercialization, reduce the scope of any sales or marketing activities or increase its expenditures and undertake development or commercialization activities at Tectonic’s own expense. If Tectonic elects to increase its expenditures to fund development or commercialization activities on its own, Tectonic may need to obtain additional capital, which may not be available to Tectonic on acceptable terms or at all. If Tectonic does not have sufficient funds, it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Tectonic’s ability to advance its pre-clinical programs and successfully develop its product candidates requires access to animal research models sufficient to assess safety and in some cases to establish the rationale for therapeutic use. Failure to access or a significant delay in accessing animal research models that meet Tectonic’s needs or that fulfil regulatory requirements may materially adversely affect its ability to advance Tectonic’s pre-clinical programs and successfully develop its product candidates and this could result in significant harm to Tectonic’s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Tectonic is unable to obtain NHPs in sufficient quantities and in a timely manner to meet the needs of its pre-clinical research programs, if the price of NHPs that are available increases significantly, or if Tectonic’s suppliers are unable to ship the NHPs in their possession that are reserved for them, Tectonic’s ability to advance its pre-clinical programs and successfully develop its pre-clinical candidates may be materially adversely affected or significantly delayed.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Related to Tectonic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will incur significantly increased costs as a result of operating as a public company, and its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Tectonic will incur significant legal, accounting and other expenses that it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Tectonic operate its business in ways Tectonic cannot currently anticipate. Tectonic’s management and other personnel will need to devote a substantial amount of time to these compliance initiatives. Moreover, these rules and regulations will increase Tectonic’s legal and financial compliance costs and will make some activities more time-consuming and costlier. For example, Tectonic expects these rules and regulations to make it more difficult and more expensive for Tectonic to obtain director and officer liability insurance and Tectonic may be required to incur substantial costs to maintain its current levels of such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build Tectonic’s finance infrastructure and improve its accounting systems and controls could impair Tectonic’s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Tectonic will operate in an increasingly demanding regulatory environment, which requires Tectonic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Tectonic to produce reliable financial reports and are important to help prevent financial fraud. Commencing with Tectonic’s fiscal year ending the year after the Merger is completed, Tectonic must perform system and process evaluation and testing of its internal controls over financial reporting to allow management to report on the effectiveness of Tectonic’s internal controls over financial reporting in its Annual Report on Form 10-K filing for that year, as required by Section 404 of the Sarbanes-Oxley Act. Prior to the closing of the merger, Tectonic has never been required to test its internal controls within a specified period and, as a result, Tectonic may experience difficulty in meeting these reporting requirements in a timely manner. If Tectonic is not able to comply with the requirements of Section 404 of the Sarbanes-Oxley Act in a timely manner, or if Tectonic is unable to maintain proper and effective internal controls, Tectonic may not be able to produce timely and accurate financial statements. If Tectonic cannot provide reliable financial reports or prevent fraud, its business and results of operations could be harmed, investors could lose confidence in Tectonic’s reported financial information and Tectonic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Tectonic will become subject to the periodic reporting requirements of the Exchange Act. Tectonic designed its disclosure controls and procedures to reasonably assure that information Tectonic must disclose in reports it files or submits under the Exchange Act is accumulated and communicated to management, and recorded, processed, summarized and reported within the time periods specified in the rules and forms of the SEC. Tectonic believes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Tectonic’s directors or executive officers could inadvertently fail to disclose a new relationship or arrangement causing Tectonic to fail to make any related party transaction disclosures. Additionally, controls can be circumvented by the individual acts of some persons, by collusion of two or more people or by an unauthorized override of the controls. Accordingly, because of the inherent limitations in Tectonic’s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information technology systems of Tectonic, its CROs, its CMOs, service providers, its current and potential future partners or other third parties upon which it relies were compromised, Tectonic could experience adverse consequences, including but not limited to material disruptions to Tectonic’s business operations,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Tectonic collects, stores, receives, processes, generates, uses, transfers, discloses, makes accessible, protects, secures, disposes of, shares, and transmits (collectively, process) proprietary, confidential and sensitive information, including personal information (such as health-related data of clinical trial participants and employee information), in the course of its business. Similarly, third-parties upon which Tectonic relies process certain of that information on Tectonic’s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Tectonic’s sensitive information and information technology systems, and those of the third parties upon which Tectonic relies.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Tectonic’s operations, loss of sensitive data and income, reputational harm, and diversion of funds. Extortion payments may alleviate the negative impact of a ransomware attack, but Tectonic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Tectonic personnel or the personnel of the third parties upon which Tectonic relies, organized criminal threat actors, hacktivists, sophisticated nation-states and nation-state-supported actors. During times of war and other major conflicts, Tectonic, the third parties upon which it relies, and Tectonic’s customers may be vulnerable to a heightened risk of these attacks, including retaliatory cyber-attacks, that could materially disrupt Tectonic’s systems and operations, supply chain, and ability to produce, sell and distribute its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Tectonic to additional cybersecurity risks and vulnerabilities, as its systems could be negatively affected by vulnerabilities present in acquired or integrated entities’ systems and technologies. Furthermore, Tectonic may discover security issues that were not found during due diligence of such acquired or integrated entities, and it may be difficult to integrate companies into its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Tectonic’s reliance on third-party service providers could introduce new cybersecurity risks and vulnerabilities, and other threats to its business operations. For example, Tectonic relies on third parties to operate critical business systems and process sensitive data in a variety of contexts, including, without limitation, cloud-based infrastructure, data center facilities, encryption and authentication technology, personnel email, and other functions. Tectonic also relies on third parties, including CROs, clinical trial sites and clinical trial vendors, to collect, store, and transmit sensitive data as part of its research activities. Tectonic’s ability to monitor these third parties is limited, and these third parties may not have adequate information security measures in place. If Tectonic’s third-party service providers experience a security incident or other interruption, Tectonic could experience adverse consequences. While Tectonic may be entitled to damages if its third-party service providers fail to satisfy their privacy or security-related obligations to Tectonic, any award may be insufficient to cover damages, or Tectonic may be unable to recover such awards. Supply-chain attacks have also increased in frequency and severity, and Tectonic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Certain functional areas of Tectonic’s workforce work remotely on a full- or part-time basis or otherwise utilize network connections, computers and devices outside of Tectonic’s premises or network, which imposes additional risks to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Tectonic has implemented security measures designed to protect against security incidents, there can be no assurance that these measures will be effective. Tectonic takes steps designed to detect, mitigate, and remediate vulnerabilities in its information systems (such as its hardware and/or software, including that of third parties upon which Tectonic rely). Tectonic may not, however, detect and remediate all such vulnerabilities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on a timely basis. Further, Tectonic may experience delays in developing and deploying remedial measures and patches designed to address identified vulnerabilities. Vulnerabilities could be exploited and result in a security incident. Tectonic maybe required to, or it may choose to,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may require Tectonic to implement and maintain specific security measures or industry-standard or reasonable security measures to protect its information technology systems and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Tectonic’s sensitive information or its information technology systems, or those of the third parties upon which Tectonic rely. If Tectonic’s information systems or data, or that of the third parties on which it relies, are compromised, it could interrupt Tectonic’s operations, disrupt its development programs and have a material adverse effect on its business, financial condition and results of operations. For example, the loss or corruption of clinical trial data from completed or future clinical trials could result in delays in Tectonic’s regulatory approval efforts and significantly increase Tectonic’s costs to recover or reproduce the data. Likewise, Tectonic relies on third parties for the manufacture of TX45, to analyze clinical trial samples and to conduct clinical trials, and security incidents experienced by these third parties could have a material adverse effect on its business. Security incidents affecting Tectonic or the third parties Tectonic relies on or partners with could also result in substantial remediation costs and expose Tectonic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its operations (including availability of data), financial loss and other liabilities and harms. Additionally, such incidents may trigger data privacy and security obligations requiring Tectonic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Tectonic or a third-party partner may result in negative publicity, harm to Tectonic’s reputation, or other adverse effects. </w:t>
      </w:r>
    </w:p>
    <w:p>
      <w:pPr>
        <w:pStyle w:val="TextBody"/>
        <w:bidi w:val="0"/>
        <w:spacing w:before="240" w:after="0"/>
        <w:jc w:val="left"/>
        <w:rPr>
          <w:rFonts w:ascii="Times New Roman" w:hAnsi="Times New Roman"/>
          <w:sz w:val="20"/>
        </w:rPr>
      </w:pPr>
      <w:r>
        <w:rPr>
          <w:rFonts w:ascii="Times New Roman" w:hAnsi="Times New Roman"/>
          <w:sz w:val="20"/>
        </w:rPr>
        <w:t xml:space="preserve">Tectonic’s contracts may not contain limitations of liability, and even where they do, there can be no assurance that limitations of liability in its contracts are sufficient to protect Tectonic from claims related to its data privacy and security obligations. Additionally, Tectonic cannot be certain that its insurance coverage will be adequate for data security liabilities actually incurred, will continue to be available to it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Tectonic from public sources, data brokers, or other means that reveals competitively sensitive details about the company and could be used to undermine Tectonic’s competitive advantage or market position. Additionally, sensitive information of Tectonic could be leaked, disclosed, or revealed as a result of or in connection with its employees’, personnel’s, or vendors’ use of generative AI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Tectonic is subject to rapidly changing and increasingly stringent U.S. and foreign laws, regulations, and rules, contractual obligations, industry standards, policies and other obligations relating to privacy, data protection and information security. Tectonic’s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processes proprietary, confidential and sensitive information, including personal information (including health-related data), which subjects it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Tectonic’s processing of personal information from clinical trial participants and other individuals located in the EEA, the United Kingdom (the “UK”), or Switzerland and, if TX45 or any potential future product candidates are approved, Tectonic’s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Tectonic can satisfy or rely on these measures to lawfully transfer personal data to the United States. If Tectonic is unable to implement a valid compliance solution for cross-border transfers of personal information, or if the requirements for a legally-compliant transfer are too onerous, Tectonic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Tectonic’s inability to import personal information from the EEA, UK or Switzerland or other countries may also restrict or prohibit its clinical trial activities in those countries; limit its ability to collaborate with CROs, service providers, contractors and other companies subject to laws restricting cross-border data transfers; require Tectonic to increase its data processing capabilities in other countries at significant expense and may otherwise negatively impact Tectonic’s business operations. Tectonic may also become subject to new laws in the EEA and other jurisdictions that regulate cybersecurity and non-personal data, such as data collected through the internet of things. Depending on how these laws are interpreted, Tectonic may have to make changes to its business practices and products to comply with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Tectonic’s services and operating its business. </w:t>
      </w:r>
    </w:p>
    <w:p>
      <w:pPr>
        <w:pStyle w:val="TextBody"/>
        <w:bidi w:val="0"/>
        <w:spacing w:before="24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Tectonic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Tectonic’s business and increases its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Tectonic is bound by contractual obligations and its efforts to comply with such obligations may not be successful. Tectonic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its practices, Tectonic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Tectonic’s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Tectonic to devote significant resources (including, without limitation, financial and time-related resources). These obligations may necessitate changes to Tectonic’s information technologies, systems and practices and to those of any third parties that process personal information on its behalf. In addition, these obligations may require Tectonic to change aspects of its business model. Although Tectonic endeavors to comply with applicable data privacy and security obligations, Tectonic may at times fail (or be perceived to have failed) to do so. Moreover, despite Tectonic’s efforts, its personnel or third parties upon whom it relies may fail to comply with such obligations, which could impact whether or not it is in compliance. </w:t>
      </w:r>
    </w:p>
    <w:p>
      <w:pPr>
        <w:pStyle w:val="TextBody"/>
        <w:bidi w:val="0"/>
        <w:spacing w:before="240" w:after="0"/>
        <w:jc w:val="left"/>
        <w:rPr>
          <w:rFonts w:ascii="Times New Roman" w:hAnsi="Times New Roman"/>
          <w:sz w:val="20"/>
        </w:rPr>
      </w:pPr>
      <w:r>
        <w:rPr>
          <w:rFonts w:ascii="Times New Roman" w:hAnsi="Times New Roman"/>
          <w:sz w:val="20"/>
        </w:rPr>
        <w:t xml:space="preserve">If Tectonic (or third parties on which it relies) fail, or are perceived to have failed, to address or comply with data privacy, protection and security obligations, Tectonic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Tectonic’s reputation, business or financial condition, including but not limited to: loss of customers; interruptions or stoppages in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(including clinical trials); inability to process personal information or to operate in certain jurisdictions; limited ability to develop or commercialize its products; expenditure of time and resources to defend any claim or inquiry; adverse publicity; or revision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or the third parties upon whom it depends may be adversely affected by earthquakes, fires or other natural disasters and Tectonic’s business continuity and disaster recovery plans may not adequately protect Tectonic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Tectonic’s control prevent it from using all or a significant portion of its headquarters or other facilities, it may be difficult or, in certain cases, impossible for Tectonic to continue its business for a substantial period of time. Tectonic does not have a disaster recovery or business continuity plan in place and may incur substantial expenses as a result of the absence or limited nature of Tectonic’s internal or third-party service provider disaster recovery and business continuity plans, which could have a material adverse effect on Tectonic’s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Tectonic’s business. If such an event were to affect Tectonic’s supply chain, it could have a material adverse effect on Tectonic’s ability to conduct its clinical trials, its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conducts certain research and development operations through its Australian wholly-owned subsidiary. If Tectonic loses its ability to operate in Australia, or if its subsidiary is unable to receive the research and development incentive payment allowed by Australian regulations, Tectonic’s business and results of operations could suffer.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Tectonic formed a wholly-owned Australian subsidiary, Tectonic Therapeutic Pty Ltd., to conduct various preclinical studies and clinical trials for its product candidates in Australia. Due to the geographical distance and lack of employees currently in Australia, as well as Tectonic’s lack of experience operating in Australia, Tectonic may not be able to efficiently or successfully monitor its clinical activities in Australia, including conducting preclinical studies and clinical trials. Furthermore, Tectonic has no assurance that the results of any clinical trials that Tectonic conducts for its product candidate in Australia will be accepted by the FDA or comparable foreign regulatory authorities for development and commercialization approvals.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2024 for research expenditures made during 2023 and 2022. If its subsidiary loses its ability to operate in Australia, or if Tectonic is ineligible or unable to receive the research and development incentive payment, or the Australian government significantly reduces or eliminates the incentive program, Tectonic’s business and results of operation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Tectonic’s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Tectonic. In recent years, many changes have been made to applicable tax laws and changes are likely to continue to occur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Tectonic’s tax liability or require changes in the manner in which Tectonic operates in order to minimize or mitigate any adverse effects of changes in tax law or in the interpretation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Tectonic’s ability to use Tectonic’s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Tectonic had U.S. federal net operating loss carryforwards of approximately $     . The amount of net operating loss carryforwards that Tectonic is permitted to deduct is limited to 80% of taxable income in each such taxable year to which the net operating loss carryforwards are applied. In addition, Tectonic’s U.S. federal net operating losses and tax credits may be subject to limitations under Sections 382 and 383 of the Code, if Tectonic has undergone or undergoes an “ownership change,” generally defined as a greater than 50 percentage point change (by value) in its equity ownership by certain stockholders over a rolling three-year period. Tectonic may have experienced such ownership changes in the past and may experience ownership changes in the future as a result of shifts in its stock ownership, some of which are outside its control. Tectonic’s net operating losses and tax credits may also be impaired or restricted under state law.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utilize its net operating loss carryforwards could be limited by an “ownership change” as described above, which could result in increased tax liability to Tectonic.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Tectonic’s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Tectonic’s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Tectonic’s growth strategy and financial performance and could require Tectonic to delay or abandon clinical development plans. In addition, there is a risk that one or more of Tectonic’s current service providers, manufacturers and other partners may not survive an economic downturn, which could directly affect Tectonic’s ability to attain its operating goals on schedule and on budget. </w:t>
      </w:r>
    </w:p>
    <w:p>
      <w:pPr>
        <w:pStyle w:val="TextBody"/>
        <w:bidi w:val="0"/>
        <w:spacing w:before="24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uncertainty to regulations and rules that may materially affect Tectonic’s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its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Tectonic’s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Tectonic may be required to make changes in its accounting policies. Those changes could affect Tectonic’s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results of operations or the way in which such financial condition and results of operations are reported. Compliance with new accounting standards may also result in additional expenses. As a result, Tectonic intends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Tectonic or any CMOs and suppliers Tectonic engages fail to comply with environmental, health and safety laws and regulations, Tectonic could become subject to fines or penalties or incur costs that could have a material adverse effect on the success of Tectonic’s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and any CMOs and suppliers it engages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Tectonic’s operations involve the use of hazardous and flammable materials, including chemicals and biological and radioactive materials. Tectonic’s operations also produce hazardous waste. Tectonic generally contracts with third parties for the disposal of these materials and wastes. Tectonic cannot eliminate the risk of contamination or injury from these materials. In the event of contamination or injury resulting from Tectonic’s use of hazardous materials, Tectonic could be held liable for any resulting damages, and any liability could exceed Tectonic’s resources. Under certain environmental laws, Tectonic could be held responsible for costs relating to any contamination at third-party facilities. Tectonic could also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Tectonic’s research and product development efforts. In addition, Tectonic cannot entirely eliminate the risk of accidental injury or contamination from these materials or wastes. Although Tectonic maintains workers’ compensation insurance to cover it for costs and expenses it may incur due to injuries to its employees resulting from the use of hazardous materials, this insurance may not provide adequate coverage against potential liabilities. Tectonic does not carry specific biological or hazardous waste insurance coverage, and Tectonic’s property, casualty and general liability insurance policies specifically exclude coverage for damages and fines arising from biological or hazardous waste exposure or contamination. Accordingly, in the event of contamination or injury, Tectonic could be held liable for damages or be penalized with fines in an amount exceeding its resources, and Tectonic’s clinical trials or regulatory approvals could be suspended, which could have a material adverse effect on Tectonic’s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Tectonic’s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Any third-party CMOs and suppliers Tectonic engages will also be subject to these and other environmental, health and safety laws and regulations. Liabilities they incur pursuant to these laws and regulations could result in significant costs or an interruption in operations, which could have a material adverse effect on Tectonic’s business, financial condition, results of operations and prospects. </w:t>
      </w:r>
    </w:p>
    <w:p>
      <w:pPr>
        <w:pStyle w:val="TextBody"/>
        <w:bidi w:val="0"/>
        <w:spacing w:before="360" w:after="0"/>
        <w:jc w:val="left"/>
        <w:rPr>
          <w:rFonts w:ascii="Times New Roman" w:hAnsi="Times New Roman"/>
          <w:b/>
          <w:sz w:val="20"/>
        </w:rPr>
      </w:pPr>
      <w:bookmarkStart w:id="36" w:name="toc770053_34"/>
      <w:bookmarkEnd w:id="36"/>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AVROBIO” or “Risks Related to Tectonic”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titled “</w:t>
      </w:r>
      <w:r>
        <w:rPr>
          <w:rFonts w:ascii="Times New Roman" w:hAnsi="Times New Roman"/>
          <w:i/>
          <w:sz w:val="20"/>
        </w:rPr>
        <w:t>Risks Related to AVROBIO</w:t>
      </w:r>
      <w:r>
        <w:rPr>
          <w:rFonts w:ascii="Times New Roman" w:hAnsi="Times New Roman"/>
          <w:sz w:val="20"/>
        </w:rPr>
        <w:t>” and “</w:t>
      </w:r>
      <w:r>
        <w:rPr>
          <w:rFonts w:ascii="Times New Roman" w:hAnsi="Times New Roman"/>
          <w:i/>
          <w:sz w:val="20"/>
        </w:rPr>
        <w:t>Risks Related to Tectonic</w:t>
      </w:r>
      <w:r>
        <w:rPr>
          <w:rFonts w:ascii="Times New Roman" w:hAnsi="Times New Roman"/>
          <w:sz w:val="20"/>
        </w:rPr>
        <w:t xml:space="preserve">” beginning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page 48 and 107, respectively, of this proxy statement/prospectus. To the extent 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the stock markets in general have experienced, and continue to experience, substantial volatility that has often been unrelated to the operating performance of individual companies. These broad market fluctuations may also adversely affect the trading price of the combined company’s common stock. In addition, a recession, depression or other sustained adverse market event could materially and adversely affect the combined company’s business and the 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might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integrate successfully the businesses of AVROBIO and Tectonic and realize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costly than expected. Potential difficulties the combined company may encounter in the integration process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AVROBIO and Tectonic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AVROBIO and Tectonic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assets subject to the CVR Agreement are not disposed of in a timely manner, the combined company may have to incur time and resources to wind down or dispose of such assets. </w:t>
      </w:r>
    </w:p>
    <w:p>
      <w:pPr>
        <w:pStyle w:val="TextBody"/>
        <w:bidi w:val="0"/>
        <w:spacing w:before="120" w:after="0"/>
        <w:jc w:val="left"/>
        <w:rPr>
          <w:rFonts w:ascii="Times New Roman" w:hAnsi="Times New Roman"/>
          <w:sz w:val="20"/>
        </w:rPr>
      </w:pPr>
      <w:r>
        <w:rPr>
          <w:rFonts w:ascii="Times New Roman" w:hAnsi="Times New Roman"/>
          <w:sz w:val="20"/>
        </w:rPr>
        <w:t>In connection with the merger, AVROBIO intends to declare a dividend to each person who as of immediately prior to the effective time was a stockholder of record of AVROBIO or had the right to receive AVROBIO common stock of the right to receive one non-transferable CVR for each then outstanding share of AVROBIO common stock, each representing the non-transferable contractual right to receive certain contingent payments from AVROBIO upon the occurrence of certain events within agreed time periods. Please see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Pursuant to the terms of the CVR Agreement, the holders of AVROBIO common stock prior to the closing, rather than the holders of the combined company’s common stock, are the primary recipients of any net proceeds of the disposition (including a license) of the assets subject to the CVR Agreement. 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Absent such CVR Agreement, the combined company may have allocated such funds, time and resources to its core programs and the foregoing could be a distraction to the combined company’s management and employees. As a result, the combined company’s operations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Tectonic did not incur as a private company, including costs associated with public company reporting obligations under the Exchange Act. The combined company’s management team will consist of the executive officers of Tectonic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or continued listing standards of Nasdaq will prevent its stock from being listed on Nasdaq or may result in delisting from Nasdaq. </w:t>
      </w:r>
    </w:p>
    <w:p>
      <w:pPr>
        <w:pStyle w:val="TextBody"/>
        <w:bidi w:val="0"/>
        <w:spacing w:before="120" w:after="0"/>
        <w:jc w:val="left"/>
        <w:rPr>
          <w:rFonts w:ascii="Times New Roman" w:hAnsi="Times New Roman"/>
          <w:sz w:val="20"/>
        </w:rPr>
      </w:pPr>
      <w:r>
        <w:rPr>
          <w:rFonts w:ascii="Times New Roman" w:hAnsi="Times New Roman"/>
          <w:sz w:val="20"/>
        </w:rPr>
        <w:t>Upon completion of the merger, AVROBIO, under the new name “Tectonic Therapeutic, Inc.,” will be required to meet the initial listing requirements to maintain the listing and continued trading of its shares on Nasdaq. These initial listing requirements are more difficult to achieve than the continued listing requirements. Pursuant to the Merger Agreement, AVROBIO agreed to use its commercially reasonable efforts to cause the shares of AVROBIO common stock issued in the merger to be approved for listing on Nasdaq at or prior to the effective time of the merger, although such condition may be waived in writing by AVROBIO, Merger Sub and Tectonic. For more information, see the section titled “</w:t>
      </w:r>
      <w:r>
        <w:rPr>
          <w:rFonts w:ascii="Times New Roman" w:hAnsi="Times New Roman"/>
          <w:i/>
          <w:sz w:val="20"/>
        </w:rPr>
        <w:t>Risk Factors—Risks Related to the Merger—AVROBIO or Tectonic may waive one or more of the conditions to the merger without recirculation of this proxy statement/prospectus or resoliciting stockholder approval”</w:t>
      </w:r>
      <w:r>
        <w:rPr>
          <w:rFonts w:ascii="Times New Roman" w:hAnsi="Times New Roman"/>
          <w:sz w:val="20"/>
        </w:rPr>
        <w:t xml:space="preserve"> on page 37 of this proxy statement/prospectus. Based on information currently available to AVROBIO, AVROBIO anticipates that, at the closing, its stock will be unable to meet the $4.00 (or, to the extent applicable, $3.00) minimum bid price initial listing requirement, which requires the combined company to maintain a minimum bid price of $4.00 per share over a 30-day trading period prior to listing, unless it effects a reverse stock split. The AVROBIO Board intends to effect a reverse stock split of the shares of AVROBIO common stock at a ratio of between 1:3 to 1:30. In addition, often times a reverse stock split will not result in a trading price for the affected common stock that is proportional to the ratio of the split. If the combined company fails to meet the initial listing requirements of Nasdaq and AVROBIO and Tectonic choose to close the merger without Nasdaq’s approval, Nasdaq may notify the combined company that its shares of common stock will not be listed on Nasdaq. Additionally, even if the combined company is able to comply with initial listing standards of Nasdaq, there can be no assurance that the combined company will be able to thereafter maintain compliance with the continued listing standards of Nasdaq. In the event of such failure to satisfy continued listing standards, if the combined company is unable to regain compliance with the continued listing standards, Nasdaq may notify the combined company of the delisting of its common stock from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common stock of the combined company cannot be listed on Nasdaq or upon a potential delisting from Nasdaq, if the common stock of the combined company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which may make it more difficult for stockholders to buy and sell shares;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However, as a “smaller reporting company,” as such term is defined in Rule 12b-2 under the Exchange Act, in at least the near term, the combined company may take advantage of certain exemptions from disclosure requirements, including not being required to comply with the auditor attestation requirements of Section 404 of the Sarbanes-Oxley Act and reduced disclosure obligations regarding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in this proxy statement/prospectus and in the combined company’s periodic reports and proxy statements. Once the combined company is no longer a smaller reporting company or otherwise no longer qualifies for these exemptions,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company’s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company’s stock could decline or the combined company could be subject to sanctions or investigations by the SEC or other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Tectonic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For additional information related to the risks and uncertainties of the combined company’s compliance with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material weaknesses described above in the context of Tectonic being a private company, 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for AVROBIO and Tectonic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financial information for AVROBIO and Tectonic included in this proxy statement/prospectus are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certificate of incorporation and bylaws and provisions under Delaware law could make an acquisition of the combined company more difficult and may prevent attempts by its stockholders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AVROBIO’s bylaws and AVROBIO’s charter, as amended by the amendments thereto attached to this proxy statement/prospectus as </w:t>
      </w:r>
      <w:r>
        <w:rPr>
          <w:rFonts w:ascii="Times New Roman" w:hAnsi="Times New Roman"/>
          <w:sz w:val="20"/>
          <w:u w:val="single"/>
        </w:rPr>
        <w:t>Annexes G</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assuming Proposal Nos. 2 and 3 are approved by AVROBIO stockholders at the special meeting, will become the combined company’s bylaws and certificate of incorporation. Provisions that will be included in the combined company’s certificate of incorporation and bylaws may discourage, delay or prevent a merger, acquisition or other change in control of the combined company that stockholders may consider favorable, including transactions in which its common stockholders might otherwise receive a premium price for their shares. These provisions could also limit the price that investors might be willing to pay in the future for shares of the combined company’s common stock, thereby depressing the market price of its common stock. In addition, because the combined company’s board of directors will be responsible for appointing the members of the combined company’s management team, these provisions may frustrate or prevent any attempts by the combined company’s stockholders to replace or remove its current management by making it more difficult for stockholders to replace members of the combined company’s board of directors. Among other things, these provisions: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all members of the board are not elected at one time;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its directors to be changed only by resolution of its board of directors;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 to the board of directors or for proposing matters that can be acted on at stockholder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its stockholders by written consent;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its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66.67% of the votes that all its stockholders would be entitled to cast to amend or repeal certain provisions of its charter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AVROBIO and Tectonic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bylaws of the combined company will provide that, unless the combined company consents in writing to the selection of an alternative forum, certain designated courts will be the sole and exclusive forum for certain legal actions between the combined company and its stockholders, which could limit its stockholders’ ability to obtain a favorable judicial forum for disputes with the combined company or its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bylaws of the combined company will provide that, unless it consents in writing to an alternative forum, the Court of Chancery of the State of Delaware is the sole and exclusive forum for state law claims for (i) any derivative action or proceeding brought on its behalf, (ii) any action asserting a claim of or based on a breach of a fiduciary duty owed by any of its current or former directors, officers, or other employees to the combined company or its stockholders, (iii) any action asserting a claim arising pursuant to any provision of the DGCL, its charter or its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The bylaws of the combined company will further provide that, unless it consents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the bylaws of the combined company will provide that any person or entity purchasing or otherwise acquiring any interest in shares of its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litigation costs on stockholders of the combined company in pursuing any such claims, particularly if the stockholders do not reside in or near the State of Delaware. Additionally, the forum selection clauses in the bylaws of the combined company may limit its stockholders’ ability to bring a claim in a judicial forum that they find favorable for disputes with the combined company or its directors, officers or employees, which may discourage such lawsuits against the combined company and its directors, officers and employees even though an action, if successful, might benefit its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the combined company’s Federal Forum Provision. The Federal Forum Provision may also impose additional litigation costs on stockholders who assert the provision is unenforceable, and if the Federal Forum Provision is found to be unenforceable, the combined company may incur additional costs with resolving such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AVROBIO and Tectonic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common stock of the combined company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Tectonic capital stock. An active trading market for the combined company’s shares of common stock may never develop or be sustained. If an active market for the combined company’s common stock does not develop or is not sustained, it may be difficult for its stockholders to sell their shares at an attractive price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Transfers of the combined company’s securities utilizing Rule 144 of the Securities Act may be limited. </w:t>
      </w:r>
    </w:p>
    <w:p>
      <w:pPr>
        <w:pStyle w:val="TextBody"/>
        <w:bidi w:val="0"/>
        <w:spacing w:before="120" w:after="0"/>
        <w:jc w:val="left"/>
        <w:rPr>
          <w:rFonts w:ascii="Times New Roman" w:hAnsi="Times New Roman"/>
          <w:sz w:val="20"/>
        </w:rPr>
      </w:pPr>
      <w:r>
        <w:rPr>
          <w:rFonts w:ascii="Times New Roman" w:hAnsi="Times New Roman"/>
          <w:sz w:val="20"/>
        </w:rPr>
        <w:t>A significant portion of the combined company’s securities are restricted from immediate resale. Holders should be aware that transfers of the combined company’s securities pursuant to Rule 144 under the Securities Act (“Rule 144”) may be limited as Rule 144 is not available, subject to certain exceptions, for the resale of securities initially issued by shell companies (other than business combination related shell companies) or issuers that have been at any time previously a shell company. AVROBIO’s disposal of certain of its historical assets and operations, the halting of its remaining programs and the proposed merger with Tectonic will make AVROBIO subject to the SEC requirements applicable to reporting shell company business combinations. We anticipate that following the consummation of the merger, the combined company will no longer be a shell company. As a result, we anticipate that holders will not be able to sell their restricted combined company securities pursuant to Rule 144 without registration until one year after the combined company files the Current Report on Form 8-K following the closing that includes the required Form 10 information that reflects the combined company is no longer a shell company. For more information, see the section titled “</w:t>
      </w:r>
      <w:r>
        <w:rPr>
          <w:rFonts w:ascii="Times New Roman" w:hAnsi="Times New Roman"/>
          <w:i/>
          <w:sz w:val="20"/>
        </w:rPr>
        <w:t>Securities Act Restrictions on Resale of AVROBIO</w:t>
      </w:r>
      <w:r>
        <w:rPr>
          <w:rFonts w:ascii="Times New Roman" w:hAnsi="Times New Roman"/>
          <w:sz w:val="20"/>
        </w:rPr>
        <w:t xml:space="preserve"> </w:t>
      </w:r>
      <w:r>
        <w:rPr>
          <w:rFonts w:ascii="Times New Roman" w:hAnsi="Times New Roman"/>
          <w:i/>
          <w:sz w:val="20"/>
        </w:rPr>
        <w:t>Common Stock</w:t>
      </w:r>
      <w:r>
        <w:rPr>
          <w:rFonts w:ascii="Times New Roman" w:hAnsi="Times New Roman"/>
          <w:sz w:val="20"/>
        </w:rPr>
        <w:t xml:space="preserve">” beginning on page 456 of this proxy statement/prospectus.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AVROBIO’s disposal of certain of its historical assets and operations, the halting of its remaining programs and the proposed merger with Tectonic resulting in the conversion of Tectonic into a public company shall make AVROBIO subject to the SEC requirements applicable to reporting shell company business combinations. As a result, the combined company will be subject to more stringent reporting requirements, offering limitations and resale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has halted development of its remaining programs and had previously implemented the Cystinosis Sale. As such, AVROBIO’s plan to merge with Tectonic, resulting in the conversion of Tectonic into a public company, shall be subject to the SEC requirements applicable to reporting shell company business combinations, which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file a Form 8-K to report the Form 10 type information after closing with the SEC reflecting its status as an entity that is not a shell company;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not be eligible to use a Form S-3 until 12 full calendar months after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wait at least 60 calendar days after closing to file a Form S-8 for any equity plans or awards such as the 2024 Plan and the 2024 ESPP;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an “ineligible issuer” for three years following the closing, which will prevent the combined company from (i) incorporating by reference in its Form S-1 filings, (ii) using a free writing prospectus or (iii) taking advantage of the well-known seasoned issuer (also known as a “WKSI”) status despite its public float;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who (i) were affiliates of Tectonic at the time the merger was submitted for the vote or consent of Tectonic’s stockholders, (ii) receive securities of the combined company in the merger (i.e., Rule 145(c) securities) and (iii) publicly offer or sell such securities will be deemed to be engaged in a distribution of such securities, and therefore to be underwriters with respect to resales of those securities, and accordingly such securities may not be included in the Form S-1 resale shelf registration statement anticipated to be filed after the closing of the merger unless such securities are sold only in a fixed price offering in which such investors are named as underwriters in the 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144(i)(2) will limit the ability to publicly resell Rule 145(c) securities per Rule 145(d), as well as any other “restricted” or “control” securities of the combined company per Rule 144 (e.g., holders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securities and any affiliates of the public company are also affected) until one year after the Form 10 information is filed with the SEC. Non-affiliate AVROBIO stockholders prior the merger will not be subject to such restrictions on public resales of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SEC requirements will increase the combined company’s time and cost of raising capital, offering stock under equity plans, and complying with securities laws. Further, such requirements will add burdensome restrictions on the resale of combined company shares by affiliates of Tectonic and any holders of “restricted” or “control”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AVROBIO and Tectonic sell, or indicate an intention to sell, substantial amounts of the combined company’s common stock in the public market after legal restrictions on resale discussed in this proxy statement/prospectus lapse, the trading price of the common stock of the combined company could decline. Based on shares outstanding as of January 30, 2024, after giving effect to the estimated exchange ratio and the shares of Tectonic common stock to be issued in the private financings and shares expected to be issued upon completion of the merger and prior to giving effect to the anticipated AVROBIO reverse stock split, the combined company is expected to have outstanding a total of approximately 193,600,366 shares of common stock immediately following the completion of the merger. Of the shares of common stock, approximately 104,829,143 shares will be available for sale in the public market beginning 180 days after the closing as a result of the expiration of lock-up agreements between AVROBIO and Tectonic on the one hand and certain securityholders of AVROBIO and Tectonic on the other hand (and without giving effect to any restrictions on resale under securities laws). All other outstanding shares of common stock, other than shares held by affiliates of the combined company, shares of Tectonic common stock issued in the private financings, will be freely tradable, without restriction, in the public market (other than restrictions under applicable securities laws). In addition, shares of common stock that are subject to outstanding options of Tectonic will become eligible for sale in the public market to the extent permitted by the provisions of various vesting agreements and Rules 144 and 701 under the Securities Act. If these shares are sold, the trading price of the combined company’s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to not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private financings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private financings. You may not agree with the combined company’s decisions, and its use of the proceeds may not yield any return on your investment. The combined company’s failure to apply these resources effectively could compromise its ability to pursue its growth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the combined company or its stockholders. The combined company will assess the impact of various tax reform proposals and modifications to existing tax treaties in all jurisdictions where the combined company has operations to determine the potential effect on its business and any assumptions the combined company will make about its future taxable income. It cannot predict whether any specific proposals will be enacted, the terms of any such proposals or what effect, if any, such proposals would have on its business if they were to be enacted. For example, the United States recently enacted the IRA, which implements, among other changes, a 1% excise tax on certain stock buybacks. In addition, beginning in 2022, the Tax Cuts and Jobs Act eliminates the currently available option to deduct research and development expenditures and requires taxpayers to amortize them generally over five or fifteen years (for research activities conducted in the United States or outside the United States, respectively). The U.S. Congress is considering legislation that would restore the current deductibility of research and development expenditures, however, there is no assurance that the provision will be repealed or otherwise modified. Such changes, among others, may adversely affect its effective tax rate, results of operation and general business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federal law. In addition, under Sections 382 and 383 of the Code, U.S. federal net operating loss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The combined company’s ability to utilize its net operating loss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exposed to increased litigation, including stockholder litigation, which could have an adverse effect on the combined company’s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be exposed to increased litigation from stockholders, suppliers and other third parties due to the combination of AVROBIO’s business and Tectonic’s business following the merger. Such litigation may have an adverse impact on the combined company’s business and results of operations or may cause disruptions to the combined company’s operations. In addition, in the past, stockholders have initiated class action lawsuits against biotechnology companies following periods of volatility in the market prices of these companies’ common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internal control over financial reporting may not meet the standards required by Section 404 of the Sarbanes-Oxley Act, and failure to achieve and maintain effective internal control over financial reporting in accordance with Section 404 of the Sarbanes-Oxley Act, could have a material adverse effect on the combined company’s business and share price. </w:t>
      </w:r>
    </w:p>
    <w:p>
      <w:pPr>
        <w:pStyle w:val="TextBody"/>
        <w:bidi w:val="0"/>
        <w:spacing w:before="120" w:after="0"/>
        <w:jc w:val="left"/>
        <w:rPr>
          <w:rFonts w:ascii="Times New Roman" w:hAnsi="Times New Roman"/>
          <w:sz w:val="20"/>
        </w:rPr>
      </w:pPr>
      <w:r>
        <w:rPr>
          <w:rFonts w:ascii="Times New Roman" w:hAnsi="Times New Roman"/>
          <w:sz w:val="20"/>
        </w:rPr>
        <w:t xml:space="preserve">As a privately held company, Tectonic was not required to evaluate its internal control over financial reporting in a manner that meets the standards of publicly traded companies required by Section 404 of the Sarbanes-Oxley Act, or Section 404. Following the merger, the combined company’s management will be required to report on the effectiveness of the combined company’s internal control over financial reporting. The rules governing the standards that must be met for the combined company’s management to assess the combined company’s internal control over financial reporting are complex and require significant documentation, testing and possible remediation.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maintain effective internal control over financial reporting could severely inhibit the combined company’s ability to accurately report its financial condition, results of operations or cash flows. If the combined company is unable to conclude that its internal control over financial reporting is effective, or if the combined company’s independent registered public accounting firm determines the combined company has a material weakness or significant deficiency in the combined company’s internal control over financial reporting once that firm begins its reporting on internal control over financial reporting, investors may lose confidence in the accuracy and completeness of the combined company’s financial reports, the market price of the combined company’s common stock could decline, and the combined company could be subject to sanctions or investigations by Nasdaq, the SEC or other regulatory authorities. Failure to remedy any material weakness in the combined company’s internal control over financial reporting, or to implement or maintain other effective control systems required of public companies, could also restrict the combined company’s future access to the capital markets. </w:t>
      </w:r>
    </w:p>
    <w:p>
      <w:pPr>
        <w:pStyle w:val="TextBody"/>
        <w:bidi w:val="0"/>
        <w:spacing w:before="24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7" w:name="toc770053_35"/>
      <w:bookmarkEnd w:id="3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or incorporates statements that constitute forward-looking statements within the meaning of the federal securities laws in relation to AVROBIO, Tectonic,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AVROBIO’s or Tectonic’s expectations, hopes, beliefs, intentions or strategies regarding the future. In some cases, you can identify forward-looking statements by terminology such as “anticipates,” “believes,” “contemplate,” “continue,” “could,” “designed to,” “endeavor,” “estimates,” “expects,” “forecasts,” “hypothesizes,” “intends,” “may,” “might,” “plans,” “possible,” “potential,” “predicts,” “projects,” “seeks,” “should,” “target,” “will”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AVROBIO, Tectonic or the proposed transaction will be those that have been anticipated. These forward-looking statements involve a number of risks, uncertainties (some of which are beyond AVROBIO’s or Tectonic’s control) or other assumptions that may cause actual results or performance to be materially different from those expressed or implied by these forward-looking statements. In addition to other factors and matters contained in or incorporated by reference in this document, AVROBIO and Tectonic believe the following factors could cause actual results to differ materially from those discussed in the forward-looking statements: the risk that the conditions to the closing of the transaction are not satisfied, including the failure to obtain stockholder approval for the transaction;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transaction are not satisfied, including the failure to obtain stockholder approval for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and conditions of any required governmental or regulatory approvals of the merger that could cause the parties to abandon the merger;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and Tectonic’s ability to meet expectations regarding the timing and completion of the merger;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private financings are not completed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transaction and the ability of each of AVROBIO and Tectonic to consummate the transaction, including the private financings;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AVROBIO’s continued listing on Nasdaq until closing of the proposed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AVROBIO or Tectonic for future operations of the combined company following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AVROBIO, Tectonic and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AVROBIO’s and Tectonic’s ability to correctly estimate their respective operating expenses and expenses associated with the transaction, future revenue, capital requirements, needs for additional financing, uncertainties regarding the impact any delay in the closing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parties’ estimates regarding expenses, future revenue, capital requirements and needs for additional financing;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combined company is able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AVROBIO is restrained from soliciting other acquisition proposals during the pendency of the merger, except in certain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AVROBIO’s or Tectonic’s business relationships, operating results and business generally, including disruption of AVROBIO’s and Tectonic’s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AVROBIO to pay a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AVROBIO, Tectonic or any of their respective directors or officers related to the Merger Agreement or the transactions contemplated thereby;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AVROBIO or Tectonic to protect their respective intellectual property rights;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Tectonic to maintain its rights derived from its license agreement with Harvard;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AVROBIO’s and Tectonic’s product candidates;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AVROBIO’s and Tectonic’s officers, key employees or directors;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public securities’ potential liquidity and trading;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product candidates of the combined company or its competitors’ products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manufacture its product candidates in conformity with the FDA’s requirements and to scale up manufacturing of its product candidates to commercial scale,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reliance of the combined company on third-party contract development and manufacturer organizations to manufacture and supply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successfully commercialize product candidates including TX45, if approved, and the rate and degree of market acceptance of such product candidates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successfully identify and validate new product candidates;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of lawsuits related to TX45 or any of Tectonic’s potential future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Tectonic, or its CROs, CMOs, service providers, current and potential future partners or other third parties upon which it relies, could experience a security incident, system disruption or failure, data loss, cyberattack, or similar event that could compromise the confidentiality, integrity and availability of systems and data;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Tectonic’s internal controls and procedures and its ability to remediate any material weaknesses;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the combined company’s competitors or industry;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and public health developments in the United States and foreign countries, including but not limited to political unrest or unstable economic conditions in China, the Russia-Ukraine and Israel-Hamas conflicts and associated sanctions. </w:t>
            </w:r>
          </w:p>
        </w:tc>
      </w:tr>
    </w:tbl>
    <w:p>
      <w:pPr>
        <w:pStyle w:val="TextBody"/>
        <w:bidi w:val="0"/>
        <w:spacing w:before="240" w:after="0"/>
        <w:jc w:val="left"/>
        <w:rPr>
          <w:rFonts w:ascii="Times New Roman" w:hAnsi="Times New Roman"/>
          <w:sz w:val="20"/>
        </w:rPr>
      </w:pPr>
      <w:r>
        <w:rPr>
          <w:rFonts w:ascii="Times New Roman" w:hAnsi="Times New Roman"/>
          <w:sz w:val="20"/>
        </w:rPr>
        <w:t>Should one or more of these risks or uncertainties materialize, or should any of AVROBIO’s or Tectonic’s assumptions prove incorrect, actual results may vary in material respects from those projected in these forward-looking statements. There may be additional risks that AVROBIO considers immaterial or which are unknown. You are urged to carefully review the disclosures AVROBIO and Tectonic make concerning these risks and other factors that may affect AVROBIO’s and Tectonic’s business and operating results under the section titled “</w:t>
      </w:r>
      <w:r>
        <w:rPr>
          <w:rFonts w:ascii="Times New Roman" w:hAnsi="Times New Roman"/>
          <w:i/>
          <w:sz w:val="20"/>
        </w:rPr>
        <w:t>Risk Factors</w:t>
      </w:r>
      <w:r>
        <w:rPr>
          <w:rFonts w:ascii="Times New Roman" w:hAnsi="Times New Roman"/>
          <w:sz w:val="20"/>
        </w:rPr>
        <w:t>” beginning on page 36 of this proxy statement/prospectus. Additional factors that could cause actual results to differ materially from those expressed in the forward-looking statements are discussed in reports filed with the SEC by AVROBIO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AVROBIO, Tectonic or the combined company could differ materially from the forward-looking statements. Any public statements or disclosures by AVROBIO and Tectonic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AVROBIO and Tectonic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8" w:name="toc770053_36"/>
      <w:bookmarkEnd w:id="38"/>
      <w:r>
        <w:rPr>
          <w:rFonts w:ascii="Times New Roman" w:hAnsi="Times New Roman"/>
          <w:b/>
          <w:sz w:val="20"/>
        </w:rPr>
        <w:t xml:space="preserve">THE SPECIAL MEETING OF AVROBIO STOCKHOLDERS </w:t>
      </w:r>
    </w:p>
    <w:p>
      <w:pPr>
        <w:pStyle w:val="TextBody"/>
        <w:bidi w:val="0"/>
        <w:spacing w:before="240" w:after="0"/>
        <w:jc w:val="left"/>
        <w:rPr>
          <w:rFonts w:ascii="Times New Roman" w:hAnsi="Times New Roman"/>
          <w:b/>
          <w:sz w:val="20"/>
        </w:rPr>
      </w:pPr>
      <w:bookmarkStart w:id="39" w:name="toc770053_37"/>
      <w:bookmarkEnd w:id="39"/>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 2024, commencing at    a.m. Eastern Time, unless postponed or adjourned to a later date. The special meeting will be held entirely online. AVROBIO is sending this proxy statement/prospectus to its stockholders in connection with the solicitation of proxies by the AVROBIO Board for use at the special meeting and any adjournments or postponements thereof. This proxy statement/prospectus is first being furnished to AVROBIO stockholders on or about    , 2024. </w:t>
      </w:r>
    </w:p>
    <w:p>
      <w:pPr>
        <w:pStyle w:val="TextBody"/>
        <w:bidi w:val="0"/>
        <w:spacing w:before="360" w:after="0"/>
        <w:jc w:val="left"/>
        <w:rPr>
          <w:rFonts w:ascii="Times New Roman" w:hAnsi="Times New Roman"/>
          <w:b/>
          <w:sz w:val="20"/>
        </w:rPr>
      </w:pPr>
      <w:bookmarkStart w:id="40" w:name="toc770053_38"/>
      <w:bookmarkEnd w:id="40"/>
      <w:r>
        <w:rPr>
          <w:rFonts w:ascii="Times New Roman" w:hAnsi="Times New Roman"/>
          <w:b/>
          <w:sz w:val="20"/>
        </w:rPr>
        <w:t xml:space="preserve">Purposes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special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common stock of AVROBIO, which will represent more than 20% of the shares of AVROBIO common stock outstanding immediately prior to such transaction, to Tectonic stockholders, pursuant to the terms of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and (ii) the change of control of AVROBIO resulting from such transactions, pursuant to Nasdaq Listing Rules 5635(a) and 5635(b);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2.</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the AVROBIO Board and the Tectonic Board prior to the effective time or, if the Nasdaq Stock Issuance Proposal is not approved by AVROBIO stockholders, determined solely by the AVROBIO Board, in the form attached as </w:t>
            </w:r>
            <w:r>
              <w:rPr>
                <w:rFonts w:ascii="Times New Roman" w:hAnsi="Times New Roman"/>
                <w:sz w:val="20"/>
                <w:u w:val="single"/>
              </w:rPr>
              <w:t>Annex G</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AVROBIO’s charter to provide for the exculpation of officers, in the form attached as </w:t>
            </w:r>
            <w:r>
              <w:rPr>
                <w:rFonts w:ascii="Times New Roman" w:hAnsi="Times New Roman"/>
                <w:sz w:val="20"/>
                <w:u w:val="single"/>
              </w:rPr>
              <w:t>Annex H</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200"/>
        <w:gridCol w:w="7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2024 Plan in the form attached as </w:t>
            </w:r>
            <w:r>
              <w:rPr>
                <w:rFonts w:ascii="Times New Roman" w:hAnsi="Times New Roman"/>
                <w:sz w:val="20"/>
                <w:u w:val="single"/>
              </w:rPr>
              <w:t>Annex I</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200"/>
        <w:gridCol w:w="7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2024 ESPP in the form attached as </w:t>
            </w:r>
            <w:r>
              <w:rPr>
                <w:rFonts w:ascii="Times New Roman" w:hAnsi="Times New Roman"/>
                <w:sz w:val="20"/>
                <w:u w:val="single"/>
              </w:rPr>
              <w:t>Annex J</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6.</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advisory vote basis, compensation that will or may become payable by AVROBIO to its named executive officers in connection with the merger, each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special meeting, if necessary, to solicit additional proxies if there are not sufficient votes in favor of the Nasdaq Stock Issuance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8.</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AVROBIO common stock in connection with the merger and the change of control resulting from the merger, or Proposal No. 1, will not take place unless Proposal No. 1 is approved by AVROBIO stockholders and the merger is consummated. The amendment to the AVROBIO’s charter to effect a reverse stock split of AVROBIO’s issued and outstanding common stock, or Proposal No. 2, will not take place unless Proposal No. 2 is approved by the requisite AVROBIO stockholders. </w:t>
      </w:r>
    </w:p>
    <w:p>
      <w:pPr>
        <w:pStyle w:val="TextBody"/>
        <w:bidi w:val="0"/>
        <w:spacing w:before="360" w:after="0"/>
        <w:jc w:val="left"/>
        <w:rPr>
          <w:rFonts w:ascii="Times New Roman" w:hAnsi="Times New Roman"/>
          <w:b/>
          <w:sz w:val="20"/>
        </w:rPr>
      </w:pPr>
      <w:bookmarkStart w:id="41" w:name="toc770053_39"/>
      <w:bookmarkEnd w:id="41"/>
      <w:r>
        <w:rPr>
          <w:rFonts w:ascii="Times New Roman" w:hAnsi="Times New Roman"/>
          <w:b/>
          <w:sz w:val="20"/>
        </w:rPr>
        <w:t xml:space="preserve">Recommendation of the AVROBIO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has determined and believes that the issuance of shares of AVROBIO common stock pursuant to the Merger Agreement is fair to, in the best interests of, and advisable to,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Nasdaq Stock Issuance Proposal as described on page 307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fair to, in the best interests of, and advisable to, AVROBIO and its stockholders to approve the amendment to AVROBIO’s charter to effect the reverse stock split, as described in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Reverse Stock Split Proposal as described on page 309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it is advisable to, and in the best interests of, AVROBIO and its stockholders to approve the amendment to AVROBIO’s charter to provide for the exculpation of officers, as described on page 316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Officer Exculpation Proposal as described on page 316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Plan, as described on page 318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Incentive Plan Proposal as described on page 318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declared that it is advisable and in the best interests of AVROBIO and its stockholders to approve the 2024 ESPP, as described on page 328 of this proxy statement/prospectus. The AVROBIO Board unanimously recommends that AVROBIO stockholders vote “</w:t>
            </w:r>
            <w:r>
              <w:rPr>
                <w:rFonts w:ascii="Times New Roman" w:hAnsi="Times New Roman"/>
                <w:b/>
                <w:sz w:val="20"/>
              </w:rPr>
              <w:t>FOR</w:t>
            </w:r>
            <w:r>
              <w:rPr>
                <w:rFonts w:ascii="Times New Roman" w:hAnsi="Times New Roman"/>
                <w:sz w:val="20"/>
              </w:rPr>
              <w:t xml:space="preserve">” the ESPP Proposal as described on page 328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the compensation that will or may become payable to the named executive officers of AVROBIO in connection with the merger is fair to, in the best interests of, and advisable to, AVROBIO and its stockholders and has approved such proposal. The AVROBIO Board unanimously recommends that AVROBIO stockholders vote “</w:t>
            </w:r>
            <w:r>
              <w:rPr>
                <w:rFonts w:ascii="Times New Roman" w:hAnsi="Times New Roman"/>
                <w:b/>
                <w:sz w:val="20"/>
              </w:rPr>
              <w:t>FOR</w:t>
            </w:r>
            <w:r>
              <w:rPr>
                <w:rFonts w:ascii="Times New Roman" w:hAnsi="Times New Roman"/>
                <w:sz w:val="20"/>
              </w:rPr>
              <w:t xml:space="preserve">” the Executive Compensation Arrangements Proposal as described on page 332 of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 has determined and believes that adjourning the special meeting, if necessary, to solicit additional proxies if there are not sufficient votes in favor of the Nasdaq Stock Issuance Proposal and/or the Reverse Stock Split Proposal is fair to, in the best interests of, and advisable to, AVROBIO and its stockholders and has approved and adopted the proposal. The AVROBIO Board unanimously recommends that AVROBIO stockholders vote “</w:t>
            </w:r>
            <w:r>
              <w:rPr>
                <w:rFonts w:ascii="Times New Roman" w:hAnsi="Times New Roman"/>
                <w:b/>
                <w:sz w:val="20"/>
              </w:rPr>
              <w:t>FOR</w:t>
            </w:r>
            <w:r>
              <w:rPr>
                <w:rFonts w:ascii="Times New Roman" w:hAnsi="Times New Roman"/>
                <w:sz w:val="20"/>
              </w:rPr>
              <w:t xml:space="preserve">” the Adjournment Proposal, if necessary, as described on page 333 of this proxy statement/prospectus. </w:t>
            </w:r>
          </w:p>
        </w:tc>
      </w:tr>
    </w:tbl>
    <w:p>
      <w:pPr>
        <w:pStyle w:val="TextBody"/>
        <w:bidi w:val="0"/>
        <w:spacing w:before="360" w:after="0"/>
        <w:jc w:val="left"/>
        <w:rPr>
          <w:rFonts w:ascii="Times New Roman" w:hAnsi="Times New Roman"/>
          <w:b/>
          <w:sz w:val="20"/>
        </w:rPr>
      </w:pPr>
      <w:bookmarkStart w:id="42" w:name="toc770053_40"/>
      <w:bookmarkEnd w:id="42"/>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AVROBIO common stock at the close of business on the record date of    , 2024, are entitled to notice of, and to vote at, the special meeting. At the close of business on the record date, there were    registered holders of record of AVROBIO common stock and there were    shares of AVROBIO common stock issued and outstanding. Each share of AVROBIO common stock entitles the holder thereof to one vote on each matter submitted for stockholder approval. </w:t>
      </w:r>
    </w:p>
    <w:p>
      <w:pPr>
        <w:pStyle w:val="TextBody"/>
        <w:bidi w:val="0"/>
        <w:spacing w:before="360" w:after="0"/>
        <w:jc w:val="left"/>
        <w:rPr>
          <w:rFonts w:ascii="Times New Roman" w:hAnsi="Times New Roman"/>
          <w:b/>
          <w:sz w:val="20"/>
        </w:rPr>
      </w:pPr>
      <w:bookmarkStart w:id="43" w:name="toc770053_41"/>
      <w:bookmarkEnd w:id="43"/>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the AVROBIO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AVROBIO common stock, Computershare Trust Company, N.A., then you are a stockholder of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or not you plan to attend the special meeting online, AVROBIO urges you to fill out and return the proxy card or vote by proxy over the telephone or on the internet as instructed below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i/>
          <w:sz w:val="20"/>
        </w:rPr>
      </w:pPr>
      <w:r>
        <w:rPr>
          <w:rFonts w:ascii="Times New Roman" w:hAnsi="Times New Roman"/>
          <w:i/>
          <w:sz w:val="20"/>
        </w:rPr>
        <w:t xml:space="preserve">AVROBIO 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at the special meeting. Alternatively, you may vote by proxy by using the accompanying proxy card, over the internet or by telephone. Whether or not you plan to attend the special meeting, AVROBIO encourages you to vote by proxy to ensure your vote is counted. Even if you have submitted a proxy before the special meeting, you may still attend the special meeting and vote. In such case, your previously submitted proxy will be disregarded.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special meeting, attend the special meeting online and follow the instructions posted at </w:t>
            </w:r>
            <w:r>
              <w:rPr>
                <w:rFonts w:ascii="Times New Roman" w:hAnsi="Times New Roman"/>
                <w:i/>
                <w:sz w:val="20"/>
              </w:rPr>
              <w:t>www.proxydocs.com/AVRO</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special meeting, the designated proxies will vote your shares in accordance with the proxy card.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AVROBIO Beneficial Owner: Shares Registered in the Name of a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AVROBIO. Simply complete and mail the voting instruction card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AVROBIO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If you hold shares beneficially in street name and do not provide your broker or other agent with voting instructions, your shares may constitute “broker non-votes.” A “broker non-vote” occurs when shares held by a 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(Officer Exculpation Proposal). If a AVROBIO stockholder does not return voting instructions to their broker on how to vote their shares of AVROBIO common stock, such broker may be prevented from voting, or may otherwise choose not to vote, such shares held by such broker, resulting in broker non-votes with respect to such shares. To make sure that your vote is counted, you should instruct your broker to vote your shares of AVROBIO common stock, following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All properly executed proxies that are not revoked will be voted at the special meeting and at any adjournments or postponements of the special meeting in accordance with the instructions contained in the proxy.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If a holder of AVROBIO common stock executes and returns a proxy and does not specify otherwise, the shares represented by that proxy will be voted “FOR” all of the proposals in accordance with the recommendation of the AVROBIO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AVROBIO and you have not executed a support agreement, you may change your vote at any time before your proxy is voted at the special meeting in any one of the following ways: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written notice that you are revoking your proxy over the internet, following the instructions provided on the Notice of Internet Availability.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special meeting online and vote during the meeting by following the instructions at </w:t>
            </w:r>
            <w:r>
              <w:rPr>
                <w:rFonts w:ascii="Times New Roman" w:hAnsi="Times New Roman"/>
                <w:i/>
                <w:sz w:val="20"/>
              </w:rPr>
              <w:t>www.proxydocs.com/AVRO</w:t>
            </w:r>
            <w:r>
              <w:rPr>
                <w:rFonts w:ascii="Times New Roman" w:hAnsi="Times New Roman"/>
                <w:sz w:val="20"/>
              </w:rPr>
              <w:t xml:space="preserve">. Simply attending the special meeting will not, by itself, revoke your proxy and/or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bookmarkStart w:id="44" w:name="toc770053_42"/>
      <w:bookmarkEnd w:id="44"/>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special meeting of the holders of a majority of the shares of AVROBIO common stock outstanding and entitled to vote at the special meeting is necessary to constitute a quorum at the meeting. The affirmative vote of a majority of the votes properly cast for and against a matter by the holders of AVROBIO common stock, assuming a quorum is present, is required for approval of Proposal Nos. 1, 2, 4, 5, 6 and 7. The affirmative vote of a majority of the outstanding shares of AVROBIO common stock entitled to vote at the special meeting is required for approval of Proposal No. 3. Each of Proposal Nos. 1 and 2 is a condition to completion of the merger. Therefore, the merger cannot be consummated without the approval of Proposal Nos. 1 and 2. The issuance of AVROBIO common stock in connection with the merger and the change of control of AVROBIO resulting from the merger, or Proposal No. 1, will not take place unless Proposal Nos. 1 and 2 are approved by AVROBIO stockholders and the reverse stock split is effected and the merger is consummated. The amendment to AVROBIO’s charter to effect a reverse stock split of AVROBIO’s issued and outstanding common stock, or Proposal No. 2, will not take place unless Proposal No. 2 is approved by the requisite AVROBIO stockholders. AVROBIO may still elect to proceed with the reverse stock split if Proposal No. 2 is approved by AVROBIO stockholders even if Proposal No. 1 is not approved, or even if approved, the merger is not consummated. </w:t>
      </w:r>
    </w:p>
    <w:p>
      <w:pPr>
        <w:pStyle w:val="TextBody"/>
        <w:bidi w:val="0"/>
        <w:spacing w:before="240" w:after="0"/>
        <w:jc w:val="left"/>
        <w:rPr>
          <w:rFonts w:ascii="Times New Roman" w:hAnsi="Times New Roman"/>
          <w:sz w:val="20"/>
        </w:rPr>
      </w:pPr>
      <w:r>
        <w:rPr>
          <w:rFonts w:ascii="Times New Roman" w:hAnsi="Times New Roman"/>
          <w:sz w:val="20"/>
        </w:rPr>
        <w:t>Votes will be counted by the inspector of election appointed for the meeting, who will separately count “</w:t>
      </w:r>
      <w:r>
        <w:rPr>
          <w:rFonts w:ascii="Times New Roman" w:hAnsi="Times New Roman"/>
          <w:b/>
          <w:sz w:val="20"/>
        </w:rPr>
        <w:t>FOR</w:t>
      </w:r>
      <w:r>
        <w:rPr>
          <w:rFonts w:ascii="Times New Roman" w:hAnsi="Times New Roman"/>
          <w:sz w:val="20"/>
        </w:rPr>
        <w:t>” and “</w:t>
      </w:r>
      <w:r>
        <w:rPr>
          <w:rFonts w:ascii="Times New Roman" w:hAnsi="Times New Roman"/>
          <w:b/>
          <w:sz w:val="20"/>
        </w:rPr>
        <w:t>AGAINST</w:t>
      </w:r>
      <w:r>
        <w:rPr>
          <w:rFonts w:ascii="Times New Roman" w:hAnsi="Times New Roman"/>
          <w:sz w:val="20"/>
        </w:rPr>
        <w:t>” votes, abstentions and broker non-votes. Broker non-votes, if any, will not be treated as shares that are present at the special meeting for purposes of determining whether a quorum exists and will not have any effect for the purpose of voting on Proposal Nos. 1, 2, 4, 5, 6 and 7. Broker non-votes, if any, will have the same effect as “</w:t>
      </w:r>
      <w:r>
        <w:rPr>
          <w:rFonts w:ascii="Times New Roman" w:hAnsi="Times New Roman"/>
          <w:b/>
          <w:sz w:val="20"/>
        </w:rPr>
        <w:t>AGAINST</w:t>
      </w:r>
      <w:r>
        <w:rPr>
          <w:rFonts w:ascii="Times New Roman" w:hAnsi="Times New Roman"/>
          <w:sz w:val="20"/>
        </w:rPr>
        <w:t xml:space="preserve">” votes for Proposal No. 3 (Officer Exculpation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March 15, 2024, the directors and executive officers of AVROBIO owned or controlled 6.40% of the outstanding shares of AVROBIO common stock entitled to vote at the special meeting. As of January 30, 2024, the AVROBIO stockholders that are party to a support agreement, including certain directors and executive officers of AVROBIO, owned an aggregate number of shares of AVROBIO common stock representing approximately 10.8% of the outstanding shares of AVROBIO common stock. Each stockholder that entered into a support agreement, including certain directors and executive officers of AVROBIO, has agreed to vote all shares of AVROBIO common stock owned by him or her as of the record date in favor of the adoption of the Merger Agreement and the approval of the merger and related transactions contemplated by the Merger Agreement and against any competing “Acquisition Proposal”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45" w:name="toc770053_43"/>
      <w:bookmarkEnd w:id="45"/>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AVROBIO may solicit proxies from AVROBIO stockholders by personal interview, telephone, email, fax or otherwise. AVROBIO and Tectonic will share equally the costs of printing and filing this proxy statement/prospectus and proxy card. Arrangements will also be made with brokerage firms and other custodians, nominees and fiduciaries who are record holders of AVROBIO common stock for the forwarding of solicitation materials to the beneficial owners of AVROBIO common stock. AVROBIO will reimburse these brokers, custodians, nominees and fiduciaries for the reasonable out of pocket expenses they incur in connection with the forwarding of solicitation materials. AVROBIO has retained Innisfree M&amp;A Incorporated to assist it in soliciting proxies using the means referred to above. AVROBIO will pay the fees of the proxy solicitor, which AVROBIO expects to be up to $50,000, plus reimbursement of out-of-pocket expenses. </w:t>
      </w:r>
    </w:p>
    <w:p>
      <w:pPr>
        <w:pStyle w:val="TextBody"/>
        <w:bidi w:val="0"/>
        <w:spacing w:before="360" w:after="0"/>
        <w:jc w:val="left"/>
        <w:rPr>
          <w:rFonts w:ascii="Times New Roman" w:hAnsi="Times New Roman"/>
          <w:b/>
          <w:sz w:val="20"/>
        </w:rPr>
      </w:pPr>
      <w:bookmarkStart w:id="46" w:name="toc770053_44"/>
      <w:bookmarkEnd w:id="46"/>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AVROBIO Board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7" w:name="toc770053_45"/>
      <w:bookmarkEnd w:id="47"/>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describe the material aspects of the merger and the Merger Agreement. While AVROBIO and Tectonic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w:t>
      </w:r>
    </w:p>
    <w:p>
      <w:pPr>
        <w:pStyle w:val="TextBody"/>
        <w:bidi w:val="0"/>
        <w:spacing w:before="360" w:after="0"/>
        <w:jc w:val="left"/>
        <w:rPr>
          <w:rFonts w:ascii="Times New Roman" w:hAnsi="Times New Roman"/>
          <w:b/>
          <w:sz w:val="20"/>
        </w:rPr>
      </w:pPr>
      <w:bookmarkStart w:id="48" w:name="toc770053_46"/>
      <w:bookmarkEnd w:id="48"/>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This chronology does not purport to catalogue every conversation of or among members of the AVROBIO Board (or, solely for purposes of this section, the “Board”), the Transaction Committee, AVROBIO’s representatives and advisors, Tectonic, Tectonic’s representatives and advisors,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together with AVROBIO’s senior management and with the assistance of AVROBIO’s advisors, regularly review and discuss AVROBIO’s near and long-term operating and strategic priorities. Among other things, these reviews and discussions focus on the opportunities and risks associated with AVROBIO’s operations, financial performance and planning, competitive position, strategic relationships and potential long-term strategic options. The AVROBIO Board, together with AVROBIO’s senior management, regularly reviews potential strategic alternatives and opportunities to enhance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AVROBIO Board held on June 8, 2022, the AVROBIO Board established the Transaction Committee of the AVROBIO Board, comprised of Bruce Booth, Ian Clark, Phillip Donenberg, and Gail Farfel (with Philip Vickers appointed in July 2023 as an additional member of the Transaction Committee), in order to assist the AVROBIO Board (and not because of any actual or perceived conflicts of interests) as needed, in exploring, considering, reviewing, evaluating and negotiating strategic alternatives to enhance AVROBIO’s value to its stockholders. The members of the Transaction Committee were all deemed to be independent of AVROBIO’s management. As part of the efforts to identify and consider potential strategic alternatives, in October 2022, as authorized by the AVROBIO Board and the AVROBIO Transaction Committee, representatives of Cowen and Company, LLC (“TD Cowen”) and Wells Fargo Securities, LLC, acting as co-financial advisors to AVROBIO, contacted approximately 40 counterparties regarding their interest in a potential strategic transaction with AVROBIO. Of these, 14 indicated preliminary interest in considering discussions with AVROBIO. By December 2022, two of these parties, both strategic companies (“Party A” and “Party B”), remained interested in a strategic transaction and engaged in due diligence. During this period, members of AVROBIO management also engaged in discussions with other potential counterparties based in Asia, primarily in Japan, to evaluate partnership opportunities with respect to AVROBIO’s pipeline therapeutic assets, although these discussions did not result in partnership arrangements. In addition, during this period, AVROBIO, with the assistance of TD Cowen, explored interest in a private investment in public equity (PIPE) financing of AVROBIO and approached 37 potential investors in this effort, but was ultimately unable to generate sufficient investor interest.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Party A submitted written indications of interest to AVROBIO contemplating a whole-company acquisition of AVROBIO by Party A. </w:t>
      </w:r>
    </w:p>
    <w:p>
      <w:pPr>
        <w:pStyle w:val="TextBody"/>
        <w:bidi w:val="0"/>
        <w:spacing w:before="240" w:after="0"/>
        <w:jc w:val="left"/>
        <w:rPr>
          <w:rFonts w:ascii="Times New Roman" w:hAnsi="Times New Roman"/>
          <w:sz w:val="20"/>
        </w:rPr>
      </w:pPr>
      <w:r>
        <w:rPr>
          <w:rFonts w:ascii="Times New Roman" w:hAnsi="Times New Roman"/>
          <w:sz w:val="20"/>
        </w:rPr>
        <w:t xml:space="preserve">On December 21, 2022, Party B expressed that they would require significant additional time for due diligence before they would be in a position to submit any indication of interest in a strategic transaction, including as to price.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23, 2022 and December 28, 2022, AVROBIO and its representatives continued to engage with Party A. On December 28, 2022, in accordance with the direction of the AVROBIO Board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Committee and in light of the feedback described above from Party B, AVROBIO and Party A entered into a term sheet which provided for a binding period of exclusivity that would expire as of February 10, 2023, and AVROBIO communicated to Party B that AVROBIO would not be able to proceed with Party B toward a strategic transaction at this time.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28, 2022 and February 3, 2023, AVROBIO and Party A exchanged drafts of and negotiated a merger agreement, engaged in extensive due diligence and continued to advance towards a potential whole-company acquisition of AVROBIO by Party A. </w:t>
      </w:r>
    </w:p>
    <w:p>
      <w:pPr>
        <w:pStyle w:val="TextBody"/>
        <w:bidi w:val="0"/>
        <w:spacing w:before="240" w:after="0"/>
        <w:jc w:val="left"/>
        <w:rPr>
          <w:rFonts w:ascii="Times New Roman" w:hAnsi="Times New Roman"/>
          <w:sz w:val="20"/>
        </w:rPr>
      </w:pPr>
      <w:r>
        <w:rPr>
          <w:rFonts w:ascii="Times New Roman" w:hAnsi="Times New Roman"/>
          <w:sz w:val="20"/>
        </w:rPr>
        <w:t xml:space="preserve">However, on February 3, 2023, Party A informed AVROBIO that it was no longer interested in pursuing the potential transaction on account of Party A’s inability to secure internal approvals for the transaction, and thus Party A was terminating discussions with AVROBIO with respect to a potential whole-company acquisition.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development, at the direction of the AVROBIO Board and Transaction Committee, AVROBIO management and its advisors again contacted several strategic companies, including Party B, to gauge their interest in evaluating a strategic transaction. Each of these parties affirmatively declined to re-engage in an evaluation of a strategic transaction with AVROBIO. </w:t>
      </w:r>
    </w:p>
    <w:p>
      <w:pPr>
        <w:pStyle w:val="TextBody"/>
        <w:bidi w:val="0"/>
        <w:spacing w:before="240" w:after="0"/>
        <w:jc w:val="left"/>
        <w:rPr>
          <w:rFonts w:ascii="Times New Roman" w:hAnsi="Times New Roman"/>
          <w:sz w:val="20"/>
        </w:rPr>
      </w:pPr>
      <w:r>
        <w:rPr>
          <w:rFonts w:ascii="Times New Roman" w:hAnsi="Times New Roman"/>
          <w:sz w:val="20"/>
        </w:rPr>
        <w:t xml:space="preserve">On February 23, 2023, AVROBIO received a non-binding proposal from Novartis International AG (“Novartis”) proposing to acquire AVROBIO’s cystinosis business. Between February 23, 2023 and May 19, 2023, AVROBIO and Novartis engaged in discussions regarding such a transaction and negotiated and exchanged drafts of an asset purchase agreement and related ancillary documents. On May 19, 2023, AVROBIO and Novartis executed and publicly announced the asset purchase agreement providing for the sale to Novartis of AVROBIO’s cystinosis business for $87.5 million in cash (the “Cystinosis Sale”). The Cystinosis Sale was subsequently completed on June 9, 2023 following the satisfaction of all closing conditions under the asset purchase agreement. Pursuant to the terms of the transaction, AVROBIO additionally exclusively licensed to Novartis certain other assets, know-how and other intellectual property related to AVROBIO’s gene therapy platform for use in cystinosis, and to support the transition of the program, AVROBIO continued to provide certain transition, knowledge transfer and other related services to Novartis. </w:t>
      </w:r>
    </w:p>
    <w:p>
      <w:pPr>
        <w:pStyle w:val="TextBody"/>
        <w:bidi w:val="0"/>
        <w:spacing w:before="240" w:after="0"/>
        <w:jc w:val="left"/>
        <w:rPr>
          <w:rFonts w:ascii="Times New Roman" w:hAnsi="Times New Roman"/>
          <w:sz w:val="20"/>
        </w:rPr>
      </w:pPr>
      <w:r>
        <w:rPr>
          <w:rFonts w:ascii="Times New Roman" w:hAnsi="Times New Roman"/>
          <w:sz w:val="20"/>
        </w:rPr>
        <w:t xml:space="preserve">In May 2023, AVROBIO and its advisors again explored interest in one or more capital-raising transactions to further support the continued development of AVROBIO’s Gaucher disease type 1 and type 3, Hunter syndrome and Pompe disease programs. AVROBIO, with the assistance of TD Cowen, approached 28 investors in this effort, but was again unable to generate sufficient investor interest.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Cystinosis Sale on June 9, 2023, AVROBIO and its advisors continued to explore potential opportunities to engage in a strategic transaction. In accordance with the direction of the AVROBIO Board, TD Cowen contacted eight parties (Party B, Party C, Party D, Party E, Party F, Party G, Party H and Party I) to gauge their interest in a whole-company acquisition of AVROBIO or a “merger of equals” transaction with AVROBIO. Each of these parties affirmatively declined to pursue discussions regarding a strategic transaction with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6, 2023, the AVROBIO Board held a meeting, at which members of AVROBIO management and representatives of Goodwin LLP (“Goodwin”) and TD Cowen were present. Representatives of Goodwin presented on fiduciary, strategic and other considerations pertaining to an exploration of strategic alternatives for AVROBIO. TD Cowen provided the Board with a comprehensive update on AVROBIO’s strategic alternatives process, noting that since the fourth quarter of 2022, AVROBIO, with the assistance of TD Cowen, had engaged with more than 40 strategic parties regarding various potential strategic transactions, attempted two capital-raising financings, both of which were unable to generate sufficient investor interest, engaged with certain counterparties on potential partnership opportunities, including in Japan, and completed the Cystinosis Sale to Novartis.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meeting, the AVROBIO Board also engaged in an extensive discussion about the state and prospects of AVROBIO’s ongoing programs, the ongoing knowledge and technology transfer to Novartis relating to the Cystinosis Sale and AVROBIO’s cash position and runway. The Board noted the relative absence of meaningful, near-term regulatory and clinical inflection points for AVROBIO’s ongoing programs. The Board also noted that, despite AVROBIO’s relatively strong cash position from the one-time proceeds generated by the Cystinosis Sale, AVROBIO had been unable to generate sufficient investor interest despite two separate capital-raising attempts, which further exacerbated the lack of opportunities to achieve meaningful near-term regulatory and clinical inflection points for AVROBIO’s ongoing programs. The Board also discussed and determined, in light of these considerations, that a liquidation or dissolution of AVROBIO at this time would not be feasible or advisable given, among other reasons, AVROBIO’s continuing contractual obligations that extend through June 2024 and continuing regulatory, clinical and contractual obligations under existing clinical trial programs for AVROBIO’s Gaucher and Fabry programs. In light of these considerations and developments in recent months, the Board discussed the prospects of pursuing a “reverse merger” transaction, which is a transaction in which a wholly owned subsidiary of AVROBIO would merge with and into a privately held company with AVROBIO surviving as the parent company and the privately held company continuing as a wholly owned subsidiary of AVROBIO and with consideration in the form of AVROBIO’s publicly listed stock issuable to the privately held company’s stockholders. The Board expressed interest in a reverse merger in light of AVROBIO’s cash position, AVROBIO’s inability to generate meaningful investor interest to raise additional capital, AVROBIO’s status as a public company, similar transactions recently completed with attractive merger partners and the potential halting of further development of AVROBIO’s programs in order to, among other reasons, conserve AVROBIO’s cash position. Further, the Board discussed that a reverse merger could provide AVROBIO stockholders with a meaningful stake in a combined entity possessing both promising clinical prospects and the means to pursue them, and provide an opportunity for long-term value creation for AVROBIO stockholders. The AVROBIO Board and AVROBIO management identified certain criteria (and such criteria continued to be discussed, expanded and/or refined at subsequent meetings of the Board and Transaction Committee, including at the Transaction Committee’s meeting of July 28, 2023 described below) that they considered important in reviewing potential partner companies in a reverse merger transaction. Following discussion, the Board authorized AVROBIO management and the Transaction Committee to continue to explore the availability of one or more strategic transactions involving AVROBIO and/or any of its businesses or assets, including a merger, reverse merger, stock sale, asset sale, partnership, collaboration, license or similar strategic transaction (a “strategic transaction”), and to publicly announce such exploration of strategic alternatives and that AVROBIO was halting further development of its programs. Finally, the Board authorized AVROBIO to engage TD Cowen as AVROBIO’s financial advisor and/or placement agent for a strategic transaction, noting, among other things, TD Cowen’s qualifications, extensive experience and reputation, knowledge of and involvement in recent transactions in AVROBIO’s industry, and knowledge of AVROBIO’s business given its historical representation of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in accordance with the direction of the AVROBIO Board, AVROBIO publicly announced that it had determined to halt further development of its programs and to explore strategic alternatives, which may include, without limitation, an acquisition, merger, business combination or other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AVROBIO Board meeting of July 6, 2023 and the announcement of the exploration of strategic alternatives on July 12, 2023, members of AVROBIO management, with the assistance of TD Cowen, continued to engage with a large number of counterparties in connection with AVROBIO’s strategic alternatives process. On July 18, 2023, in accordance with the direction of the AVROBIO Board, TD Cowen began to distribute process letters on behalf of AVROBIO to a total of 85 parties, which invited such parties to submit preliminary proposals for a strategic transaction, consisting either of a stock-based “reverse merger” or “merger of equals” transaction or a cash-based transaction, by August 3, 2023. These counterparties were primarily selected as privately-held companies that were identified by AVROBIO and TD Cowen, or had approached AVROBIO or TD Cowen, based on such counterparties’ desire to obtain financing and/or interest in becoming a public company with access to the public capital markets, as well as such parties’ reasonable potential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satisfy at least a meaningful portion of the Criteria (as defined below), subject to customary due diligence by AVROBIO. </w:t>
      </w:r>
    </w:p>
    <w:p>
      <w:pPr>
        <w:pStyle w:val="TextBody"/>
        <w:bidi w:val="0"/>
        <w:spacing w:before="240" w:after="0"/>
        <w:jc w:val="left"/>
        <w:rPr>
          <w:rFonts w:ascii="Times New Roman" w:hAnsi="Times New Roman"/>
          <w:sz w:val="20"/>
        </w:rPr>
      </w:pPr>
      <w:r>
        <w:rPr>
          <w:rFonts w:ascii="Times New Roman" w:hAnsi="Times New Roman"/>
          <w:sz w:val="20"/>
        </w:rPr>
        <w:t xml:space="preserve">On July 28, 2023, the Transaction Committee held a meeting, at which members of AVROBIO management and representatives of Goodwin and TD Cowen were present. The Transaction Committee continued to discuss the criteria for reviewing potential partner companies in a reverse merger transaction. Across the AVROBIO Board’s meeting of July 6, 2023 and the Transaction Committee’s meeting of July 28, 2023, AVROBIO’s directors had articulated and/or consulted a number of criteria that they considered important in reviewing potential counterparties in a reverse merger transaction, including, but not limited to, (i) the strength of the counterparty’s scientific and clinical value propositions and business proposals, (ii) the quality and strength of the scientific and industry reputation of the counterparty’s management team, board of directors and advisors, (iii) the timing and likelihood of meaningful clinical and regulatory inflection points for the counterparty, (iv) the counterparty’s potential therapeutic complementarity with AVROBIO’s research and development capabilities and existing product candidates, (v) the counterparty’s degree of readiness to become a publicly listed company, (vi) the degree of perceived risk associated with the counterparty’s business and product candidates, (vii) the quality of the counterparty’s investor syndicate, (viii) the valuation expectations of the counterparty and the related implied economic split between AVROBIO, the counterparty and any contemplated private placement investors, (ix) the potential for differentiated products addressing meaningful unmet needs, (x) additional financing needs to further the counterparty’s pipeline and prospects for raising such additional capital, and (xi) additional investment the counterparty may be able to deliver to the transaction in order to extend the counterparty’s cash runway (collectively, the “Criteria”). While the Criteria continued to be discussed, expanded and/or refined over time in the directors’ exercise of their business judgment (for example, as a result of the ultimate failure of the process with Party O as described below, directors determined to give enhanced priority to deal certainty and private placement financing certainty, as described below), substantially all of the Criteria had been materially considered by the conclusion of the Transaction Committee’s meeting of July 28, 2023. </w:t>
      </w:r>
    </w:p>
    <w:p>
      <w:pPr>
        <w:pStyle w:val="TextBody"/>
        <w:bidi w:val="0"/>
        <w:spacing w:before="240" w:after="0"/>
        <w:jc w:val="left"/>
        <w:rPr>
          <w:rFonts w:ascii="Times New Roman" w:hAnsi="Times New Roman"/>
          <w:sz w:val="20"/>
        </w:rPr>
      </w:pPr>
      <w:r>
        <w:rPr>
          <w:rFonts w:ascii="Times New Roman" w:hAnsi="Times New Roman"/>
          <w:sz w:val="20"/>
        </w:rPr>
        <w:t xml:space="preserve">By August 4, 2023, 28 indications of interest had been received, the vast majority of which were from privately held companies contemplating a potential reverse merger with AVROBIO, as more fully detailed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25, 2023, Party J, a privately held company, submitted an indication of interest to AVROBIO proposing a reverse merger transaction, which contemplated a valuation for AVROBIO of $141 million, a valuation for the counterparty of $650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28, 2023, Party K, a privately held company, submitted an indication of interest to AVROBIO proposing a reverse merger transaction, which contemplated a valuation for AVROBIO of $70 million, a valuation for the counterparty of $105 million, and potential concurrent private placement investments of $40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L, a privately held company, submitted an indication of interest to AVROBIO proposing a reverse merger transaction, which contemplated a valuation for AVROBIO of $55 million, a valuation for the counterparty of $150 million, and potential concurrent private placement investments of $50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M, a privately held company, submitted an indication of interest to AVROBIO proposing a reverse merger transaction, which contemplated a valuation for AVROBIO of $65 million, a valuation for the counterparty of $218 million, and potential concurrent private placement investments of $50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5.</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N, a privately held company, submitted an indication of interest to AVROBIO proposing a reverse merger transaction, which contemplated a valuation for AVROBIO of $60 million and a valuation for the counterparty of $240 million, and did not specifically contemplate a potential concurrent private placement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6.</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 2023, Party O, a privately held company, submitted an indication of interest to AVROBIO proposing a reverse merger transaction, which contemplated a valuation for AVROBIO of $65 million, a valuation for the counterparty of $275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7.</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 2023, Party P, a privately held company, submitted an indication of interest to AVROBIO proposing a reverse merger transaction, which contemplated a valuation for AVROBIO of $58 million, a valuation for the counterparty of $270 million, and potential concurrent private placement investments of $115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8.</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 2023, Party Q, a privately held company, submitted an indication of interest to AVROBIO proposing a reverse merger transaction, which contemplated a valuation for AVROBIO of $66 million, a valuation for the counterparty of $74 million, and potential concurrent private placement investments of $26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R, a privately held company, submitted an indication of interest to AVROBIO proposing a reverse merger transaction, which contemplated a valuation for AVROBIO of $60 million, a valuation for the counterparty of $225 million, and potential concurrent private placement investments of $40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10.</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S, a privately held company, submitted an indication of interest to AVROBIO proposing a reverse merger transaction, which contemplated a valuation for AVROBIO of $75 million and a valuation for the counterparty of $100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T, a privately held company, submitted an indication of interest to AVROBIO proposing a reverse merger transaction, which contemplated a valuation for AVROBIO of $55 million, a valuation for the counterparty of $180 million, and potential concurrent private placement investments of $80 million. </w:t>
            </w:r>
          </w:p>
        </w:tc>
      </w:tr>
    </w:tbl>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12.</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U, a privately held company, submitted an indication of interest to AVROBIO proposing a reverse merger transaction, which contemplated a valuation for AVROBIO of $105 million, a valuation for the counterparty of $500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13.</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V, a privately held company, submitted an indication of interest to AVROBIO proposing a reverse merger transaction, which contemplated a valuation for AVROBIO of $55 million, a valuation for the counterparty of $200 million, and potential concurrent private placement investments of $60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14.</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W, a privately held company, submitted an indication of interest to AVROBIO proposing a reverse merger transaction, which contemplated a valuation for AVROBIO of $75 million, a valuation for the counterparty of $165 million, and potential concurrent private placement investments of $10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15.</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X, a privately held company, submitted an indication of interest to AVROBIO proposing a reverse merger transaction, which contemplated a valuation for AVROBIO of $50 million, a valuation for the counterparty of $265 million, and potential concurrent private placement investments of $30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16.</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Y, a privately held company, submitted an indication of interest to AVROBIO proposing a reverse merger transaction, which contemplated a valuation for AVROBIO of $65 million, a valuation for the counterparty of $150 million, and potential concurrent private placement investments of $50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17.</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Z, a privately held company, submitted an indication of interest to AVROBIO proposing a reverse merger transaction, which contemplated a valuation for AVROBIO of $60 million, a valuation for the counterparty of $295 million, and potential concurrent private placement investments of $100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18.</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AA, a privately held company, submitted an indication of interest to AVROBIO proposing a reverse merger transaction, which contemplated a valuation for AVROBIO of $65 million, a valuation for the counterparty of $125 million, and potential concurrent private placement investments of $70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19.</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BB, a privately held company, submitted an indication of interest to AVROBIO proposing a reverse merger transaction, which contemplated a valuation for AVROBIO of $65 million, a valuation for the counterparty of $95 million, and potential concurrent private placement investments of $60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20.</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CC, a privately held company, submitted an indication of interest to AVROBIO proposing a reverse merger transaction, which contemplated a valuation for AVROBIO of $65 million, a valuation for the counterparty of $250 million, and potential concurrent private placement investments of $75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DD, a privately held company, submitted an indication of interest to AVROBIO proposing a reverse merger transaction, which contemplated a valuation for AVROBIO of $65 million, a valuation for the counterparty of $140 million, and potential concurrent private placement investments of $10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22.</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EE, a publicly listed company, submitted an indication of interest to AVROBIO proposing an asset sale by Party EE to AVROBIO in exchange for stock consideration of AVROBIO plus future tiered royalties on net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23.</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FF, a privately held company, submitted an indication of interest to AVROBIO proposing a reverse merger transaction, which contemplated a valuation for AVROBIO of $50 million and a valuation for the counterparty of $285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24.</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GG, a privately held company, submitted an indication of interest to AVROBIO proposing a reverse merger transaction, which contemplated a valuation for AVROBIO of $53 million, a valuation for the counterparty of $90 million, and potential concurrent private placement investments of $30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25.</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Party HH, a privately held company, submitted an indication of interest to AVROBIO proposing a reverse merger transaction, which contemplated a valuation for AVROBIO of $60 million, a valuation for the counterparty of $84 million, and potential concurrent private placement investments of $80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26.</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II, a privately held company, submitted an indication of interest to AVROBIO proposing a reverse merger transaction, which contemplated a valuation for AVROBIO of $65 million, a valuation for the counterparty of $85 million, and potential concurrent private placement investments of $5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27.</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JJ, a privately held company, submitted an indication of interest to AVROBIO proposing a reverse merger transaction, which contemplated a valuation for AVROBIO of $75 million to $90 million, a valuation for the counterparty of $150 million to $225 million, and potential concurrent private placement investments of $50 million to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28.</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Party KK, a privately held company, submitted an indication of interest to AVROBIO proposing a reverse merger transaction, which contemplated a valuation for AVROBIO of $58 million and a valuation for the counterparty of $60 million, and did not specifically contemplate a potential concurrent private placement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August 12, 2023 and August 31, 2023, eight additional parties submitted indications of interest to AVROBIO,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29.</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12, 2023, Party LL, a publicly listed company, submitted an indication of interest to AVROBIO proposing an all-stock acquisition of AVROBIO by Party LL, which contemplated a valuation for AVROBIO of $56 million and a valuation for the counterparty of $312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30.</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12, 2023, Party MM, a privately held company, submitted an indication of interest to AVROBIO proposing a reverse merger transaction, which contemplated a valuation for AVROBIO of $60 million, a valuation for the counterparty of $257 million, and potential concurrent private placement investments of $100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31.</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14, 2023, Party TT, a privately held company, submitted an indication of interest to AVROBIO proposing a reverse merger transaction, which contemplated a valuation for AVROBIO of $82 million and a valuation for the counterparty of $100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32.</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17, 2023, Party NN, a privately held company, submitted an indication of interest to AVROBIO proposing a reverse merger transaction, which contemplated a valuation for AVROBIO of $65 million and a valuation for the counterparty of $225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33.</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25, 2023, Party OO, a privately held company, submitted an indication of interest to AVROBIO proposing a reverse merger transaction, which contemplated a valuation for AVROBIO of $65 million and a valuation for the counterparty of $40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34.</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29, 2023, Party PP, a privately held company, submitted an indication of interest to AVROBIO proposing a reverse merger transaction, which contemplated a valuation for AVROBIO of $50 million and a valuation for the counterparty of $40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35.</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30, 2023, Parry QQ, a privately held company, submitted an indication of interest to AVROBIO proposing a reverse merger transaction, which contemplated a valuation for AVROBIO of $50 million and a valuation for the counterparty of $90 million, and did not specifically contemplate a potential concurrent private placement investment.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36.</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31, 2023, Party RR, a privately held company, submitted a verbal proposal to AVROBIO proposing a reverse merger transaction, which contemplated a valuation for AVROBIO of $55 million, a valuation for the counterparty of $99 million, and potential concurrent private placement investments of $15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Throughout the period after AVROBIO’s public announcement of the exploration of strategic alternatives on July 12, 2023 and the commencement of the distribution of process letters on July 18, 2023, members of AVROBIO management engaged in various management presentations and other due diligence activities with counterparties, certain sessions of which were attended by members of the Transaction Committee and representatives of TD Cowen, and the AVROBIO Transaction Committee met on multiple occasions, together with representatives of Goodwin and TD Cowen, to review and discuss the indications of interest, impressions of the quality and actionability of the companies as reverse merger counterparties against the Criteria and based on the management meetings and other due diligence activities, and to select counterparties with sufficiently compelling proposals to proceed to subsequent phases of due diligence and engagement. AVROBIO also entered into additional mutual confidentiality agreements with certain counterparties before advancing them to subsequent phases of due diligence,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(a)</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24, 2023, AVROBIO and Party DD entered into a mutual confidentiality agreement, which did not include a “standstill” provision.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(b)</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27, 2023, AVROBIO and Party W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(c)</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28, 2023, AVROBIO and Party SS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(d)</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S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(e)</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U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(f)</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2023, AVROBIO and Party BB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(g)</w:t>
            </w:r>
          </w:p>
        </w:tc>
        <w:tc>
          <w:tcPr>
            <w:tcW w:w="98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AVROBIO and Party II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(h)</w:t>
            </w:r>
          </w:p>
        </w:tc>
        <w:tc>
          <w:tcPr>
            <w:tcW w:w="98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4, 2023, AVROBIO and Party JJ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(i)</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9, 2023, AVROBIO and Party LL entered into a mutual confidentiality agreement, which did not include a “standstill”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(j)</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11, 2023, AVROBIO and Party TT entered into a mutual confidentiality agreement, which included a customary “standstill” provision binding on the counterparty which was subject to customary fallaway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(k)</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14, 2023, AVROBIO and Party M entered into a mutual confidentiality agreement, which included a customary “standstill” provision binding on the counterparty which was subject to customary fallaway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(l)</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2023, AVROBIO and Party MM entered into a mutual confidentiality agreement, which included a customary “standstill” provision binding on the counterparty which was subject to customary fallaway provisions.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this process, the Transaction Committee initially found the prospects of a reverse merger with Party J, Party M, Party O, Party Y, Party Z, Party CC or Party MM particularly compelling in relation to one or more of the Criteria, and members of AVROBIO management engaged in more extensive due diligence and management meetings with representatives of these parties, certain sessions of which were attended by members of the Transaction Committee and representatives of TD Cowen. The Transaction Committee subsequently determined to proceed to a term sheet with Party O given Party O’s relative strengths in relation to the Criteria, including, but not limited to, the strength of Party O’s scientific and clinical value propositions and business proposals, particularly in therapeutic areas that the Transaction Committee perceived were compelling, the quality of Party O’s investor syndicate, and Party O’s representation that its cash runway on a pro forma basis would be expected to extend into 2026. </w:t>
      </w:r>
    </w:p>
    <w:p>
      <w:pPr>
        <w:pStyle w:val="TextBody"/>
        <w:bidi w:val="0"/>
        <w:spacing w:before="240" w:after="0"/>
        <w:jc w:val="left"/>
        <w:rPr>
          <w:rFonts w:ascii="Times New Roman" w:hAnsi="Times New Roman"/>
          <w:sz w:val="20"/>
        </w:rPr>
      </w:pPr>
      <w:r>
        <w:rPr>
          <w:rFonts w:ascii="Times New Roman" w:hAnsi="Times New Roman"/>
          <w:sz w:val="20"/>
        </w:rPr>
        <w:t xml:space="preserve">On September 7, 2023, AVROBIO and Party O entered into a term sheet for a potential reverse merger transaction (the “Party O Term Sheet”), which, among other things, provided for a binding period of exclusivity that could be terminated by either party at its election, but not earlier than October 7, 2023. Following negotiations, the Party O Term Sheet contemplated a valuation for AVROBIO of $65 million (including $50 million of net cash at closing), a valuation for Party O of $231 million, and a potential concurrent PIPE investment of at least $100 million. For purposes of the negotiation and pendency of AVROBIO’s potential strategic transaction with Party O, a member of the AVROBIO Board was recused from all such discussions given that investors affiliated with such director were investors in both AVROBIO and Party O.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Party O Term Sheet on September 7, 2023, representatives of Goodwin and outside counsel for Party O negotiated a potential merger agreement and other ancillary agreements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reverse merger transaction, and representatives of Party O and its financial advisor and placement agents, in collaboration with members of AVROBIO management and representatives of TD Cowen, marketed and worked to secure the PIPE investment.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2023, the AVROBIO Board held a meeting, at which members of AVROBIO management and representatives of Goodwin and TD Cowen were present. Among other things, members of AVROBIO management provided the Board with a preliminary analysis prepared by AVROBIO management regarding a potential liquidation of AVROBIO as compared to a reverse merger transaction. Following this discussion, the Board instructed AVROBIO management and its advisors to continue with the reverse merger process. </w:t>
      </w:r>
    </w:p>
    <w:p>
      <w:pPr>
        <w:pStyle w:val="TextBody"/>
        <w:bidi w:val="0"/>
        <w:spacing w:before="240" w:after="0"/>
        <w:jc w:val="left"/>
        <w:rPr>
          <w:rFonts w:ascii="Times New Roman" w:hAnsi="Times New Roman"/>
          <w:sz w:val="20"/>
        </w:rPr>
      </w:pPr>
      <w:r>
        <w:rPr>
          <w:rFonts w:ascii="Times New Roman" w:hAnsi="Times New Roman"/>
          <w:sz w:val="20"/>
        </w:rPr>
        <w:t xml:space="preserve">Beginning in early October 2023, and exacerbated by global events and macroeconomic conditions that transpired through that month, Party O began to experience significant difficulties securing PIPE commitments for the transaction. On October 7, 2023, AVROBIO’s exclusivity period with Party O expired, but in accordance with the AVROBIO Transaction Committee’s direction, representatives of TD Cowen communicated to representatives of Party O that the Transaction Committee had approved providing Party O with additional time to secure the PIPE commitments. On October 13, 2023, at the direction of the AVROBIO Transaction Committee, representatives of TD Cowen further communicated to representatives of Party O that AVROBIO intended to terminate the exclusivity period if adequate PIPE commitments had not been secured by October 20, 2023. Accordingly, AVROBIO terminated the exclusivity period with Party O on October 20, 2023 and thereby terminated discussions for a strategic transaction with Party O.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2023, the AVROBIO Transaction Committee held a meeting, at which members of AVROBIO management and representatives of Goodwin and TD Cowen were present. TD Cowen updated the Transaction Committee on the termination of discussions for a strategic transaction with Party O. Representatives of Goodwin again reviewed with the Transaction Committee the directors’ fiduciary, strategic and other considerations relevant to an exploration of strategic alternatives for AVROBIO. The Transaction Committee discussed the viability of PIPE financing and deal certainty for “reverse mergers” under present market, economic and geopolitical circumstances, and discussed, with input from AVROBIO management and representatives of TD Cowen, potential counterparties across a range of types of strategic transactions. With respect to potential reverse merger transactions with privately held companies, the Transaction Committee also discussed initial impressions of quality and actionability across the Criteria enumerated by the AVROBIO Board, in particular as to deal certainty and private placement financing certainty in light of the failure of the prior process with Party O. Included among the potential counterparties assessed was Tectonic, with which representatives of TD Cowen indicated TD Cowen was familiar, having worked with Tectonic in the past on a potential business combination process. Following these discussions, the Transaction Committee authorized AVROBIO management and its advisors to engage or re-engage with a number of privately held counterparties (including Tectonic) to evaluate potential interest in a strategic transaction. These counterparties were primarily selected based on their desire to obtain financing and/or interest in becoming a public company, with an emphasis on the counterparty’s perceived ability to execute a concurrent financing and AVROBIO’s preliminary belief, through industry knowledge, in the strength of the counterparty’s scientific and clinical value propositions and business proposals. Following the meeting, and at the direction of the Transaction Committee, representatives of TD Cowen contacted representatives of such counterparties regarding their interest in a reverse merger with AVROBIO. </w:t>
      </w:r>
    </w:p>
    <w:p>
      <w:pPr>
        <w:pStyle w:val="TextBody"/>
        <w:bidi w:val="0"/>
        <w:spacing w:before="240" w:after="0"/>
        <w:jc w:val="left"/>
        <w:rPr>
          <w:rFonts w:ascii="Times New Roman" w:hAnsi="Times New Roman"/>
          <w:sz w:val="20"/>
        </w:rPr>
      </w:pPr>
      <w:r>
        <w:rPr>
          <w:rFonts w:ascii="Times New Roman" w:hAnsi="Times New Roman"/>
          <w:sz w:val="20"/>
        </w:rPr>
        <w:t xml:space="preserve">Also on October 23, 2023, following an outreach by representatives of TD Cowen in accordance with AVROBIO’s directions, representatives of Tectonic expressed interest in engaging in discussions with AVROBIO and requested to execute a mutual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2023, AVROBIO and Tectonic entered into a mutual confidentiality agreement, which included a customary “standstill” provision binding on Tectonic subject to customary fallaway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October 30, 2023 to November 2, 2023, in accordance with the direction of the Transaction Committee, TD Cowen distributed process letters on behalf of AVROBIO to various counterparties as authorized by the Transaction Committee, which invited such parties to submit preliminary proposals for a strategic transaction, consisting either of a stock-based reverse merger or “merger of equals” transaction or a cash-based transaction, by November 15, 2023. The parties receiving process letters or otherwise contacted consisted of Tectonic, Party N, Party R, Party Z, Party MM, Party UU, Party VV, Party WW, Party XX, Party YY, Party ZZ, Party AAA, Party BBB, Party CCC, Party DDD, Party EEE and Party FFF. </w:t>
      </w:r>
    </w:p>
    <w:p>
      <w:pPr>
        <w:pStyle w:val="TextBody"/>
        <w:bidi w:val="0"/>
        <w:spacing w:before="240" w:after="0"/>
        <w:jc w:val="left"/>
        <w:rPr>
          <w:rFonts w:ascii="Times New Roman" w:hAnsi="Times New Roman"/>
          <w:sz w:val="20"/>
        </w:rPr>
      </w:pPr>
      <w:r>
        <w:rPr>
          <w:rFonts w:ascii="Times New Roman" w:hAnsi="Times New Roman"/>
          <w:sz w:val="20"/>
        </w:rPr>
        <w:t xml:space="preserve">During this process, the Transaction Committee initially found the prospects of a reverse merger with Tectonic, Party R, Party Z, Party VV and Party DDD particularly compelling in relation to one or more of the Criteria, and members of AVROBIO management engaged in more extensive due diligence and management meetings with representatives of these parties, certain sessions of which were attended by members of the Transaction Committee and representatives of TD Cowen. The Transaction Committee subsequently determined to proceed to a term sheet with Tectonic given Tectonic’s relative strengths in relation to the Criteria, as described more fully below. </w:t>
      </w:r>
    </w:p>
    <w:p>
      <w:pPr>
        <w:pStyle w:val="TextBody"/>
        <w:bidi w:val="0"/>
        <w:spacing w:before="240" w:after="0"/>
        <w:jc w:val="left"/>
        <w:rPr>
          <w:rFonts w:ascii="Times New Roman" w:hAnsi="Times New Roman"/>
          <w:sz w:val="20"/>
        </w:rPr>
      </w:pPr>
      <w:r>
        <w:rPr>
          <w:rFonts w:ascii="Times New Roman" w:hAnsi="Times New Roman"/>
          <w:sz w:val="20"/>
        </w:rPr>
        <w:t xml:space="preserve">On November 1, 2023, AVROBIO and Party R entered into a mutual confidentiality agreement, which included a customary “standstill” provision binding on the counterparty which was subject to customary fallaway provisions.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2023, Party R, a privately held company, submitted a written indication of interest to AVROBIO proposing a reverse merger transaction (the “Party R November 2, 2023 Proposal”). The Party R November 2, 2023 Proposal contemplated a valuation for AVROBIO of $80 million (including $65 million of net cash at closing, reflecting an increase in AVROBIO’s cash position relative to the prior reverse merger process in September 2023), a valuation for Party R of $225 million, and potential concurrent PIPE investments from existing investors in Party R of $40 million plus potential additional PIPE investments of at least $40 million. The Party R November 2, 2023 Proposal also communicated Party R’s willingness to offer contingent value rights (“CVRs”) to pre-closing AVROBIO shareholders in connection with any post-closing transaction to monetize AVROBIO’s pre-closing assets. The Party R November 2,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2023, members of AVROBIO management held a management meeting with representatives of Party R to conduct, among other things, general business due diligence with respect to Party R.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8, 2023, members of AVROBIO management held a management meeting with representatives of Tectonic to conduct, among other things, general business due diligence with respect to Tectonic.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2023, the AVROBIO Transaction Committee held a meeting, at which members of AVROBIO management and representatives of Goodwin and TD Cowen were present. The members of the Transaction Committee discussed their impressions of the quality and actionability of Tectonic and Party R as reverse merger counterparties stemming from their evaluation of these companies and the management meetings held over the past one to two weeks. Members of the Transaction Committee expressed preliminary uncertainties regarding Party R’s fundamental business and pipeline and, thus, Party R’s ability to meet one or more of the Criteria as compared to Tectonic. These uncertainties included, without limitation, the risk that Party R’s clinical data, which was generated primarily in ex-U.S. settings, might not translate to U.S. FDA approval, the relatively limited peak sales potential of Party R’s lead pipeline asset, the relative weakness of the timing and likelihood of meaningful clinical and regulatory inflection points, Party R’s relative lack of readiness to become a U.S. publicly listed company, the limited familiarity with Party R’s non-U.S. and non-biotech specialist investors and Party R’s representation that its cash runway on a pro forma basis would be expected to extend through 2025 only. Given these uncertainties, the Transaction Committee elected not to make a counterproposal to Party 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time. The Transaction Committee also authorized AVROBIO management and its advisors to prepare a form term sheet to be proposed to the counterparty ultimately selected by the Transaction Committee. At this meeting, representatives of TD Cowen also again noted for the Transaction Committee that TD Cowen previously had assisted Tectonic on a potential business combination process, indicating that Tectonic had withdrawn from such process in September 2023 and that TD Cowen had not been formally engaged by, and had not received any investment banking or other financial services revenue (nor was any such revenue contemplated to be received) from, Tectonic for such services.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11, 2023, Tectonic submitted a written indication of interest to AVROBIO proposing a reverse merger transaction (the “Tectonic November 11, 2023 Proposal”). The Tectonic November 11, 2023 Proposal contemplated a valuation for AVROBIO of $70 million (including a targeted $65 million of net cash at closing), a valuation for Tectonic of $150 million, and a potential concurrent private placement investment in a range of $125 million to $150 million to help fund the combined company following the merger. The Tectonic November 11, 2023 Proposal also communicated Tectonic’s willingness to offer CVRs or other monetization mechanisms to pre-closing AVROBIO shareholders in connection with any post-closing transaction to monetize AVROBIO’s pre-closing assets. The Tectonic November 11,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2023, Party VV and Party DDD each submitted a written indication of interest to AVROBIO proposing a reverse merger transaction (the “Party VV November 14, 2023 Proposal” and the “Party DDD November 14, 2023 Proposal”). The Party VV November 14, 2023 Proposal contemplated a valuation for AVROBIO of $80 million (including a targeted $65 million of net cash at closing), a valuation for the counterparty of $114 million, and a potential concurrent private placement investment of $45 million. The Party VV November 14, 2023 Proposal also communicated the counterparty’s willingness to offer CVRs or other monetization mechanisms to pre-closing AVROBIO shareholders in connection with any post-closing transaction to monetize AVROBIO’s pre-closing assets. The Party DDD November 14, 2023 Proposal contemplated a valuation for AVROBIO of $75 million (including a targeted $65 million of net cash at closing), a valuation for the counterparty of $407 million, and a potential concurrent private placement investment of $100 million. The Party DDD November 14, 2023 Proposal also communicated the counterparty’s willingness to offer CVRs or other monetization mechanisms to pre-closing AVROBIO shareholders in connection with any post-closing transaction to monetize AVROBIO’s pre-closing assets. The Party VV November 14, 2023 Proposal and the Party DDD November 14, 2023 Proposal were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2023, in accordance with the direction of the AVROBIO Transaction Committee, representatives of TD Cowen verbally communicated AVROBIO’s counterproposal to Tectonic, reflecting a valuation for AVROBIO of $85 million (including a targeted $65 million of net cash at closing), a valuation for Tectonic of $130 million, and a potential concurrent private placement investment in a range of $125 million to $150 million to help fund the combined company following the merger (as had been contemplated in the Tectonic November 11, 2023 Proposal) (the “AVROBIO November 15, 2023 Proposal to Tectonic”).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15, 2023, Party N, Party CCC and Party EEE each submitted a written indication of interest to AVROBIO proposing a reverse merger transaction (the “Party N November 15, 2023 Proposal”, the “Party CCC November 15, 2023 Proposal” and the “Party EEE November 15, 2023 Proposal”). The Party N November 15, 2023 Proposal contemplated a valuation for AVROBIO of $75 million (including a targeted $65 million of net cash at closing) and a valuation for the counterparty of $223 million, and did not specifically contemplate a potential concurrent private placement investment. The Party N November 15, 2023 Proposal also communicated the counterparty’s willingness to offer CVRs or other monetization mechanisms to pre-closing AVROBIO shareholders in connection with any post-closing transaction to monetize AVROBIO’s pre-closing assets. The Party CCC November 15, 2023 Proposal contemplated a valuation for AVROBIO of $75 million (including a targeted $65 million of net cash at closing), a valuation for the counterparty of $250 million, and a potential concurrent private placement investment of $50 million. The Party CCC November 15, 2023 Proposal also communicated the counterparty’s willingness to offer CVRs or other monetization mechanisms to pre-closing AVROBIO shareholders in connection with any post-closing transaction to monetize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pre-closing assets. The Party EEE November 15, 2023 Proposal contemplated a valuation for AVROBIO of $90 million (including a targeted $65 million of net cash at closing) and a valuation for the counterparty of $210 million, and expressed openness to discuss a potential concurrent private placement investment with AVROBIO. The Party EEE November 15, 2023 Proposal also communicated the counterparty’s willingness to offer CVRs or other monetization mechanisms to pre-closing AVROBIO shareholders in connection with any post-closing transaction to monetize AVROBIO’s pre-closing assets. The Party N November 15, 2023 Proposal, the Party CCC November 15, 2023 Proposal and the Party EEE November 15, 2023 Proposal were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16, 2023, Party Z submitted a written indication of interest to AVROBIO proposing a reverse merger transaction (the “Party Z November 16, 2023 Proposal”). The Party Z November 16, 2023 Proposal contemplated a valuation for AVROBIO of $75 million (including a targeted $65 million of net cash at closing), a valuation for the counterparty of $165 million, and a potential concurrent private placement investment of $45 million. The Party Z November 16, 2023 Proposal also communicated the counterparty’s willingness to offer CVRs or other monetization mechanisms to pre-closing AVROBIO shareholders in connection with any post-closing transaction to monetize AVROBIO’s pre-closing assets. The Party Z November 16,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AVROBIO Transaction Committee held a meeting, at which members of AVROBIO management and representatives of Goodwin and TD Cowen were present. The members of the Transaction Committee continued to discuss their impressions of the quality and actionability of Tectonic and Party R as reverse merger counterparties stemming from their evaluation of these companies and the management meetings held over the past several weeks, including the terms proposed by the Party R November 2, 2023 Proposal as well as the Tectonic November 11, 2023 Proposal and the AVROBIO November 15, 2023 Proposal to Tectonic. The members of the Transaction Committee discussed positive considerations with respect to Party R, such as Party R’s relatively advanced clinical data, despite the fact that it was primarily generated in an ex-U.S. setting, and a relatively competitive economic split proposed by Party R. However, members of the Transaction Committee continued to express concerns about Party R’s ability to meet one or more of the Criteria as compared to Tectonic, as described above from the Transaction Committee’s November 10, 2023 meeting. The members also discussed the other proposals received and mentioned above and did not view them to be sufficiently compelling with respect to at least one of the Criteria and therefore determined not to advance them to the term sheet and exclusivity phase of the process. The Transaction Committee instructed AVROBIO management and its advisors to continue to evaluate both companies and negotiate terms with both companies, with an objective to enter into a term sheet and a period of exclusivity with one of the counterparties by December 1, 2023. In executive session with the representatives of TD Cowen absent, the Transaction Committee also discussed TD Cowen’s material relationships disclosure relating to Tectonic previously communicated to the Transaction Committee and determined that TD Cowen’s prior relationship with Tectonic would not reasonably be expected to adversely affect TD Cowen’s services to AVROBIO in connection with the contemplated transaction involving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2023, members of AVROBIO management held a management meeting with representatives of Tectonic to conduct, among other things, data and regulatory due diligence matters with respect to Tectonic. Representatives of TD Cowen also attended this meeting.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21, 2023, representatives of Tectonic verbally provided a counterproposal to AVROBIO, reflecting a valuation for AVROBIO of $72.5 million (including a targeted $65 million of net cash at closing), a valuation for Tectonic of $140 million, and a potential concurrent private placement investment of at least $114.5 million to help fund the combined company following the merger (the “Tectonic November 21, 2023 Proposal”). The Tectonic November 21,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November 22, 2023, members of AVROBIO management held a management meeting with representatives of Tectonic to conduct, among other things, financial due diligence with respect to Tectonic. Representatives of TD Cowen also attended this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27, 2023, members of AVROBIO management held a management meeting with representatives of Tectonic to conduct, among other things, intellectual property due diligence with respect to Tectonic.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27, 2023, the AVROBIO Transaction Committee held a meeting, at which members of AVROBIO management and representatives of Goodwin and TD Cowen were present. The members of the Transaction Committee continued to discuss their impressions of the quality and actionability of Tectonic and Party R as reverse merger counterparties stemming from their evaluation of these companies and the management meetings held over the past several weeks. TD Cowen updated the Transaction Committee regarding the negotiations on the economics of a potential reverse merger with Tectonic over the past several days. Following discussion, the Transaction Committee determined that, subject to further negotiation, and in light of the Transaction Committee’s continued concerns about Party R’s ability to meet one or more of the Criteria as compared to Tectonic, Tectonic would likely be the most compelling counterparty with which AVROBIO should proceed to the term sheet phase of transaction negotiations. Among other things, the Transaction Committee found particularly compelling Tectonic’s perceived large total addressable market, existing and potentially new investor base and reputable management team. In addition, the Transaction Committee reiterated its continued concerns about Party R’s fundamental business and pipeline attributes, and determined a counterproposal to Party R would not be warranted. Therefore, the Transaction Committee authorized AVROBIO management to submit AVROBIO’s form of term sheet to Tectonic, in which AVROBIO would (i) propose a valuation for AVROBIO of $80 million (including a targeted $65 million of net cash at closing), agree to a valuation for Tectonic of $140 million (as had been contemplated in the Tectonic November 21, 2023 Proposal) which economic allocation implied a post-closing ownership split of 36.4% for AVROBIO and 63.6% for Tectonic, in each case without taking into account the private placement, (ii) agree to the issuance of CVRs to AVROBIO stockholders in connection with any post-closing transaction to monetize AVROBIO’s pre-closing assets as contemplated in the Tectonic November 11, 2023 Proposal with a covenant that the combined company would use commercially reasonable efforts to dispose of AVROBIO’s pre-closing assets, (iii) propose a potential concurrent private placement investment in a range of $125 million to $150 million to help fund the combined company following the merger, and (iv) propose a broad definition of AVROBIO cash at closing for potential equity allocation adjustment purposes. This form term sheet was silent as to (a) the treatment of AVROBIO equity awards and (b) any closing condition relating to a minimum level of AVROBIO cash at closing. The Transaction Committee also authorized AVROBIO management to communicate to representatives of Party R that AVROBIO would not be further engaging with Party R toward a strategic transaction at this time. </w:t>
      </w:r>
    </w:p>
    <w:p>
      <w:pPr>
        <w:pStyle w:val="TextBody"/>
        <w:bidi w:val="0"/>
        <w:spacing w:before="240" w:after="0"/>
        <w:jc w:val="left"/>
        <w:rPr>
          <w:rFonts w:ascii="Times New Roman" w:hAnsi="Times New Roman"/>
          <w:sz w:val="20"/>
        </w:rPr>
      </w:pPr>
      <w:r>
        <w:rPr>
          <w:rFonts w:ascii="Times New Roman" w:hAnsi="Times New Roman"/>
          <w:sz w:val="20"/>
        </w:rPr>
        <w:t xml:space="preserve">Later on November 27, 2023, the draft term sheet as described above was provided to representatives of Tectonic.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2023, representatives of Tectonic submitted a markup of the draft term sheet to representatives of AVROBIO (the “Tectonic December 1, 2023 Proposal”). Among other things, the Tectonic December 1, 2023 Proposal counterproposed a valuation for AVROBIO of $77.5 million (including a targeted $65 million of net cash at closing), a valuation for Tectonic of $140 million (as had been agreed at this point with AVROBIO), which economic allocation implied a post closing ownership split of 35.6% for AVROBIO and 64.4% for Tectonic, in each case without taking into account the private placement, and a concurrent private placement investment of at least $114.5 million in the aggregate to help fund the combined company following the merger, which would include a private placement to be consummated concurrently with the closing of a reverse merger, pre-existing “simple agreement for future equity” (SAFE) financings entered into by Tectonic for capital-raising purposes, and any additional capital raised by Tectonic for capital-raising purposes after the Tectonic December 1, 2023 Proposal. The Tectonic December 1, 2023 Proposal also (a) rejected the commercially reasonable efforts covenant binding on the combined company with respect to the disposition of AVROBIO’s pre-closing assets and the CVRs, and instead proposed that a designee of AVROBIO would be permitted to explore such dispositions, (b) deleted AVROBIO’s proposed definition of AVROBIO cash at closing and instead proposed that such definition be deferred to the negotiation of definitive agreements, and (c) introduced a closing condition relating to a minimum level of AVROBIO cash at closing (without specifying a particular amount). The Tectonic December 1, 2023 Proposal was promptly shared with the AVROBIO Transaction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December 1, 2023, the AVROBIO Transaction Committee held a meeting, at which members of AVROBIO management and representatives of Goodwin and TD Cowen were present. The Transaction Committee discussed the Tectonic December 1, 2023 Proposal, including the cash runway provided by the concurrent private placement amount that Tectonic was proposing and the bifurcation of such amount between private financings and SAFE financings.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2023, TD Cowen provided a formal material relationships disclosure to the AVROBIO Board, which indicated no material change in the information relating to Tectonic previously relayed by TD Cowen to the Transaction Committee and that TD Cowen otherwise had no material relationships with Tectonic during the two-year period prior to such disclosures for which Cowen received any investment banking or other financial services revenue.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5, 2023, the AVROBIO Board held a meeting, at which members of AVROBIO management and representatives of Goodwin and TD Cowen were present. Members of AVROBIO management reviewed their key due diligence findings with respect to Tectonic. Representatives of Goodwin reviewed the key terms of the term sheet under negotiation with Tectonic, including the key economic terms contemplated for the reverse merger transaction and the binding period of exclusivity to be entered into, and provided an overview of legal considerations in connection with a potential transaction, including the directors’ fiduciary duties under Delaware law in the context of a strategic transaction (including mergers, acquisitions and dissolution). All members of the AVROBIO Board were also asked to disclose any relationships they may have with Tectonic or any member of its board of directors, for which no relationships were identified. Following discussion, the AVROBIO Board authorized AVROBIO management and its advisors to continue to negotiate the term sheet with Tectonic and to enter into the term sheet with Tectonic (including with respect to the binding exclusivity period) substantially on the terms reviewed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From December 5, 2023 to December 13, 2023, representatives of AVROBIO and Tectonic continued to negotiate the detailed terms of the term sheet. With respect to the term sheet’s provisions regarding the CVR arrangement, Tectonic agreed that the post-closing combined company would be required to exercise commercially reasonable efforts (the exact definition of which would be negotiated as part of the definitive CVR Agreement) to dispose of AVROBIO’s pre-closing assets, but took the position that such efforts would apply only after the combined company’s receipt of an unsolicited inbound offer for such assets. Representatives of AVROBIO, in consultation with members of the Transaction Committee, accepted this position, given the extensive and proactive market check that AVROBIO had conducted with respect to its assets. Additionally, AVROBIO took the position that, for purposes of closing certainty in light of Tectonic’s proposal for some minimum level of AVROBIO cash at closing as a closing condition, either (a) such level must be specified in the term sheet and/or (b) the definition of AVROBIO cash at closing must be agreed to in the term sheet. In response, Tectonic proposed (i) that such level for the minimum cash closing condition be set at $62.5 million and (ii) a detailed definition for AVROBIO cash at closing which contained a broad scope of potential deductions. Further in response, AVROBIO proposed (A) a level for the minimum cash closing condition of $45 million and (B) a detailed definition for AVROBIO cash at closing, which contained a lesser scope of potential deductions than that proposed by Tectonic. Further in response, Tectonic proposed (1) a level for the minimum cash closing condition of $50 million and (2) again that the exact definition of AVROBIO cash at closing be deferred to the negotiation of definitive agreements. Given that AVROBIO was comfortable that the $50 million level conferred a degree of closing certainty, AVROBIO agreed to the $50 million level and to defer the exact definition of AVROBIO cash at closing as proposed by Tectonic. </w:t>
      </w:r>
    </w:p>
    <w:p>
      <w:pPr>
        <w:pStyle w:val="TextBody"/>
        <w:bidi w:val="0"/>
        <w:spacing w:before="240" w:after="0"/>
        <w:jc w:val="left"/>
        <w:rPr>
          <w:rFonts w:ascii="Times New Roman" w:hAnsi="Times New Roman"/>
          <w:sz w:val="20"/>
        </w:rPr>
      </w:pPr>
      <w:r>
        <w:rPr>
          <w:rFonts w:ascii="Times New Roman" w:hAnsi="Times New Roman"/>
          <w:sz w:val="20"/>
        </w:rPr>
        <w:t xml:space="preserve">On December 7, 2023, AVROBIO and Party GGG entered into a mutual confidentiality agreement, which included a customary “standstill” provision binding on the counterparty which was subject to customary fallaway provisions. Later on December 7, 2023, Party GGG submitted a written indication of interest to AVROBIO proposing a reverse merger transaction (the “Party GGG December 7, 2023 Proposal”). The Party GGG December 7, 2023 Proposal contemplated a valuation for AVROBIO of $71.5 million (including a targeted $65 million of net cash at closing), a valuation for the counterparty of $150 million, and potential concurrent private placement investments of $35 million. The Party GGG December 7, 2023 Proposal also communicated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counterparty’s willingness to offer CVRs or other monetization mechanisms to pre-closing AVROBIO shareholders in connection with any post-closing transaction to monetize AVROBIO’s pre-closing assets. The Party GGG December 7, 2023 Proposal was promptly shared with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13, 2023, in accordance with the direction of the AVROBIO Board, AVROBIO and Tectonic entered into the term sheet for a potential reverse merger transaction (the “Tectonic Term Sheet”), which, among other things (including as contemplated by the second paragraph preceding this paragraph), provided for (i) a binding period of exclusivity that may be terminated by either party at its election, but not earlier than January 15, 2024 (the “minimum exclusivity period”) and (ii) a post-closing ownership split of 64.3% for Tectonic and 35.6% for AVROBIO, in each case without taking into account the private placement, reflective of respective valuations for AVROBIO of $77.5 million (including a targeted $65 million of net cash at closing), for Tectonic of $140 million, and a concurrent private placement investment of at least $114.5 million in the aggregate to help fund the combined company following the merger, which would include a private placement to be consummated concurrently with the closing of a reverse merger, pre-existing “simple agreement for future equity” (SAFE) financings entered into by Tectonic for capital-raising purposes, and any additional capital raised by Tectonic for capital-raising purposes after the date of the Tectonic Term Sheet up to $24 million (these agreed-upon valuation amounts would remain unchanged in the definitive Merger Agreement). The executed term sheet remained silent as to the treatment of AVROBIO equity awards. </w:t>
      </w:r>
    </w:p>
    <w:p>
      <w:pPr>
        <w:pStyle w:val="TextBody"/>
        <w:bidi w:val="0"/>
        <w:spacing w:before="240" w:after="0"/>
        <w:jc w:val="left"/>
        <w:rPr>
          <w:rFonts w:ascii="Times New Roman" w:hAnsi="Times New Roman"/>
          <w:sz w:val="20"/>
        </w:rPr>
      </w:pPr>
      <w:r>
        <w:rPr>
          <w:rFonts w:ascii="Times New Roman" w:hAnsi="Times New Roman"/>
          <w:sz w:val="20"/>
        </w:rPr>
        <w:t xml:space="preserve">Later on December 13, 2023, members of Tectonic management contacted representatives of TD Cowen and requested that TD Cowen serve alongside Leerink Partners LLC (“Leerink”) as a placement agent for Tectonic in connection with its concurrent private placement financings. This request was promptly disclosed to members of AVROBIO management and members of the AVROBIO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14, 2023, in accordance with the direction of the AVROBIO Board, Goodwin delivered an initial draft of the Merger Agreement to Cooley LLP, outside counsel to Tectonic (“Cooley”). The initial draft was consistent with the term sheet terms agreed to and summarized in the second paragraph preceding this paragraph, and included the following terms, among others: (i) a reverse merger structure, (ii) a mechanism for contingent payments to AVROBIO’s stockholders via a CVR arrangement, (iii) reciprocal representations and warranties and interim operating covenants with respect to AVROBIO and Tectonic, (iv) termination fees for AVROBIO and Tectonic upon termination for certain specific conditions, and (v) the treatment of AVROBIO equity awards in connection with the merger, including the acceleration of options and RSUs and the extension of the exercise period pertaining to certain options. Thereafter and through January 29, 2024, representatives of AVROBIO, Tectonic, Goodwin and Cooley negotiated the terms of the Merger Agreement. This included the mechanics by which the AVROBIO stock consideration would be issued to Tectonic shareholders and concurrent private placement investors, in accordance with the agreed-upon equity allocations in the combined company, which mechanics took the form of the exchange ratio mechanism described more fully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December 18, 2023, at the direction of the Transaction Committee, TD Cowen informed representatives of Party R and Party GGG that the members of the AVROBIO Board had decided to proceed with other potential counterparties. With respect to Party GGG, the Transaction Committee negatively viewed Party GGG’s heightened need for external financing and status as an existing public company listed on an non-U.S. securities exchange, which the Transaction Committee believed could introduce additional transaction risk while not enabling Party GGG to capitalize on the value of AVROBIO’s public listing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2023, members of AVROBIO management were introduced to representatives of Houlihan Lokey to discuss Houlihan Lokey’s potential engagement as a co-financial advisor to AVROBIO to provide a fairness opinion to the AVROBIO Board in connection with a potential strategic transaction with Tectonic, given the request for TD Cowen to serve as a placement agent for Tectonic along with Leerink. </w:t>
      </w:r>
    </w:p>
    <w:p>
      <w:pPr>
        <w:pStyle w:val="TextBody"/>
        <w:bidi w:val="0"/>
        <w:spacing w:before="240" w:after="0"/>
        <w:jc w:val="left"/>
        <w:rPr>
          <w:rFonts w:ascii="Times New Roman" w:hAnsi="Times New Roman"/>
          <w:sz w:val="20"/>
        </w:rPr>
      </w:pPr>
      <w:r>
        <w:rPr>
          <w:rFonts w:ascii="Times New Roman" w:hAnsi="Times New Roman"/>
          <w:sz w:val="20"/>
        </w:rPr>
        <w:t xml:space="preserve">Also on December 19, 2023, the AVROBIO Transaction Committee held a meeting, at which members of AVROBIO management and representatives of Goodwin and TD Cowen were present. Representatives of TD Cowen provided an update on the transaction process and timing, including with respect to Tectonic’s concurrent private placement financings. In executive session with the representatives of TD Cowen absent,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discussed the advisability of engaging a co-financial advisor to AVROBIO to provide a fairness opinion in connection with a potential strategic transaction with Tectonic, given the request for TD Cowen to serve as a placement agent for Tectonic along with Leerink. Following discussion, the Transaction Committee determined that it would be in the best interests of AVROBIO and its stockholders for a co-financial advisor to be engaged for purposes of providing a fairness opinion. The Transaction Committee authorized members of AVROBIO management to engage Houlihan Lokey for such purposes, noting, among other things, Houlihan Lokey’s qualifications, extensive experience and reputation, and knowledge of and involvement in recent transactions in AVROBIO’s industry. </w:t>
      </w:r>
    </w:p>
    <w:p>
      <w:pPr>
        <w:pStyle w:val="TextBody"/>
        <w:bidi w:val="0"/>
        <w:spacing w:before="240" w:after="0"/>
        <w:jc w:val="left"/>
        <w:rPr>
          <w:rFonts w:ascii="Times New Roman" w:hAnsi="Times New Roman"/>
          <w:sz w:val="20"/>
        </w:rPr>
      </w:pPr>
      <w:r>
        <w:rPr>
          <w:rFonts w:ascii="Times New Roman" w:hAnsi="Times New Roman"/>
          <w:sz w:val="20"/>
        </w:rPr>
        <w:t xml:space="preserve">On December 22, 2023, in accordance with the direction of the AVROBIO Board, Goodwin delivered an initial draft of the CVR Agreement to Cooley. Thereafter and through January 29, 2024, representatives of AVROBIO, Tectonic, Goodwin and Cooley negotiated the terms of the CVR Agreement alongside the negotiation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2023, Cooley delivered a markup of the Merger Agreement to Goodwin which accepted (i) the reverse merger structure, (ii) a mechanism for contingent payments to AVROBIO’s stockholders through a CVR arrangement, (iii) reciprocal representations and warranties and interim operating covenants with respect to AVROBIO and Tectonic, (iv) the treatment of AVROBIO equity awards in connection with the merger, including the acceleration of options and RSUs and the extension of the exercise period pertaining to certain options, (v) a closing condition requiring AVROBIO to have a minimum $50 million cash at closing, and (v) the calculation of the exchange ratio reflective of the respective valuations of Tectonic and AVROBIO. The markup also, among other things, (i) made proposals with respect to the permitted deductions in the calculation of AVROBIO’s net cash and transaction expenses, (ii) added potential termination rights in the event of a delisting of AVROBIO common stock from Nasdaq, (iii) expanded Tectonic’s ability to evaluate and respond to unsolicited proposals and change the recommendation of its board of directors in favor of the merger, (iv) restricted AVROBIO’s ability to accept a superior proposal or terminate the merger for a material adverse effect on Tectonic, and (v) restricted AVROBIO’s consent rights over changes to Tectonic’s concurrent private placement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2024, in accordance with the direction of the AVROBIO Board, Goodwin delivered initial drafts of certain ancillary agreements associated with the merger to Cooley. Thereafter and through January 29, 2024, representatives of AVROBIO, Tectonic, Goodwin and Cooley negotiated the terms of the ancillary agreements alongside the negotiation of the Merger Agreement and the CVR Agreement. Concurrently, Goodwin also delivered a markup of the Merger Agreement to Cooley, which, among other things, (i) made counterproposals with respect to the permitted deductions in the calculation of AVROBIO’s net cash and transaction expenses, (ii) counterproposed the addition of closing conditionality for the continued listing of AVROBIO common stock on Nasdaq, (iii) largely accepted Tectonic’s ability to evaluate and respond to unsolicited proposals and change the recommendation of its board of directors in favor of the merger, so long as Tectonic would be prohibited from terminating the merger and Tectonic’s supporting stockholders would be prohibited from terminating their support obligations, (iv) made counterproposals with respect to AVROBIO’s ability to accept a superior proposal or terminate the merger for a material adverse effect on Tectonic, and (v) made counterproposals with respect to AVROBIO’s consent rights over changes to Tectonic’s concurrent private placement financing. Thereafter, between January 12, 2024 through January 29, 2024, members of AVROBIO and Tectonic management and representatives of Goodwin and Cooley negotiated the remaining terms of the Merger Agreement, including via negotiation calls among the parties on January 12, 2024, January 19, 2024, January 28, 2024 and 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2024, the AVROBIO Transaction Committee held a meeting, at which members of AVROBIO management and representatives of Goodwin, TD Cowen and Houlihan Lokey were present. Representatives of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16, 2024, on account of the lapse of the minimum exclusivity period under the Tectonic Term Sheet and the continued, active pendency of the transaction, AVROBIO and Tectonic amended the Tectonic Term Sheet to extend the minimum exclusivity period to 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On January 26, 2024, the AVROBIO Transaction Committee held a meeting, at which members of AVROBIO management and representatives of Goodwin, TD Cowen and Houlihan Lokey were present. Representatives of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and provided an overview of legal considerations in connection with a potential transaction, including the directors’ fiduciary duties under Delaware law in the context of a strategic transaction (including mergers, acquisitions and dissolution), the management of any actual or potential conflicts, and the transaction process. Representatives of Houlihan Lokey then reviewed Houlihan Lokey’s preliminary financial analyses with respect to AVROBIO, Tectonic and the exchange ratio presently contemplated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members of AVROBIO management also provided the Transaction Committee with an analysis prepared by AVROBIO management regarding a potential liquidation or dissolution of AVROBIO (the “liquidation case”) as compared to a potential reverse merger transaction with Tectonic (the “reverse merger case”) (collectively, the “liquidation analysis”), as more fully described in the section of this proxy statement/prospectus titled “ – </w:t>
      </w:r>
      <w:r>
        <w:rPr>
          <w:rFonts w:ascii="Times New Roman" w:hAnsi="Times New Roman"/>
          <w:i/>
          <w:sz w:val="20"/>
        </w:rPr>
        <w:t>AVROBIO Liquidation Analysis</w:t>
      </w:r>
      <w:r>
        <w:rPr>
          <w:rFonts w:ascii="Times New Roman" w:hAnsi="Times New Roman"/>
          <w:sz w:val="20"/>
        </w:rPr>
        <w:t xml:space="preserve">”. The liquidation case of the liquidation analysis provided two separate scenarios, one of which assumed a transition of AVROBIO’s operations to a dissolution administrator in July 2024 (the “July 2024 liquidation case”), and the second of which assumed a transition of AVROBIO’s operations to a dissolution administrator in October 2024 (the “October 2024 liquidation case”) (such assumed July 2024 and October 2024 dates, the “transition dates”). In selecting the July 2024 transition date for the July 2024 liquidation case, AVROBIO accounted for certain contractual obligations of AVROBIO that last through the end of June 2024 and that could reasonably be expected to impede AVROBIO’s ability to liquidate prior thereto. Under both the July 2024 liquidation case and the October 2024 liquidation case, based on internal data, AVROBIO management assumed (A) that sources of cash would consist of an estimated cash balance as of January 22, 2024 equal to $94.7 million, plus cash flow generated from interest income through the respective transition dates, from which was deducted (B) various categories of uses of cash through the respective transition dates, including the present value of cash reserves established in respect of potential future claims and litigations in connection with the liquidations. The resulting implied equity values of AVROBIO equaled approximately $68.7 million in the October 2024 liquidation scenario and $72.6 million in the July 2024 liquidation scenario. </w:t>
      </w:r>
    </w:p>
    <w:p>
      <w:pPr>
        <w:pStyle w:val="TextBody"/>
        <w:bidi w:val="0"/>
        <w:spacing w:before="240" w:after="0"/>
        <w:jc w:val="left"/>
        <w:rPr>
          <w:rFonts w:ascii="Times New Roman" w:hAnsi="Times New Roman"/>
          <w:sz w:val="20"/>
        </w:rPr>
      </w:pPr>
      <w:r>
        <w:rPr>
          <w:rFonts w:ascii="Times New Roman" w:hAnsi="Times New Roman"/>
          <w:sz w:val="20"/>
        </w:rPr>
        <w:t xml:space="preserve">In the reverse merger case, AVROBIO management assumed a completion date for the reverse merger of May 31, 2024. As compared to the liquidation case, the reverse merger case included (i) certain costs applicable only to the reverse merger case, such as financial advisor contingent fees and change-in-control payments to AVROBIO employees, and (ii) certain value ascribed by Tectonic to AVROBIO in excess of its ending net cash position, including with respect to the value of its public company listing, in the amount of $12.5 million. The resulting implied equity value of AVROBIO in the reverse merger case equaled approximately $87.5 million as of the assumed reverse merger completion date of May 31, 2024. The Transaction Committee noted that (1) the equity value of AVROBIO implied by the reverse merger case delivered more value to AVROBIO stockholders than those implied by either of the liquidation cases, (2) while the equity value of AVROBIO implied by the reverse merger case as of the assumed reverse merger completion date of May 31, 2024 was based on estimated net cash as of such date of $75 million, applying any level of net cash equally across the three scenarios yielded a higher value for the reverse merger case, and (3) while the Merger Agreement’s equity allocation to AVROBIO stockholders assumed a valuation for AVROBIO of $77.5 million, which was based on a targeted $65 million of net cash at closing, the actual equity allocation to AVROBIO stockholders at closing would be increased on a dollar-for-dollar basis (subject to a $0.5 million “hurdle”) if AVROBIO’s net cash at closing was higher than $65 million; see the section of this proxy statement/prospectus titled “Description of the Merger Agreement” for a more fulsome description. This would thereby confer additional equity value to AVROBIO stockholders on a dollar-for-dollar basis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aforementioned “hurdle”) in the event that AVROBIO’s closing net cash actually approximates $75 million. Following discussion, the Transaction Committee authorized Houlihan Lokey to utilize the liquidation analysis prepared by AVROBIO management in Houlihan Lokey’s financial analyses with respect to AVROBIO, Tectonic and the exchange ratio presently contemplated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2024, Houlihan Lokey provided AVROBIO with certain disclosures for the AVROBIO Board, indicating, among other things, that Houlihan Lokey had no material relationships with Tectonic during the two-year period prior to such disclosures for which Houlihan Lokey received any investment banking or other financial services revenue. </w:t>
      </w:r>
    </w:p>
    <w:p>
      <w:pPr>
        <w:pStyle w:val="TextBody"/>
        <w:bidi w:val="0"/>
        <w:spacing w:before="240" w:after="0"/>
        <w:jc w:val="left"/>
        <w:rPr>
          <w:rFonts w:ascii="Times New Roman" w:hAnsi="Times New Roman"/>
          <w:sz w:val="20"/>
        </w:rPr>
      </w:pPr>
      <w:r>
        <w:rPr>
          <w:rFonts w:ascii="Times New Roman" w:hAnsi="Times New Roman"/>
          <w:sz w:val="20"/>
        </w:rPr>
        <w:t xml:space="preserve">Later on January 28, 2024, the AVROBIO Board held a meeting, at which members of AVROBIO management and representatives of Goodwin, TD Cowen and Houlihan Lokey were present. TD Cowen provided an update on the transaction process and timing, including with respect to Tectonic’s concurrent private placement financings. Representatives of Goodwin then summarized the material terms being negotiated in the Merger Agreement and the CVR Agreement and other ancillary agreements. Representatives of Houlihan Lokey then presented Houlihan Lokey’s preliminary financial analyses with respect to AVROBIO, Tectonic and the exchange ratio presently contemplated for the merger, which included reference to the liquidation analysis prepared by AVROBIO management that was presented to and approved by the AVROBIO Transaction Committee at its meeting of January 26, 2024. Following Houlihan Lokey’s presentation, the AVROBIO Board discussed Houlihan Lokey’s preliminary financial analyses and AVROBIO management’s liquidation analysis and determined that the reverse merger with Tectonic as contemplated by AVROBIO management’s reverse merger case would be in the best interests of AVROBIO’s stockholders, relative to a liquidation of AVROBIO as contemplated by AVROBIO management’s liquidation case.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AVROBIO Board held a series of meetings, at each of which members of AVROBIO management and representatives of Goodwin, TD Cowen and Houlihan Lokey were present. Representatives of Goodwin discussed the Merger Agreement, the CVR Agreement, the subscription agreements and certain other ancillary documents. Representatives of Goodwin then discussed fiduciary duties under Delaware law in connection with the merger, which had been discussed with the AVROBIO Board throughout the process. At the request of the AVROBIO Board, Houlihan Lokey then reviewed and discussed its financial analyses with respect to AVROBIO, Tectonic and the proposed Merger. Thereafter, at the request of the AVROBIO Board, Houlihan Lokey orally rendered its opinion to the AVROBIO Board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was fair, from a financial point of view, to AVROBIO. After further discussion, based on the factors cited in the section of this proxy statement/prospectus titled “AVROBIO’s Reasons for the Merger,” the AVROBIO Board unanimously: (i) determined that the Contemplated Transactions are fair to, advisable and in the best interests of AVROBIO and its stockholders, (ii) approved and declared advisable the Merger Agreement and the Contemplated Transactions, including the issuance of shares of AVROBIO Common Stock to the stockholders of Tectonic pursuant to the terms of the Merger Agreement, and (iii) determined to recommend, upon the terms and subject to the conditions set forth in the Merger Agreement, that the stockholders of AVROBIO vote (A) to approve the issuance of shares of AVROBIO Common Stock to the stockholders of Tectonic pursuant to the terms of the Merger Agreement, (B) to approve an amendment to the AVROBIO certificate of incorporation to effect the Nasdaq Reverse Split and (C) to approve an amendment to the AVROBIO certificate of incorporation to provide for the exculpation of officers. </w:t>
      </w:r>
    </w:p>
    <w:p>
      <w:pPr>
        <w:pStyle w:val="TextBody"/>
        <w:bidi w:val="0"/>
        <w:spacing w:before="240" w:after="0"/>
        <w:jc w:val="left"/>
        <w:rPr>
          <w:rFonts w:ascii="Times New Roman" w:hAnsi="Times New Roman"/>
          <w:sz w:val="20"/>
        </w:rPr>
      </w:pPr>
      <w:r>
        <w:rPr>
          <w:rFonts w:ascii="Times New Roman" w:hAnsi="Times New Roman"/>
          <w:sz w:val="20"/>
        </w:rPr>
        <w:t xml:space="preserve">Before the opening of trading on Nasdaq on January 30, 2024, AVROBIO and Tectonic executed the Merger Agreement, certain AVROBIO stockholders executed the AVROBIO stockholder support agreements and the AVROBIO lock-up agreements, and certain Tectonic stockholders executed the Tectonic stockholder support agreements and the Tectonic lock-up agreements. Before the opening of trading on Nasdaq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January 30, 2024, AVROBIO and Tectonic issued a joint press release announcing the execution of the Merger Agreement and the Subscription Agreement and AVROBIO filed a current report on Form 8-K with the SEC relating to these matters. </w:t>
      </w:r>
    </w:p>
    <w:p>
      <w:pPr>
        <w:pStyle w:val="TextBody"/>
        <w:bidi w:val="0"/>
        <w:spacing w:before="360" w:after="0"/>
        <w:jc w:val="left"/>
        <w:rPr>
          <w:rFonts w:ascii="Times New Roman" w:hAnsi="Times New Roman"/>
          <w:b/>
          <w:sz w:val="20"/>
        </w:rPr>
      </w:pPr>
      <w:bookmarkStart w:id="49" w:name="toc770053_47"/>
      <w:bookmarkEnd w:id="49"/>
      <w:r>
        <w:rPr>
          <w:rFonts w:ascii="Times New Roman" w:hAnsi="Times New Roman"/>
          <w:b/>
          <w:sz w:val="20"/>
        </w:rPr>
        <w:t xml:space="preserve">AVROBIO’s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AVROBIO Board (including the Transaction Committee) held numerous meetings, consulted with AVROBIO’s senior management, AVROBIO’s legal and financial advisors, and reviewed and assessed a significant amount of information. In reaching its decision to approve the Merger Agreement and the transactions contemplated by the Merger Agreement, the AVROBIO Board took into account the input of the Transaction Committee, and considered a number of factors that it viewed as supporting its decision to approve the Merger Agreement, including (without limitation):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AVROBIO and the risks associated with continuing to operate AVROBIO on a standalone basis, including in light of (without limitation):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decision, announced in July 2023, to discontinue its clinical and research programs which resulted in a corporate restructuring and a reduction in AVROBIO’s workforce by 50% (followed by additional reductions in force in October, November and December of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programs, the product candidates’ efficacy profile, stage of development, regulatory agencies’ feedback regarding development pathways, and probability of success in relation to the requisite time and costs, including the relative absence of meaningful, near-term regulatory and clinical inflection points for AVROBIO’s ongoing programs following the Cystinosis Sale;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AVROBIO’s related business development efforts to license, sell or otherwise partner its assets that could result in meaningful new capital or shared future development costs, and to generate sufficient investor interest despite two separate attempts at capital raising, which further exacerbated the lack of opportunities to achieve meaningful near-term regulatory and clinical inflection points for AVROBIO’s ongoing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AVROBIO Board and the Transaction Committee, with the assistance of AVROBIO’s management and legal and financial advisors, undertook a comprehensive and thorough process of reviewing and analyzing potential strategic alternatives and strategic transaction partner candidates, which included the public announcement of AVROBIO’s exploration of strategic alternatives on July 12, 2023, subsequent outreach to approximately 60 strategic and reverse merger candidates and review by the AVROBIO Board of other alternatives (including remaining a standalone company, a liquidation or dissolution of AVROBIO to distribute any available cash and alternative strategic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Committee and the AVROBIO Board’s belief, after a thorough review of strategic alternatives, including engagement with numerous strategic parties with respect to various types of strategic transactions (including whole-company sales, “reverse merger” transactions and “merger of equals” transactions), attempts at two capital raising financings, both of which were unable to generate sufficient investor interest, engagement with certain counterparties on potential partnership opportunities, including in Japan, and the completion of the Cystinosis Sale to Novartis, that the merger is more favorable to AVROBIO stockholders than the potential value that might have resulted from other strategic alternatives available to AVROBIO;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belief that the $77.5 million value ascribed to AVROBIO by Tectonic would provide the existing AVROBIO stockholders significant value for AVROBIO and afford AVROBIO stockholders a significant opportunity to participate in the potential growth of the combined company following the merger at the negotiated exchange ratio, and the AVROBIO Board’s understanding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such $77.5 million value was based on a targeted $65 million of net cash at closing and that the actual valuation ascribed to AVROBIO at closing would be increased or decreased subject to actual deviations in AVROBIO’s net cash at closing in excess of a $0.5 million “hurdle” in both directions (as described more fully in the section of this proxy statement/prospectus titled “</w:t>
            </w:r>
            <w:r>
              <w:rPr>
                <w:rFonts w:ascii="Times New Roman" w:hAnsi="Times New Roman"/>
                <w:i/>
                <w:sz w:val="20"/>
              </w:rPr>
              <w:t>Description of the Merger Agreement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view, following a review with AVROBIO’s senior management and advisors of Tectonic’s current development and clinical trial plans, of the likelihood that the combined company would possess sufficient cash resources at the closing of the merger, or have access to sufficient resources, to fund continued development of Tectonic’s product candidates through certain anticipated upcoming value inflection points;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positive view, based on the scientific, regulatory and technical due diligence conducted by AVROBIO’s senior management and advisors, of the regulatory pathway for, and potential significant market opportunity of, Tectonic’s product candidates, which will be the focus of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Board’s consideration of the expected cash and cash equivalents of the combined company as of the closing of the merger, including the anticipated aggregate proceeds of $130.7 million to be received by Tectonic between the Subscription Agreement and the Company SAFEs, and the quality of the investor syndicate offered by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AVROBIO Board’s belief that Tectonic constituted the most compelling “reverse merger” counterparty as it pertains to each of the Criteria enumerated by the AVROBIO Board (for additional information, see the section of this proxy statement/prospectus titled “—</w:t>
            </w:r>
            <w:r>
              <w:rPr>
                <w:rFonts w:ascii="Times New Roman" w:hAnsi="Times New Roman"/>
                <w:i/>
                <w:sz w:val="20"/>
              </w:rPr>
              <w:t>Background of the Merger</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AVROBIO’s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AVROBIO stockholders to receive cash or other marketable proceeds in respect of AVROBIO’s pre-closing assets following the closing of the merger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liquidation analysis prepared by AVROBIO’s management for the AVROBIO Board’s review, which implied an equity value of AVROBIO in the reverse merger case of approximately $87.5 million, as compared to approximately $72.6 million in the July 2024 liquidation case and approximately $68.7 million in the October 2024 liquidation case (for additional information, see the sections of this proxy statement/prospectus titled “—</w:t>
            </w:r>
            <w:r>
              <w:rPr>
                <w:rFonts w:ascii="Times New Roman" w:hAnsi="Times New Roman"/>
                <w:i/>
                <w:sz w:val="20"/>
              </w:rPr>
              <w:t>Background of the Merger</w:t>
            </w:r>
            <w:r>
              <w:rPr>
                <w:rFonts w:ascii="Times New Roman" w:hAnsi="Times New Roman"/>
                <w:sz w:val="20"/>
              </w:rPr>
              <w:t>” and “—</w:t>
            </w:r>
            <w:r>
              <w:rPr>
                <w:rFonts w:ascii="Times New Roman" w:hAnsi="Times New Roman"/>
                <w:i/>
                <w:sz w:val="20"/>
              </w:rPr>
              <w:t>AVROBIO Liquidation Analysis</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and delays associated with, and uncertain value and costs to AVROBIO stockholders of, liquidating AVROBIO, including, without limitation, the uncertainties of continuing cash burn while contingent liabilities are resolved, the uncertainty of timing of release of cash until contingent liabilities are resolved and AVROBIO’s continuing contractual obligations as of the date of the Merger Agreement that extend through June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financial analysis reviewed by Houlihan Lokey with the AVROBIO Board as well as the oral opinion of Houlihan Lokey rendered to the AVROBIO Board on January 29, 2024 (which was subsequently confirmed in writing by delivery of Houlihan Lokey’s written opinion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is fair, from a financial point of view to AVROBIO (for additional information, see the section of this proxy statement/prospectus titled “—</w:t>
            </w:r>
            <w:r>
              <w:rPr>
                <w:rFonts w:ascii="Times New Roman" w:hAnsi="Times New Roman"/>
                <w:i/>
                <w:sz w:val="20"/>
              </w:rPr>
              <w:t>Opinion of Houlihan Lokey to the AVROBIO Board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AVROBIO Board also reviewed the terms of the Merger Agreement, the CVR Agreement and the other transaction documents,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AVROBIO common stock to be issued in the merger may be reduced or increased to the extent AVROBIO’s net cash position at the closing differs by more than $0.5 million from the anticipated $65.0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the conditions to Tectonic’s and AVROBIO’s respective obligations to complete the merger and the likelihood that the merger will be completed on a timely basis, including the fact that Tectonic’s obligation to complete the merger is conditioned on AVROBIO having a specified level of closing net cash being not less than $50.0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rights of, and limitations on, AVROBIO and Tectonic under the Merger Agreement to consider and engage in discussions regarding unsolicited acquisition proposals under certain circumstances, and the limitations on the board of directors of each party to change its recommendation in favor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termination fee of $2.712 million, in the case of the fee payable by AVROBIO, or $4.9 million, in the case of the fee payable by Tectonic, if the Merger Agreement is terminated in certain circumstances, and the potential reimbursement of transaction expenses payable by AVROBIO of up to $650,000 if the special meeting has been held and completed and AVROBIO stockholders have taken a final vote on Proposal Nos. 1 and 2, and such proposals have not been approved by the AVROBIO stockholders at the AVROBIO special meeting (or any adjournment or postponement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pursuant to which certain Tectonic stockholder and AVROBIO stockholders have, subject to certain exceptions, agreed not to transfer their shares of AVROBIO common stock during the period of 180 days following the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stockholders of AVROBIO and Tectonic have agreed, solely in their capacities as stockholders, to vote all of their shares of AVROBIO common stock or Tectonic common stock (as applicable) in favor of the proposals submitted to them in connection with the merger and against any alternative acquisition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agreement of Tectonic to provide the written consent of Tectonic stockholders necessary to adopt the Merger Agreement and approve the Merger and the contemplated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AVROBIO stockholders of record as of immediately prior to the effective time (including holders of shares of AVROBIO common stock issued upon settlement of the AVROBIO RSUs), will receive a CVR for each outstanding share of AVROBIO common stock held by such AVROBIO stockholders representing the contractual right to receive cash payments, if any, upon the receipt by AVROBIO of certain net proceeds payable to the combined company, as more fully described in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would qualify as a reorganization within the meaning of Section 368(a) of the Code, and will constitute a “plan of reorganization” within the meaning of Treasury Regulations Section 1.368 2(g), with the result that Tectonic stockholders would generally not recognize taxable gain or loss for U.S. federal income tax purposes upon the exchange of Tectonic common stock for AVROBIO common stock pursuant to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and in addition to the consideration and input of the Transaction Committee, the AVROBIO Board also considered a variety of risks, uncertainties and other countervailing factors related to entering into the merger,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potential benefits of the merger may not be fully achieved, or may not be achieved within the expected timeframe;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future financial performance of Tectonic may not meet the AVROBIO Board’s expectations due to factors both within and outside of Tectonic’s control;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AVROBIO’s stockholders may not approve the merger;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and costs of stockholder or third-party litigation relating to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potential effect of the $2.712 million termination fee payable by AVROBIO and AVROBIO’s expense reimbursement obligations upon the occurrence of certain events, as more fully described in the section titled “</w:t>
            </w:r>
            <w:r>
              <w:rPr>
                <w:rFonts w:ascii="Times New Roman" w:hAnsi="Times New Roman"/>
                <w:i/>
                <w:sz w:val="20"/>
              </w:rPr>
              <w:t>The Merger Agreement—Termination Fe</w:t>
            </w:r>
            <w:r>
              <w:rPr>
                <w:rFonts w:ascii="Times New Roman" w:hAnsi="Times New Roman"/>
                <w:sz w:val="20"/>
              </w:rPr>
              <w:t xml:space="preserve">e,” in deterring other potential acquirors from proposing an alternative acquisition proposal that may be more advantageous to AVROBIO stockholders;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AVROBIO to solicit alternative acquisition proposals during the pendency of the merger;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AVROBIO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the AVROBIO common stock resulting from the announcement, pendency or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Tectonic’s product candidates;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AVROBIO’s stockholders may not receive any value under the CVR Agreement;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risks impacting the financial condition, results of operations and prospects for AVROBIO;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the stockholders of AVROBIO upon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merger,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36 and 171, respectively,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AVROBIO Board are not intended to be exhaustive but are believed to include all of the material factors considered by the AVROBIO Board. In view of the wide variety of factors considered in connection with its evaluation of the merger and the complexity of these matters, the AVROBIO Board did not find it useful to attempt, and did not attempt, to quantify, rank or otherwise assign relative weights to these factors. In considering the factors described above, individual members of the AVROBIO Board may have given different weight to different factors. The AVROBIO Board conducted an overall analysis of the factors described above, including thorough discussions with, and questioning of, AVROBIO’s senior management, outside legal counsel and financial advisors, and considered the factors overall to be favorable to, and to support, its determination.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Tectonic’s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the Tectonic Board held meetings and conducted discussions, consulted with Tectonic’s senior management, its financial advisors and legal counsel, and considered a wide variety of factors. Ultimately, the Tectonic Board concluded that a merger with AVROBIO together with the additional financing committed by the investors in the Tectonic pre-closing financing, was the best option to maximize the generation of capital resources to support the advancement of Tectonic’s pipeline and fund the combined company potentially well past achievement of clinical proof of concept for its lead asset, TX45. </w:t>
      </w:r>
    </w:p>
    <w:p>
      <w:pPr>
        <w:pStyle w:val="TextBody"/>
        <w:bidi w:val="0"/>
        <w:spacing w:before="240" w:after="0"/>
        <w:jc w:val="left"/>
        <w:rPr>
          <w:rFonts w:ascii="Times New Roman" w:hAnsi="Times New Roman"/>
          <w:sz w:val="20"/>
        </w:rPr>
      </w:pPr>
      <w:r>
        <w:rPr>
          <w:rFonts w:ascii="Times New Roman" w:hAnsi="Times New Roman"/>
          <w:sz w:val="20"/>
        </w:rPr>
        <w:t xml:space="preserve">The Tectonic Board considered, among others, the following material factors (which factors are not necessarily presented in any order or relevant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provide Tectonic’s current stockholders with greater liquidity by owning publicly-traded stock, and expanding the range of investors potentially available as a public company, compared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125" w:type="dxa"/>
        <w:jc w:val="left"/>
        <w:tblInd w:w="0" w:type="dxa"/>
        <w:tblLayout w:type="fixed"/>
        <w:tblCellMar>
          <w:top w:w="0" w:type="dxa"/>
          <w:left w:w="0" w:type="dxa"/>
          <w:bottom w:w="0" w:type="dxa"/>
          <w:right w:w="0" w:type="dxa"/>
        </w:tblCellMar>
      </w:tblPr>
      <w:tblGrid>
        <w:gridCol w:w="75"/>
        <w:gridCol w:w="9050"/>
      </w:tblGrid>
      <w:tr>
        <w:trPr/>
        <w:tc>
          <w:tcPr>
            <w:tcW w:w="75"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investors Tectonic could otherwise gain access to if it continued to operate as a privately-held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Tectonic’s business, including its financial performance and condition, operations, management and pre-clinical data;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Tectonic operates;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Board’s fiduciary duties to Tectonic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Tectonic’s Board’s belief that no alternatives to the merger were reasonably likely to create greater value for Tectonic stockholders, after reviewing the various financing and other strategic options to enhance stockholder value that were considered by the Tectonic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financial position, operations, management structure, geographic locations, operating plans, cash burn rate and financial projections of the combined company, including the expected cash resources of the combined company (including the ability to support the combined company’s current and planned clinical trials and operations);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AVROBIO;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Tectonic’s capital stock who comply with the required procedures under the DGCL, which allow such holders to seek appraisal of the fair value of their shares of Tectonic capital stock as determined by the Delaware Court of Chancery;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AVROBIO stockholders and Tectonic stockholders in the combined company was appropriate, based on the Tectonic Board’s judgment and assessment of the approximate valuations of AVROBIO (including the value of the net cash AVROBIO is expected to provide to the combined company) and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with the result that in the merger the Tectonic stockholders will generally not recognize taxable gain or loss for U.S. federal income tax purposes;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AVROBIO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Tectonic under the Merger Agreement to consider certain unsolicited acquisition proposals under certain circumstances should Tectonic receive a superior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Tectonic Board that the potential termination fee of $4.9 million, payable by Tectonic to AVROBIO, and the circumstances when such fee may be payable, were reasonable;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Tectonic Board that the potential termination fee of $2.7 million, payable by AVROBIO to Tectonic, and the circumstances when such fee may be payable, were reasonable;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AVROBIO’s common stock issued to Tectonic stockholders will be registered on a Form S-4 registration statement and will become freely tradable for Tectonic stockholders who are not affiliates of Tectonic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Tectonic and AVROBIO, respectively, have agreed, solely in their capacity as stockholders of Tectonic and AVROBIO, respectively, to vote all of their shares of Tectonic capital stock or AVROBIO common stock in favor of the adoption or approval, respectively,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company’s name to Tectonic Therapeutic, Inc. upon the closing of the merger; and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Tectonic Board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Tectonic and the ability of Tectonic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AVROBIO stockholders may cause the price of AVROBIO common stock to fall, thus reducing the potential value of AVROBIO common stock received by Tectonic stockholders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AVROBIO’s common stock to be issued to Tectonic stockholders in the merger is fixed, except for adjustments due to AVROBIO’s cash balance and outstanding capital stock at closing, and thus the relative percentage ownership of AVROBIO stockholders and Tectonic stockholders in the combined company immediately following the completion of the merger is similarly fixed;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fee, payable by Tectonic to AVROBIO upon the occurrence of certain events, and the potential effect of such termination fee in deterring other potential acquirers from proposing an alternative transaction that may be more advantageous to Tectonic stockholders;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AVROBIO’s net cash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that Tectonic’s cash resources may not be sufficient to fund operations if the closing process runs into delays much longer than would be expected in a similar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Tectonic senior management required to complete the merger, the related disruptions or potential disruptions to Tectonic’s business operations and future prospects, including its relationships with its employees, suppliers and partners and others that do business or may do business in the future with Tectonic, and related administrative challenges associated with combining the companies; </w:t>
            </w:r>
          </w:p>
        </w:tc>
      </w:tr>
    </w:tbl>
    <w:p>
      <w:pPr>
        <w:pStyle w:val="TextBody"/>
        <w:bidi w:val="0"/>
        <w:spacing w:before="0" w:after="0"/>
        <w:jc w:val="left"/>
        <w:rPr/>
      </w:pPr>
      <w:r>
        <w:rPr/>
        <w:t> </w:t>
      </w:r>
    </w:p>
    <w:tbl>
      <w:tblPr>
        <w:tblW w:w="10090" w:type="dxa"/>
        <w:jc w:val="left"/>
        <w:tblInd w:w="0" w:type="dxa"/>
        <w:tblLayout w:type="fixed"/>
        <w:tblCellMar>
          <w:top w:w="0" w:type="dxa"/>
          <w:left w:w="0" w:type="dxa"/>
          <w:bottom w:w="0" w:type="dxa"/>
          <w:right w:w="0" w:type="dxa"/>
        </w:tblCellMar>
      </w:tblPr>
      <w:tblGrid>
        <w:gridCol w:w="75"/>
        <w:gridCol w:w="110"/>
        <w:gridCol w:w="60"/>
        <w:gridCol w:w="9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AVROBIO will not be able to successfully sell AVROBIO’s the assets subject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Tectonic’s business will be subject following the merger that Tectonic has not previously been subject to, and the operational changes to Tectonic’s business, in each case that may result from being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company and the merger, including the risks described in the section titled “</w:t>
            </w:r>
            <w:r>
              <w:rPr>
                <w:rFonts w:ascii="Times New Roman" w:hAnsi="Times New Roman"/>
                <w:i/>
                <w:sz w:val="20"/>
              </w:rPr>
              <w:t>Risk Factors</w:t>
            </w:r>
            <w:r>
              <w:rPr>
                <w:rFonts w:ascii="Times New Roman" w:hAnsi="Times New Roman"/>
                <w:sz w:val="20"/>
              </w:rPr>
              <w:t xml:space="preserv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summarizes the material factors considered by the Tectonic Board in its consideration of the Merger Agreement and the transactions contemplated. The Tectonic Board concluded that the benefits, advantages and opportunities of a potential transaction outweighed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uncertainties and risks described above. After considering these and other factors, the Tectonic Board unanimously approved the Merger Agreement, the merger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AVROBIO Liquidation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the AVROBIO Board, AVROBIO management prepared and presented an analysis regarding a potential liquidation or dissolution of AVROBIO (the “liquidation case”) as compared to a potential “reverse merger” transaction with Tectonic (the “reverse merger case”) (collectively,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liquidation analysis should not be deemed an admission or representation by AVROBIO or any of its officers, directors, affiliates, advisors, or other representatives with respect to the liquidation analysis. The liquidation analysis is not included to influence your views on the merger, the Merger Agreement and the transactions contemplated thereby and is summarized in this proxy statement/prospectus solely to provide stockholders access to certain information considered by the AVROBIO Board in connection with its evaluation of the merger, the Merger Agreement and the transactions contemplated thereby and provided to Houlihan Lokey, who was authorized and directed to rely upon the liquidation analysis for purposes of its opinion to the AVROBIO Board. Any estimates contained in the liquidation analysis are not necessarily indicative of actual values or predictive of future results or values, which may be significantly more or less favorable than as set forth below. Analyses relating to the value of AVROBIO do not purport to be appraisals or reflect the prices at which shares of AVROBIO common stock may actually be valued or trade, either before or after the consummation of the merger. Additionally, it is unlikely that the entirety of AVROBIO’s cash balance would be available at the time of an actual dissolution or liquidation for distribution to AVROBIO’s stockholders, due to the requirements of applicable law. The actual amount that would be available for distribution would depend on the amount of wind-down costs, the amount required to settle remaining obligations under current contracts, the need to retain employees to facilitate the wind-down, the need to retain the services of outside contractors to assist with the wind-down and the satisfaction by AVROBIO of its remaining obligations (including obligations to continue SEC filings), and the need to retain funds beyond that distribution for unknown or contingent liabilities, each of which could be material and the total amount of which could not currently be estimated.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AVROBIO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AVROBIO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includes estimates of cash and of certain expenditures, which for the purpose of the liquidation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statement/prospectus to comply with requirements under state laws, including case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liquidation analysis speaks only as to the date on which it was generated, and AVROBIO undertakes no obligation to update or otherwise revise or reconcile the liquidation analysis to reflect circumstances existing after the date the liquidation analysis was generated or to reflect the occurrence of future events. AVROBIO does not intend to make publicly available any update or other revisions to the liquidation analysis, except as otherwise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liquidation analysis is subject to the statements above, and it represents AVROBIO management’s estimates of AVROBIO’s cash which may be distributed to stockholders as permitted under applicable law pursuant to a plan of dissolution. The below summary is included solely to give stockholders access to the liquidation analysis evaluated by the AVROBIO Board, and is not included in this proxy statement/prospectus to influence a stockholder’s decision whether or not to vote for the proposals, or for any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case of the liquidation analysis provided two separate scenarios, one of which assumed a transition of AVROBIO’s operations to a dissolution administrator in July 2024 (the “July 2024 liquidation case”), and the second of which assumed a transition of AVROBIO’s operations to a dissolution administrator in October 2024 (the “October 2024 liquidation case”) (such assumed July 2024 and October 2024 dates, the “transition dates”). In selecting the July 2024 transition date for the July 2024 liquidation case, AVROBIO accounted for certain contractual obligations of AVROBIO that last through the end of June 2024 and that could reasonably be expected to impede AVROBIO’s ability to liquidate prior thereto. Under both the July 2024 liquidation case and the October 2024 liquidation case, based on internal data, AVROBIO management assumed (A) that sources of cash would consist of an estimated cash balance as of January 22, 2024 equal to $94.7 million, plus cash flow generated from continuing operations (interest income) through the respective transition dates, from which was deducted (B) various categories of uses of cash through the respective transition dates, including the present value of cash reserves established in respect of potential future claims and litigations. The resulting implied equity values of AVROBIO equaled approximately $68.7 million in the October 2024 liquidation scenario and $72.6 million in the July 2024 liquidation scenario. </w:t>
      </w:r>
    </w:p>
    <w:p>
      <w:pPr>
        <w:pStyle w:val="TextBody"/>
        <w:bidi w:val="0"/>
        <w:spacing w:before="240" w:after="0"/>
        <w:jc w:val="left"/>
        <w:rPr>
          <w:rFonts w:ascii="Times New Roman" w:hAnsi="Times New Roman"/>
          <w:sz w:val="20"/>
        </w:rPr>
      </w:pPr>
      <w:r>
        <w:rPr>
          <w:rFonts w:ascii="Times New Roman" w:hAnsi="Times New Roman"/>
          <w:sz w:val="20"/>
        </w:rPr>
        <w:t xml:space="preserve">In the reverse merger case, AVROBIO management assumed a completion date for the reverse merger of May 31, 2024. As compared to the liquidation case, the reverse merger case included (i) certain costs applicable only to the reverse merger case, such as financial advisor contingent fees and change-in-control payments to AVROBIO employees, and (ii) certain value ascribed by Tectonic to AVROBIO in excess of its ending net cash position, including with respect to the value of its public company listing, in the amount of $12.5 million. The resulting implied equity value of AVROBIO in the reverse merger case equaled approximately $87.5 million. As noted in the section of this proxy titled “Background of the Merger”, in evaluating the reverse merger case, the AVROBIO Transaction Committee noted that (1) the equity value of AVROBIO implied by the reverse merger case delivered more value to AVROBIO stockholders than those implied by either of the liquidation cases, (2) while the equity value of AVROBIO implied by the reverse merger case as of the assumed reverse merger completion date of May 31, 2024 was based on estimated net cash as of such date of $75 million, applying any level of net cash equally across the three scenarios yielded a higher value for the reverse merger case, and (3) while the Merger Agreement’s equity allocation to AVROBIO stockholders assumed a valuation for AVROBIO of $77.5 million, which was based on a targeted $65 million of net cash at closing, the actual equity allocation to AVROBIO stockholders at closing would be increased on a dollar-for-dollar basis (subject to a $0.5 million “hurdle”) if AVROBIO’s net cash at closing was higher than $65 million; see the section of this proxy statement/prospectus titled “Description of the Merger Agreement” for a more fulsome description. This would thereby confer additional equity value to AVROBIO stockholders on a dollar-for-dollar basis (subject to the aforementioned “hurdle”) in the event that AVROBIO’s closing net cash actually approximates $75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045" w:type="dxa"/>
        <w:jc w:val="left"/>
        <w:tblInd w:w="0" w:type="dxa"/>
        <w:tblLayout w:type="fixed"/>
        <w:tblCellMar>
          <w:top w:w="0" w:type="dxa"/>
          <w:left w:w="0" w:type="dxa"/>
          <w:bottom w:w="0" w:type="dxa"/>
          <w:right w:w="0" w:type="dxa"/>
        </w:tblCellMar>
      </w:tblPr>
      <w:tblGrid>
        <w:gridCol w:w="4100"/>
        <w:gridCol w:w="120"/>
        <w:gridCol w:w="215"/>
        <w:gridCol w:w="440"/>
        <w:gridCol w:w="170"/>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75" w:type="dxa"/>
            <w:gridSpan w:val="4"/>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July 2024 Liquidation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94.7</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96.1</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13.8</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0.9</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Full-Time Employee Related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Additional Executive Team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0.7</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Severance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Cash Reserve Discount 1</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0.7</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23.5</w:t>
            </w:r>
          </w:p>
        </w:tc>
        <w:tc>
          <w:tcPr>
            <w:tcW w:w="170" w:type="dxa"/>
            <w:tcBorders/>
            <w:vAlign w:val="center"/>
          </w:tcPr>
          <w:p>
            <w:pPr>
              <w:pStyle w:val="TableContents"/>
              <w:bidi w:val="0"/>
              <w:spacing w:before="0" w:after="283"/>
              <w:jc w:val="left"/>
              <w:rPr>
                <w:b/>
              </w:rPr>
            </w:pPr>
            <w:r>
              <w:rPr>
                <w:b/>
              </w:rPr>
              <w:t>) </w:t>
            </w:r>
          </w:p>
        </w:tc>
      </w:tr>
      <w:tr>
        <w:trPr/>
        <w:tc>
          <w:tcPr>
            <w:tcW w:w="4100" w:type="dxa"/>
            <w:tcBorders/>
            <w:shd w:fill="CCEEFF" w:val="cle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Implied AVROBIO Equity Value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72.6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AVROBIO management, AVROBIO estimates it would retain 12.5% of estimated closing cash balance to settle any pending liabilities following a hypothetical liquidation scenario, which 12.5% would equal $9.2 in the July 2024 liquidation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liquidation analysis, AVROBIO management evaluated a range of possible timing and net amount of distribution of cash reserves, due to the inherent variability of such distributions. The October 2024 liquidation case assumed 75% of cash reserves would be distributed five years after a dissolution date and the July 2024 liquidation case assumed 100% cash reserves would be distributed incrementally through installments up to three years after a dissolution date. The discounted value above reflects the present value of estimated recoverable cash reserves distributed incrementally through installments up to three years after a dissolution date and discounted using the 2-year U.S. Treasury bond yield of 4.34%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585" w:type="dxa"/>
        <w:jc w:val="left"/>
        <w:tblInd w:w="0" w:type="dxa"/>
        <w:tblLayout w:type="fixed"/>
        <w:tblCellMar>
          <w:top w:w="0" w:type="dxa"/>
          <w:left w:w="0" w:type="dxa"/>
          <w:bottom w:w="0" w:type="dxa"/>
          <w:right w:w="0" w:type="dxa"/>
        </w:tblCellMar>
      </w:tblPr>
      <w:tblGrid>
        <w:gridCol w:w="4640"/>
        <w:gridCol w:w="120"/>
        <w:gridCol w:w="215"/>
        <w:gridCol w:w="440"/>
        <w:gridCol w:w="170"/>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15" w:type="dxa"/>
            <w:gridSpan w:val="4"/>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October 2024 Liquidation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94.7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 (Interest Income)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96.7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13.8</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0.4</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0.9</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Full-Time Employee Related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Additional Executive Team Retention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 Severance Costs</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Cash Reserve Discount 1</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28.0</w:t>
            </w:r>
          </w:p>
        </w:tc>
        <w:tc>
          <w:tcPr>
            <w:tcW w:w="170" w:type="dxa"/>
            <w:tcBorders/>
            <w:vAlign w:val="center"/>
          </w:tcPr>
          <w:p>
            <w:pPr>
              <w:pStyle w:val="TableContents"/>
              <w:bidi w:val="0"/>
              <w:spacing w:before="0" w:after="283"/>
              <w:jc w:val="left"/>
              <w:rPr>
                <w:b/>
              </w:rPr>
            </w:pPr>
            <w:r>
              <w:rPr>
                <w:b/>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945" w:type="dxa"/>
            <w:gridSpan w:val="4"/>
            <w:tcBorders/>
            <w:vAlign w:val="center"/>
          </w:tcPr>
          <w:p>
            <w:pPr>
              <w:pStyle w:val="TableContents"/>
              <w:bidi w:val="0"/>
              <w:spacing w:before="0" w:after="283"/>
              <w:jc w:val="left"/>
              <w:rPr>
                <w:sz w:val="4"/>
                <w:szCs w:val="4"/>
              </w:rPr>
            </w:pPr>
            <w:r>
              <w:rPr>
                <w:sz w:val="4"/>
                <w:szCs w:val="4"/>
              </w:rPr>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Implied AVROBIO Equity Value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68.7</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1</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 AVROBIO management, AVROBIO estimates it would retain 12.5% of estimated closing cash balance to settle any pending liabilities following a hypothetical liquidation scenario, which 12.5% would equal $9.0 in the October 2024 liquidation case.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part of the liquidation analysis, AVROBIO management evaluated a range of possible timing and net amount of distribution of cash reserves, due to the inherent variability of such distributions. The October 2024 liquidation case assumed 75% of cash reserves would be distributed five years after a dissolution date and the July 2024 liquidation case assumed 100% of cash reserves would be distributed incrementally through installments up to three years after a dissolution date. The discounted value above reflects the present value of estimated recoverable cash reserves distributed five years after a dissolution date and discounted using the 5-year U.S. Treasury bond yield of 4.04%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585" w:type="dxa"/>
        <w:jc w:val="left"/>
        <w:tblInd w:w="0" w:type="dxa"/>
        <w:tblLayout w:type="fixed"/>
        <w:tblCellMar>
          <w:top w:w="0" w:type="dxa"/>
          <w:left w:w="0" w:type="dxa"/>
          <w:bottom w:w="0" w:type="dxa"/>
          <w:right w:w="0" w:type="dxa"/>
        </w:tblCellMar>
      </w:tblPr>
      <w:tblGrid>
        <w:gridCol w:w="4640"/>
        <w:gridCol w:w="120"/>
        <w:gridCol w:w="215"/>
        <w:gridCol w:w="440"/>
        <w:gridCol w:w="170"/>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15" w:type="dxa"/>
            <w:gridSpan w:val="4"/>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Reverse Merger Case</w:t>
            </w:r>
          </w:p>
          <w:p>
            <w:pPr>
              <w:pStyle w:val="TableContents"/>
              <w:pBdr>
                <w:bottom w:val="single" w:sz="8" w:space="1" w:color="000000"/>
              </w:pBdr>
              <w:bidi w:val="0"/>
              <w:spacing w:before="0" w:after="20"/>
              <w:jc w:val="center"/>
              <w:rPr>
                <w:rFonts w:ascii="Times New Roman" w:hAnsi="Times New Roman"/>
                <w:i/>
                <w:sz w:val="20"/>
              </w:rPr>
            </w:pPr>
            <w:r>
              <w:rPr>
                <w:rFonts w:ascii="Times New Roman" w:hAnsi="Times New Roman"/>
                <w:i/>
                <w:sz w:val="20"/>
              </w:rPr>
              <w:t>(dollars and shares in millions, except per share values)</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Sources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Cash Balance as of January 22, 2024</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94.7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 from Continuing Operations (Interest Income)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Sources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96.0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Uses of Cash</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Full Time Equivalent Related Costs</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Full Time Equivalent Costs Through May 31, 2024</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Severance Non-Executive Team</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Full Time Equivalent – Executive Team</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 Executive Team Change-in-Control</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Other/Reserve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(R&amp;D)</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2024 Accounts Payable (G&amp;A)</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12.2</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Uses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21.0</w:t>
            </w:r>
          </w:p>
        </w:tc>
        <w:tc>
          <w:tcPr>
            <w:tcW w:w="170" w:type="dxa"/>
            <w:tcBorders/>
            <w:vAlign w:val="center"/>
          </w:tcPr>
          <w:p>
            <w:pPr>
              <w:pStyle w:val="TableContents"/>
              <w:bidi w:val="0"/>
              <w:spacing w:before="0" w:after="283"/>
              <w:jc w:val="left"/>
              <w:rPr>
                <w:b/>
              </w:rPr>
            </w:pPr>
            <w:r>
              <w:rPr>
                <w:b/>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Estimate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75.0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Assigned Value to AVROBIO In Excess of Cash</w:t>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w:t>
            </w:r>
          </w:p>
        </w:tc>
        <w:tc>
          <w:tcPr>
            <w:tcW w:w="440" w:type="dxa"/>
            <w:tcBorders/>
            <w:vAlign w:val="center"/>
          </w:tcPr>
          <w:p>
            <w:pPr>
              <w:pStyle w:val="TableContents"/>
              <w:bidi w:val="0"/>
              <w:spacing w:before="0" w:after="283"/>
              <w:jc w:val="right"/>
              <w:rPr>
                <w:b/>
              </w:rPr>
            </w:pPr>
            <w:r>
              <w:rPr>
                <w:b/>
              </w:rPr>
              <w:t>12.5</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Implied AVROBIO Equity Value</w:t>
            </w:r>
          </w:p>
        </w:tc>
        <w:tc>
          <w:tcPr>
            <w:tcW w:w="12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440" w:type="dxa"/>
            <w:tcBorders/>
            <w:shd w:fill="CCEEFF" w:val="clear"/>
            <w:vAlign w:val="center"/>
          </w:tcPr>
          <w:p>
            <w:pPr>
              <w:pStyle w:val="TableContents"/>
              <w:bidi w:val="0"/>
              <w:spacing w:before="0" w:after="283"/>
              <w:jc w:val="right"/>
              <w:rPr>
                <w:b/>
              </w:rPr>
            </w:pPr>
            <w:r>
              <w:rPr>
                <w:b/>
              </w:rPr>
              <w:t>87.5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5"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50" w:name="toc770053_48"/>
      <w:bookmarkEnd w:id="50"/>
      <w:r>
        <w:rPr>
          <w:rFonts w:ascii="Times New Roman" w:hAnsi="Times New Roman"/>
          <w:b/>
          <w:sz w:val="20"/>
        </w:rPr>
        <w:t xml:space="preserve">Opinion of Houlihan Lokey to the AVROBIO Board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2024, Houlihan Lokey orally rendered its opinion to the AVROBIO Board (which was subsequently confirmed in writing by delivery of Houlihan Lokey’s written opinion dated January 29, 2024 addressed to the AVROBIO Board), to the effect that, as of January 29, 2024, based upon and subject to the assumptions, qualifications, limitations and other matters considered as set forth in the Opinion, the Exchange Ratio provided for in the Merger pursuant to the Merger Agreement, after giving effect to the Related Transactions was fair, from a financial point of view, to AVROBIO. </w:t>
      </w:r>
    </w:p>
    <w:p>
      <w:pPr>
        <w:pStyle w:val="TextBody"/>
        <w:bidi w:val="0"/>
        <w:spacing w:before="240" w:after="0"/>
        <w:jc w:val="left"/>
        <w:rPr>
          <w:rFonts w:ascii="Times New Roman" w:hAnsi="Times New Roman"/>
          <w:b/>
          <w:sz w:val="20"/>
        </w:rPr>
      </w:pPr>
      <w:r>
        <w:rPr>
          <w:rFonts w:ascii="Times New Roman" w:hAnsi="Times New Roman"/>
          <w:b/>
          <w:sz w:val="20"/>
        </w:rPr>
        <w:t xml:space="preserve">Houlihan Lokey’s opinion was directed to the AVROBIO Board and only addressed the fairness, from a financial point of view, to AVROBIO of the Exchange Ratio provided for in the Merger pursuant to the Merger Agreement after giving effect to the Related Transactions and did not address, among other things,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The summary of Houlihan Lokey’s opinion in this proxy statement/prospectus is qualified in its entirety by reference to the full text of its written opinion, which is attached as </w:t>
      </w:r>
      <w:r>
        <w:rPr>
          <w:rFonts w:ascii="Times New Roman" w:hAnsi="Times New Roman"/>
          <w:b/>
          <w:sz w:val="20"/>
          <w:u w:val="single"/>
        </w:rPr>
        <w:t>Annex B</w:t>
      </w:r>
      <w:r>
        <w:rPr>
          <w:rFonts w:ascii="Times New Roman" w:hAnsi="Times New Roman"/>
          <w:b/>
          <w:sz w:val="20"/>
        </w:rPr>
        <w:t xml:space="preserve">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 recommendation to the AVROBIO Board, any security holder of AVROBIO or any other party as to how to act or vote with respect to any matter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 Houlihan Lokey made such reviews, analyses and inquiries as Houlihan Lokey had deemed necessary and appropriate under the circumstances. Among other things, Houlihan Lokey: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January 29, 2024,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relating to AVROBIO and Tectonic that Houlihan Lokey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relating to the historical, current and future operations, financial condition and prospects of AVROBIO and Tectonic made available to Houlihan Lokey by AVROBIO and Tectonic, including (i) a liquidation analysis of AVROBIO prepared by management of AVROBIO (the “AVROBIO Liquidation Analysis”) and (ii) information regarding the nature of, and indications to be addressed by, Tectonic’s potential products, the current status and expected future timing of clinical development of Tectonic’s products, and projected cash expenditures for the development of such products (collectively, the “Tectonic Development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spoke with certain members of the managements of AVROBIO and Tectonic regarding the respective businesses, operations, financial condition and prospects of AVROBIO and Tectonic, the Transaction and related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compared the clinical development stage and therapeutic area of focus of Tectonic with that of companies with publicly traded equity securities that Houlihan Lokey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solely for informational purposes, considered the publicly available financial terms of certain transactions that Houlihan Lokey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the current and historical market prices and trading volume for certain of AVROBIO’s publicly traded equity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and considered such other information and factors as Houlihan Lokey deemed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Houlihan Lokey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management of AVROBIO advised Houlihan Lokey, and Houlihan Lokey with the AVROBIO Board’s consent relied upon and assumed, that the AVROBIO Liquidation Analysis was reasonably prepared in good faith on bases reflecting the best currently available estimates and judgments of such management as to (i) the expected realizable value for AVROBIO’s assets, assuming an orderly liquidation of such assets, and (ii) the remaining amounts estimated to be available upon completion of such liquidation for distribution to AVROBIO’s equity holders. In addition, with the AVROBIO Board’s consent, Houlihan Lokey relied upon and assumed that the Tectonic Development Information was reasonably prepared in good faith on bases reflecting the best currently available estimates and judgments of Tectonic management as to the nature of, and indications to be addressed by, Tectonic’s potential products and the expected timing and cash expenditures associated with the development of Tectonic’s potential products. Houlihan Lokey expressed no view or opinion with respect to the AVROBIO Liquidation Analysis, the Tectonic Development Information or the respective assumptions on which they were based. At the AVROBIO Board’s direction, Houlihan Lokey assumed that the Liquidation Analysis and the Tectonic Development Information provided a reasonable basis on which to evaluate AVROBIO, Tectonic and the Transaction and Houlihan Lokey, at the AVROBIO Board’s direction, used and relied upon the Liquidation Analysis and the Tectonic Development Information for purposes of its analysis and the Opinion. In this regard the AVROBIO Board advised Houlihan Lokey, and at the AVROBIO Board’s direction Houlihan Lokey relied upon and assumed, that (i) AVROBIO had terminated all company-sponsored treatment-related and company-sponsored long-term follow-up clinical studies relating to its AVR-RD-02, or Gaucher disease type 1, program, and company-sponsored long term follow-up studies relating to its AVR-RD-01, or Fabry disease, program, (ii) AVROBIO had terminated its agreements with the University of Manchester for the license and development of a gene therapy for MPSII, or Hunter syndrome, and discontinued its AVR-RD-05, or Hunter syndrome gene therapy program, (iii) AVROBIO sold its cystinosis gene therapy program to Novartis Pharma AG and Novartis Pharmaceuticals Corporation, (iv) as a result, AVROBIO had three gene therapy product candidates, none of which was currently in active clinical development, (v) since inception, AVROBIO had not generated any product revenue and had financed its operations primarily through the private placement of securities and through public offerings of common stock, (vi) AVROBIO had suffered significant recurring losses from operations, (vii) in the absence of the Transaction or an alternative strategic transaction, AVROBIO would likely dissolve and liquidate, and (viii) the values AVROBIO would receive for its assets in liquidation could be significantly lower than the values reflected in AVROBIO’s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reaching its conclusions in the Opinion, with the AVROBIO Board’s consent, Houlihan Lokey did not rely upon (i) a discounted cash flow analysis of AVROBIO or Tectonic, because, as the AVROBIO Board advised Houlihan Lokey and directed Houlihan Lokey to assume, other than the projected cash expenditures for Tectonic included in the Tectonic Development Information, no current, reliable projections with respect to the future financial performance of AVROBIO or Tectonic were available, (ii) Houlihan Lokey did not rely upon a review of the publicly available financial terms of other transactions, because Houlihan Lokey did not identify a sufficient number of relevant transactions in which Houlihan Lokey deemed the acquired companies to be sufficiently similar to AVROBIO or Tectonic and (iii) with respect to AVROBIO, Houlihan Lokey did not rely upon a review of companies with publicly traded equity securities that Houlihan Lokey deemed relevant, because Houlihan Lokey did not identify a sufficient number of relevant companies Houlihan Lokey deemed to be sufficiently similar to AVROBIO. Houlihan Lokey relied upon and assumed, without independent verification, that there had been no change in the businesses, assets, liabilities, financial condition, results of operations, cash flows or prospects of AVROBIO or Tectonic since the respective dates of the most recent financial statements and other information, financial or otherwise, provided to Houlihan Lokey that would be material to its analyses or the Opinion, and that there was no information or any facts that would make any of the information reviewed by Houlihan Lokey incomplete or misleading. Houlihan Lokey also relied upon and assumed, without independent verification, the assessments of the managements of AVROBIO and Tectonic as to AVROBIO’s and Tectonic’s existing and future technology, products, product candidates, services and intellectual property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Houlihan Lokey assumed at the AVROBIO Board’s direction that there would be no developments with respect to any such matters that would affect its analyses or the Opinion.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relied upon and assumed, without independent verification, that (a) the representations and warranties of all parties to the Merger Agreement and all other related documents and instruments referred to therein were true and correct, (b) each party to the Merger Agreement and such other related documents and instruments would fully and timely perform all of the covenants and agreements required to be performed by such party, (c) all conditions to the consummation of the Transaction would be satisfied without waiver thereof, and (d) the Transaction would be consummated in a timely manner in accordance with the terms described in the Merger Agreement and such other related documents and instruments, without any amendments or modifications. Houlihan Lokey also assumed, with the AVROBIO Board’s consent, that the Merger would qualify as a “reorganization” under Section 368(a) of the Internal Revenue Code of 1986, as amended. Houlihan Lokey relied upon and assumed, without independent verification, that (i) the Transaction would be consummated in a manner that complies in all respects with all applicable foreign, federal, state and local statutes, rules and regulations, and (ii) all governmental, regulatory, and other consents and approvals necessary for the consummation of the Transaction would be obtained and that no delay, limitations, restrictions or conditions would be imposed or amendments, modifications or waivers made that would result in the disposition of any assets of AVROBIO or Tectonic, or otherwise have an effect on the Transaction, AVROBIO or Tectonic or any expected benefits of the Transaction that would be material to its analyses or opinion. Houlihan Lokey also relied upon and assumed, without independent verification, at the AVROBIO Board’s direction, that any adjustments to the Exchange Ratio pursuant to the Merger Agreement or otherwise would not be material to its analyses or opinion. In addition, Houlihan Lokey relied upon and assumed, without independent verification, that the final form of the Merger Agreement would not differ in any respect from the draft of the Merger Agreement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the Opinion, Houlihan Lokey was not requested to, and did not, make any physical inspection or independent appraisal or evaluation of any of the assets, properties or liabilities (fixed, contingent, derivative, off-balance-sheet or otherwise) of AVROBIO, Tectonic or any other party, nor was Houlihan Lokey provided with any such appraisal or evaluation (other than the AVROBIO Liquidation Analysis provided by AVROBIO management).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AVROBIO or Tectonic was or may have been a party or was or may have been subject, or of any governmental investigation of any possible unasserted claims or other contingent liabilities to which AVROBIO or Tectonic was or may have been a party or was or may have been subject.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was not requested to, and did not, (a) initiate or participate in any discussions or negotiations with, or solicit any indications of interest from, third parties with respect to the Transaction, the securities, assets, businesses or operations of AVROBIO, Tectonic or any other party, or any alternatives to the Transaction, (b) identify, introduce to the AVROBIO Board, AVROBIO or any other party, or screen for creditworthiness, any prospective investors, lenders or other participants in the Transaction, (c) negotiate the terms of the Transaction, or (d) advise the AVROBIO Board, AVROBIO or any other party with respect to alternatives to the Transaction. The Opinion was necessarily based on financial, economic, market and other conditions as in effect on, and the information made available to Houlihan Lokey as of, the date of the Opinion. Houlihan Lokey did not undertake, and is under no obligation, to update, revise, reaffirm or withdraw the Opinion, or otherwise comment on or consider events occurring or coming to its attention after the date of the Opinion. Houlihan Lokey did not express any opinion as to what the value of the AVROBIO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actually would be when issued in the Transaction pursuant to the Merger Agreement or the price or range of prices at which AVROBIO common stock or Tectonic capital stock may be purchased or sold, or otherwise be transferable,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Opinion was furnished for the use of the AVROBIO Board (in its capacity as such) in connection with its evaluation of the Transaction and may not be used for any other purpose without Houlihan Lokey’s prior written consent. The Opinion was not intended to be, and did not constitute, a recommendation to the AVROBIO Board, AVROBIO, any security holder or any other party as to how to act or vote with respect to any matter relating to the Transaction or otherwise, including, without limitation, whether any party should participate in the private financings.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was not requested to opine as to, and the Opinion did not express an opinion as to or otherwise address, among other things: (i) the underlying business decision of the AVROBIO Board, AVROBIO, its security holders or any other party to proceed with or effect the Transaction, (ii) the terms of any arrangements, understandings, agreements or documents related to, or the form, structure or any other portion or aspect of, the Transaction or otherwise (other than the Exchange Ratio to the extent expressly specified in the Opinion), including, without limitation, the support agreements or the lock-up agreements to be entered into in connection with the Transaction, the CVRs, the CVR Agreement or any Related Transaction, (iii) the fairness of any portion or aspect of the Transaction to the holders of any class of securities, creditors or other constituencies of AVROBIO or Tectonic, or to any other party (including, without limitation, the potential dilutive or other effects of the Transaction), (iv) the relative merits of the Transaction as compared to any alternative business strategies or transactions that might have been available for AVROBIO, Tectonic or any other party, (v) the fairness of any portion or aspect of the Transaction to any one class or group of AVROBIO’s, Tectonic’s or any other party’s security holders or other constituents vis-à-vis any other class or group of AVROBIO’s, Tectonic’s or such other party’s security holders or other constituents (including, without limitation, the allocation of any consideration amongst or within such classes or groups of security holders or other constituents), (vi) the appropriate capital structure of AVROBIO or Tectonic, whether AVROBIO or Tectonic should be issuing debt or equity securities or a combination of both in the Transaction, or the form, structure or any aspect or terms of any debt or equity financing for, or in connection with, the Transaction (including, without limitation, the private financings and the Company SAFEs) or the likelihood of obtaining such financing, (vii) the acquisition by any party or group of a controlling interest in AVROBIO, (viii) whether or not AVROBIO, Tectonic, their respective security holders or any other party is receiving or paying reasonably equivalent value in the Transaction, (ix) the solvency, creditworthiness or fair value of AVROBIO, Tectonic or any other participant in the Transaction, or any of their respective assets, under any applicable laws relating to bankruptcy, insolvency, fraudulent conveyance or similar matters, or (x)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The Opinion did not address the financial or other implications and effects of the Transaction (including, without limitation, any financing associated therewith) on AVROBIO, any security holders, creditors or other constituencies of AVROBIO, or any other party. Furthermore, Houlihan Lokey did not express any opinion, counsel or interpretation regarding matters that require legal, regulatory, environmental, accounting, insurance, tax or other similar professional advice. Houlihan Lokey assumed that such opinions, counsel or interpretations had been or would be obtained from the appropriate professional sources. Furthermore, Houlihan Lokey relied, with the consent of the AVROBIO Board, on the assessments by the AVROBIO Board, AVROBIO and their respective advisors, as to all legal, regulatory, environmental, accounting, insurance, tax and other similar matters with respect to AVROBIO, Tectonic and the Transaction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Opinion to the AVROBIO Board, Houlihan Lokey performed a variety of analyses, including those described below. The summary of Houlihan Lokey’s analyses is not a complete description of the analyses underlying the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presented. As a consequence, neither the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Houlihan Lokey considered general business, economic, industry and market conditions, financial and otherwise, and other matters as they existed on, and could be evaluated as of, the date of the Opinion. No company or business used in Houlihan Lokey’s analyses for comparative purposes is identical to Tectonic and an evaluation of the results of those analyses is not entirely mathematical. The estimates contained in the AVROBIO Liquidation Analysis and the Tectonic Development Information, and the implied exchange ratio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AVROBIO and Tectonic. Much of the information used in, and accordingly the results of, Houlihan Lokey’s analyses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Opinion was only one of many factors considered by the AVROBIO Board in evaluating the proposed Merger. Neither the Opinion nor Houlihan Lokey’s analyses were determinative of the Exchange Ratio or of the views of the AVROBIO Board with respect to the Merger or the Exchange Ratio. The type and amount of consideration payable in the Merger were determined through negotiation between AVROBIO and Tectonic, and the decision to enter into the Agreement was solely that of the AVROBIO Board. Additionally, Houlihan Lokey did not evaluate any future payments or other proceeds that could accrue to the benefit of the CVR holders pursuant to the CVR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performed by Houlihan Lokey in connection with the preparation of the Opinion and reviewed with the AVROBIO Board on January 29, 2024.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analyses, Houlihan Lokey reviewed a number of financial metrics, including “Enterprise Value,” which generally is, the value as of a specified date of the relevant company’s outstanding equity securities (taking into account outstanding options and other securities convertible, exercisable or exchangeable into or for equity securities of the company) plus the amount of its net debt (the amount of its outstanding indebtedness, non-convertible preferred stock, capital lease obligations and non-controlling interests less the amount of cash and cash equivalents on its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share prices used in the selected companies analysis described below were based on the closing price of the common stock of the selected companies listed below as of January 26,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direction of the AVROBIO Board, Houlihan Lokey assumed for purposes of its financial analyses and opinion to the AVROBIO Board, that the Exchange Ratio provided for in the Merger pursuant to the Merger Agreement, after giving effect to the Related Transactions, would be equal to 0.74458326 shares of AVROBIO common stock for each share of Tectonic capital stock, which assumed, among other things, there would no adjustment to the Exchange Ratio for AVROBIO cash and aggregate proceeds of $130.7 million would be raised from the private financings including the Company SAFEs. </w:t>
      </w:r>
    </w:p>
    <w:p>
      <w:pPr>
        <w:pStyle w:val="TextBody"/>
        <w:bidi w:val="0"/>
        <w:spacing w:before="240" w:after="0"/>
        <w:jc w:val="left"/>
        <w:rPr>
          <w:rFonts w:ascii="Times New Roman" w:hAnsi="Times New Roman"/>
          <w:sz w:val="20"/>
        </w:rPr>
      </w:pPr>
      <w:r>
        <w:rPr>
          <w:rFonts w:ascii="Times New Roman" w:hAnsi="Times New Roman"/>
          <w:i/>
          <w:sz w:val="20"/>
        </w:rPr>
        <w:t xml:space="preserve">AVROBIO - AVROBIO Liquidation Analysis. </w:t>
      </w:r>
      <w:r>
        <w:rPr>
          <w:rFonts w:ascii="Times New Roman" w:hAnsi="Times New Roman"/>
          <w:sz w:val="20"/>
        </w:rPr>
        <w:t xml:space="preserve">Houlihan Lokey reviewed and considered the AVROBIO Liquidation Analysis prepared by management of AVROBIO and noted that the estimates of future cash distributable to AVROBIO’s stockholders therein resulted in an aggregate implied equity value for AVROBIO at the time of such distribution ranging from approximately $68.7 million to $72.6 million, implying a value of $14.93 to $15.78 per share of AVROBIO common stock at the time of such distribution, assuming, at the direction of AVROBIO, a one-for-ten reverse stock split. For additional information on AVROBIO’s liquidation analysis, see the section titled “ – </w:t>
      </w:r>
      <w:r>
        <w:rPr>
          <w:rFonts w:ascii="Times New Roman" w:hAnsi="Times New Roman"/>
          <w:i/>
          <w:sz w:val="20"/>
        </w:rPr>
        <w:t>AVROBIO Liquidation Analysis</w:t>
      </w:r>
      <w:r>
        <w:rPr>
          <w:rFonts w:ascii="Times New Roman" w:hAnsi="Times New Roman"/>
          <w:sz w:val="20"/>
        </w:rPr>
        <w:t xml:space="preserve">” on page 203 of this proxy statement/prospectus. </w:t>
      </w:r>
    </w:p>
    <w:p>
      <w:pPr>
        <w:pStyle w:val="TextBody"/>
        <w:bidi w:val="0"/>
        <w:spacing w:before="240" w:after="0"/>
        <w:jc w:val="left"/>
        <w:rPr>
          <w:rFonts w:ascii="Times New Roman" w:hAnsi="Times New Roman"/>
          <w:sz w:val="20"/>
        </w:rPr>
      </w:pPr>
      <w:r>
        <w:rPr>
          <w:rFonts w:ascii="Times New Roman" w:hAnsi="Times New Roman"/>
          <w:i/>
          <w:sz w:val="20"/>
        </w:rPr>
        <w:t>Tectonic - Selected Companies Analysis</w:t>
      </w:r>
      <w:r>
        <w:rPr>
          <w:rFonts w:ascii="Times New Roman" w:hAnsi="Times New Roman"/>
          <w:sz w:val="20"/>
        </w:rPr>
        <w:t xml:space="preserve">. Houlihan Lokey reviewed certain financial and other data for selected companies with publicly traded equity securities that Houlihan Lokey deemed relevant. The selected companies were selected because they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selected companies,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data reviewed included enterprise value and the phase of development, therapeutic category and therapeutic indication of the applicable company’s lead product. </w:t>
      </w:r>
    </w:p>
    <w:p>
      <w:pPr>
        <w:pStyle w:val="TextBody"/>
        <w:bidi w:val="0"/>
        <w:spacing w:before="240" w:after="0"/>
        <w:jc w:val="left"/>
        <w:rPr>
          <w:rFonts w:ascii="Times New Roman" w:hAnsi="Times New Roman"/>
          <w:sz w:val="20"/>
        </w:rPr>
      </w:pPr>
      <w:r>
        <w:rPr>
          <w:rFonts w:ascii="Times New Roman" w:hAnsi="Times New Roman"/>
          <w:sz w:val="20"/>
        </w:rPr>
        <w:t xml:space="preserve">The selected companies and corresponding financial and other data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2"/>
        <w:gridCol w:w="60"/>
        <w:gridCol w:w="200"/>
        <w:gridCol w:w="925"/>
        <w:gridCol w:w="155"/>
        <w:gridCol w:w="60"/>
        <w:gridCol w:w="1775"/>
        <w:gridCol w:w="60"/>
        <w:gridCol w:w="1982"/>
        <w:gridCol w:w="60"/>
        <w:gridCol w:w="2736"/>
      </w:tblGrid>
      <w:tr>
        <w:trPr/>
        <w:tc>
          <w:tcPr>
            <w:tcW w:w="2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pPr>
            <w:r>
              <w:rPr/>
              <w:t> </w:t>
            </w:r>
          </w:p>
        </w:tc>
      </w:tr>
      <w:tr>
        <w:trPr/>
        <w:tc>
          <w:tcPr>
            <w:tcW w:w="2192"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2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Enterprise</w:t>
              <w:br/>
              <w:t>Value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3" w:type="dxa"/>
            <w:gridSpan w:val="5"/>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Product</w:t>
            </w:r>
          </w:p>
        </w:tc>
      </w:tr>
      <w:tr>
        <w:trPr/>
        <w:tc>
          <w:tcPr>
            <w:tcW w:w="219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Cardiovascular Companies</w:t>
            </w:r>
          </w:p>
        </w:tc>
        <w:tc>
          <w:tcPr>
            <w:tcW w:w="60" w:type="dxa"/>
            <w:vMerge w:val="continue"/>
            <w:tcBorders/>
            <w:vAlign w:val="center"/>
          </w:tcPr>
          <w:p>
            <w:pPr>
              <w:pStyle w:val="Normal"/>
              <w:bidi w:val="0"/>
              <w:jc w:val="left"/>
              <w:rPr/>
            </w:pPr>
            <w:r>
              <w:rPr/>
            </w:r>
          </w:p>
        </w:tc>
        <w:tc>
          <w:tcPr>
            <w:tcW w:w="112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Phase</w:t>
            </w:r>
          </w:p>
        </w:tc>
        <w:tc>
          <w:tcPr>
            <w:tcW w:w="60" w:type="dxa"/>
            <w:tcBorders/>
            <w:vAlign w:val="center"/>
          </w:tcPr>
          <w:p>
            <w:pPr>
              <w:pStyle w:val="TableContents"/>
              <w:bidi w:val="0"/>
              <w:spacing w:before="0" w:after="283"/>
              <w:jc w:val="left"/>
              <w:rPr/>
            </w:pPr>
            <w:r>
              <w:rPr/>
              <w:t> </w:t>
            </w:r>
          </w:p>
        </w:tc>
        <w:tc>
          <w:tcPr>
            <w:tcW w:w="198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Category</w:t>
            </w:r>
          </w:p>
        </w:tc>
        <w:tc>
          <w:tcPr>
            <w:tcW w:w="60" w:type="dxa"/>
            <w:tcBorders/>
            <w:vAlign w:val="center"/>
          </w:tcPr>
          <w:p>
            <w:pPr>
              <w:pStyle w:val="TableContents"/>
              <w:bidi w:val="0"/>
              <w:spacing w:before="0" w:after="283"/>
              <w:jc w:val="left"/>
              <w:rPr/>
            </w:pPr>
            <w:r>
              <w:rPr/>
              <w:t> </w:t>
            </w:r>
          </w:p>
        </w:tc>
        <w:tc>
          <w:tcPr>
            <w:tcW w:w="27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Indication</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Aerovate Therapeutics,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354.0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II-B / III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Cereno Scientific AB (publ)</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97.0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II</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Gossamer Bio,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63.1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Pharmosa Biopharm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III</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Tenax Therapeutics,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III - Starting</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Pulmonary Hypertension, HFpEF</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Tenaya Therapeutics,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 Complete</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HFpEF</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Verve Therapeutics,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Cardiovascular, Metabolic</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ASCVD, HeFH</w:t>
            </w:r>
          </w:p>
        </w:tc>
      </w:tr>
      <w:tr>
        <w:trPr/>
        <w:tc>
          <w:tcPr>
            <w:tcW w:w="2192"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835"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796" w:type="dxa"/>
            <w:gridSpan w:val="2"/>
            <w:tcBorders/>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283"/>
              <w:jc w:val="left"/>
              <w:rPr>
                <w:sz w:val="4"/>
                <w:szCs w:val="4"/>
              </w:rPr>
            </w:pPr>
            <w:r>
              <w:rPr>
                <w:sz w:val="4"/>
                <w:szCs w:val="4"/>
              </w:rPr>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283"/>
              <w:jc w:val="left"/>
              <w:rPr>
                <w:sz w:val="4"/>
                <w:szCs w:val="4"/>
              </w:rPr>
            </w:pPr>
            <w:r>
              <w:rPr>
                <w:sz w:val="4"/>
                <w:szCs w:val="4"/>
              </w:rPr>
            </w:r>
          </w:p>
        </w:tc>
      </w:tr>
      <w:tr>
        <w:trPr/>
        <w:tc>
          <w:tcPr>
            <w:tcW w:w="5367" w:type="dxa"/>
            <w:gridSpan w:val="7"/>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796" w:type="dxa"/>
            <w:gridSpan w:val="2"/>
            <w:tcBorders/>
            <w:vAlign w:val="center"/>
          </w:tcPr>
          <w:p>
            <w:pPr>
              <w:pStyle w:val="TableContents"/>
              <w:bidi w:val="0"/>
              <w:spacing w:before="0" w:after="283"/>
              <w:jc w:val="left"/>
              <w:rPr>
                <w:sz w:val="4"/>
                <w:szCs w:val="4"/>
              </w:rPr>
            </w:pPr>
            <w:r>
              <w:rPr>
                <w:sz w:val="4"/>
                <w:szCs w:val="4"/>
              </w:rPr>
            </w:r>
          </w:p>
        </w:tc>
      </w:tr>
      <w:tr>
        <w:trPr/>
        <w:tc>
          <w:tcPr>
            <w:tcW w:w="5367" w:type="dxa"/>
            <w:gridSpan w:val="7"/>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Selected Early Stage Companies</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Acumen Pharmaceuticals,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II Ready</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Central Nervous System</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Alzheimer’s Disease</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Apogee Therapeutics,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1,426.8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Dermatology</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Atopic Dermatitis</w:t>
            </w:r>
          </w:p>
        </w:tc>
      </w:tr>
      <w:tr>
        <w:trPr/>
        <w:tc>
          <w:tcPr>
            <w:tcW w:w="2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Cabaletta Bio,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790.3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Phase I / II</w:t>
            </w:r>
          </w:p>
        </w:tc>
        <w:tc>
          <w:tcPr>
            <w:tcW w:w="60" w:type="dxa"/>
            <w:tcBorders/>
            <w:shd w:fill="CCEEFF" w:val="clear"/>
            <w:vAlign w:val="center"/>
          </w:tcPr>
          <w:p>
            <w:pPr>
              <w:pStyle w:val="TableContents"/>
              <w:bidi w:val="0"/>
              <w:spacing w:before="0" w:after="283"/>
              <w:jc w:val="left"/>
              <w:rPr/>
            </w:pPr>
            <w:r>
              <w:rPr/>
              <w:t> </w:t>
            </w:r>
          </w:p>
        </w:tc>
        <w:tc>
          <w:tcPr>
            <w:tcW w:w="19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Systemic Lupus Erythematosus (SLE)</w:t>
            </w:r>
          </w:p>
        </w:tc>
      </w:tr>
      <w:tr>
        <w:trPr/>
        <w:tc>
          <w:tcPr>
            <w:tcW w:w="2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Dianthus Therapeutics, Inc.</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75.1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Phase II Ready</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vAlign w:val="center"/>
          </w:tcPr>
          <w:p>
            <w:pPr>
              <w:pStyle w:val="TableContents"/>
              <w:bidi w:val="0"/>
              <w:spacing w:before="0" w:after="283"/>
              <w:jc w:val="left"/>
              <w:rPr/>
            </w:pPr>
            <w:r>
              <w:rPr/>
              <w:t> </w:t>
            </w:r>
          </w:p>
        </w:tc>
        <w:tc>
          <w:tcPr>
            <w:tcW w:w="27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Myasthenia Gravis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394"/>
        <w:gridCol w:w="60"/>
        <w:gridCol w:w="175"/>
        <w:gridCol w:w="925"/>
        <w:gridCol w:w="155"/>
        <w:gridCol w:w="60"/>
        <w:gridCol w:w="1329"/>
        <w:gridCol w:w="60"/>
        <w:gridCol w:w="1670"/>
        <w:gridCol w:w="60"/>
        <w:gridCol w:w="3317"/>
      </w:tblGrid>
      <w:tr>
        <w:trPr/>
        <w:tc>
          <w:tcPr>
            <w:tcW w:w="2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pPr>
            <w:r>
              <w:rPr/>
              <w:t> </w:t>
            </w:r>
          </w:p>
        </w:tc>
      </w:tr>
      <w:tr>
        <w:trPr/>
        <w:tc>
          <w:tcPr>
            <w:tcW w:w="2394"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Enterprise</w:t>
              <w:br/>
              <w:t>Value</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6" w:type="dxa"/>
            <w:gridSpan w:val="5"/>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Product</w:t>
            </w:r>
          </w:p>
        </w:tc>
      </w:tr>
      <w:tr>
        <w:trPr/>
        <w:tc>
          <w:tcPr>
            <w:tcW w:w="2394"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Cardiovascular Companies</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32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Phase</w:t>
            </w:r>
          </w:p>
        </w:tc>
        <w:tc>
          <w:tcPr>
            <w:tcW w:w="60"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Category</w:t>
            </w:r>
          </w:p>
        </w:tc>
        <w:tc>
          <w:tcPr>
            <w:tcW w:w="60" w:type="dxa"/>
            <w:tcBorders/>
            <w:vAlign w:val="center"/>
          </w:tcPr>
          <w:p>
            <w:pPr>
              <w:pStyle w:val="TableContents"/>
              <w:bidi w:val="0"/>
              <w:spacing w:before="0" w:after="283"/>
              <w:jc w:val="left"/>
              <w:rPr/>
            </w:pPr>
            <w:r>
              <w:rPr/>
              <w:t> </w:t>
            </w:r>
          </w:p>
        </w:tc>
        <w:tc>
          <w:tcPr>
            <w:tcW w:w="33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Therapeutic Indication</w:t>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Longboard Pharmaceuticals, Inc.</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787.9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center"/>
              <w:rPr/>
            </w:pPr>
            <w:r>
              <w:rPr/>
              <w:t>Phase III Ready</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Neurology</w:t>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Developmental and Epileptic Encephalopathy</w:t>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Spyre Therapeutics, Inc.</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1,174.1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center"/>
              <w:rPr/>
            </w:pPr>
            <w:r>
              <w:rPr/>
              <w:t>IND</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Gastrointestinal</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Inflammatory Bowel Disease</w:t>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Structure Therapeutics Inc.</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1,870.9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center"/>
              <w:rPr/>
            </w:pPr>
            <w:r>
              <w:rPr/>
              <w:t>Phase II-A</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Metabolic Disorders</w:t>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Diabetes and Obesity</w:t>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Zura Bio Limited</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center"/>
              <w:rPr/>
            </w:pPr>
            <w:r>
              <w:rPr/>
              <w:t>Phase II Ready</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Immunology</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Systemic Sclerosis</w:t>
            </w:r>
          </w:p>
        </w:tc>
      </w:tr>
      <w:tr>
        <w:trPr/>
        <w:tc>
          <w:tcPr>
            <w:tcW w:w="2394"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1,870.9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789.1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761.0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389" w:type="dxa"/>
            <w:gridSpan w:val="2"/>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 Selected Companies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(95.1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1,870.9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sz w:val="4"/>
                <w:szCs w:val="4"/>
              </w:rPr>
            </w:pPr>
            <w:r>
              <w:rPr>
                <w:sz w:val="4"/>
                <w:szCs w:val="4"/>
              </w:rPr>
            </w:r>
          </w:p>
        </w:tc>
      </w:tr>
      <w:tr>
        <w:trPr/>
        <w:tc>
          <w:tcPr>
            <w:tcW w:w="239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317"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review of the selected companies, Houlihan Lokey considered, among other things, the fact that Tectonic’s lead program was in a Phase 1a trial in healthy volunteers, with plans to conduct Phase 1b and Phase 2 trials in patients with Group 2 PH / HFpEF. Houlihan Lokey also noted that the enterprise value for the selected companies with lead products in the cardiovascular therapeutic category ranged from $(8.0 million) to $442.9 million, and the enterprise value for the selected companies with lead products in early stages of development ranged from $(95.1 million) to $1,870.9 million. Taking into account the results of its selected companies analysis of Tectonic, including, among other things, its experience and professional judgment and the observed median enterprise value of the selected cardiovascular companies of $157.3 million, Houlihan Lokey selected an implied enterprise value reference range for Tectonic of $125.0 million to $175.0 million, which resulted in an aggregate implied equity value reference range for Tectonic pro forma for the private financings of $224.6 million to $274.6 million and an implied per share reference range for Tectonic pro forma for the private financings of $10.40 to $12.72. </w:t>
      </w:r>
    </w:p>
    <w:p>
      <w:pPr>
        <w:pStyle w:val="TextBody"/>
        <w:bidi w:val="0"/>
        <w:spacing w:before="240" w:after="0"/>
        <w:jc w:val="left"/>
        <w:rPr>
          <w:rFonts w:ascii="Times New Roman" w:hAnsi="Times New Roman"/>
          <w:sz w:val="20"/>
        </w:rPr>
      </w:pPr>
      <w:r>
        <w:rPr>
          <w:rFonts w:ascii="Times New Roman" w:hAnsi="Times New Roman"/>
          <w:i/>
          <w:sz w:val="20"/>
        </w:rPr>
        <w:t>Implied Exchange Ratio Reference Range</w:t>
      </w:r>
      <w:r>
        <w:rPr>
          <w:rFonts w:ascii="Times New Roman" w:hAnsi="Times New Roman"/>
          <w:sz w:val="20"/>
        </w:rPr>
        <w:t xml:space="preserve">. Taking into account the AVROBIO Liquidation Analysis and Houlihan Lokey’s selected companies analysis for Tectonic, Houlihan Lokey (i) divided the low end of the implied per share reference range for Tectonic by the high end of the implied per share reference range for AVBROBIO and (ii) divided the high end of the implied per share reference range for Tectonic by the low end of the implied per share reference range for AVBROBIO, which indicated an implied exchange ratio reference range of 0.65897208 to 0.85154258 shares of AVROBIO common stock for each share of Tectonic capital stock, as compared to the assumed Exchange Ratio in the Merger pursuant to the Merger agreement of 0.74458326 shares of AVROBIO common stock for each share of Tectonic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i/>
          <w:sz w:val="20"/>
        </w:rPr>
        <w:t>Tectonic - Illustrative M&amp;A Transactions</w:t>
      </w:r>
      <w:r>
        <w:rPr>
          <w:rFonts w:ascii="Times New Roman" w:hAnsi="Times New Roman"/>
          <w:sz w:val="20"/>
        </w:rPr>
        <w:t xml:space="preserve">. Solely for illustrative purposes, Houlihan Lokey considered certain financial terms of certain M&amp;A transactions involving target companies that Houlihan Lokey deemed relevant. The illustrative M&amp;A transactions were selected because they involved target companies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M&amp;A transactions, and all criteria were evaluated in their entirety without application of definitive qualifications or limitations to individual criteria.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data reviewed included overall transaction value, the value of upfront consideration payable on closing of the transaction and the value of any contingent consideration. Transaction values for the M&amp;A transactions were calculated on an enterprise value basis based on the announced transaction equity price and other public information available at the time of the announcement. The M&amp;A transactions and corresponding data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0"/>
        <w:gridCol w:w="60"/>
        <w:gridCol w:w="60"/>
        <w:gridCol w:w="845"/>
        <w:gridCol w:w="60"/>
        <w:gridCol w:w="60"/>
        <w:gridCol w:w="1332"/>
        <w:gridCol w:w="60"/>
        <w:gridCol w:w="1572"/>
        <w:gridCol w:w="60"/>
        <w:gridCol w:w="232"/>
        <w:gridCol w:w="1228"/>
        <w:gridCol w:w="60"/>
        <w:gridCol w:w="60"/>
        <w:gridCol w:w="153"/>
        <w:gridCol w:w="1307"/>
        <w:gridCol w:w="60"/>
        <w:gridCol w:w="60"/>
        <w:gridCol w:w="198"/>
        <w:gridCol w:w="1052"/>
        <w:gridCol w:w="76"/>
      </w:tblGrid>
      <w:tr>
        <w:trPr/>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575" w:type="dxa"/>
            <w:gridSpan w:val="4"/>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60" w:type="dxa"/>
            <w:tcBorders/>
            <w:vAlign w:val="center"/>
          </w:tcPr>
          <w:p>
            <w:pPr>
              <w:pStyle w:val="TableContents"/>
              <w:bidi w:val="0"/>
              <w:spacing w:before="0" w:after="283"/>
              <w:jc w:val="left"/>
              <w:rPr/>
            </w:pPr>
            <w:r>
              <w:rPr/>
              <w:t> </w:t>
            </w:r>
          </w:p>
        </w:tc>
        <w:tc>
          <w:tcPr>
            <w:tcW w:w="15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Upfront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Contingent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Value</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b/>
              </w:rPr>
            </w:pPr>
            <w:r>
              <w:rPr>
                <w:b/>
              </w:rPr>
              <w:t>Cardiovascular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3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9/30/22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10/20/22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DJS Antibodies Ltd</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AbbVie,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350.0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12/1/22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Renovacor,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Rocket Pharmaceuticals,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53.0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3/23/21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9/2/21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Chardan Healthcare Acquisition 2 Corp.</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Renovacor,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116.0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116.0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 Precision Med</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Tenax Therapeutics,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21.6</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7/21/20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12/14/20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Tenzing Acquisition Corp.</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Reviva Pharmaceuticals,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119.7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119.7</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Viamet’s Oral Aldosterone Synthase Inhibitor</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PhaseBio Pharmaceuticals,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147.7</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21.6</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High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350.0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Median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84.5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117.9</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Mean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134.7</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b/>
                <w:u w:val="single"/>
              </w:rPr>
            </w:pPr>
            <w:r>
              <w:rPr>
                <w:b/>
                <w:u w:val="single"/>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shd w:fill="CCEEFF" w:val="clear"/>
            <w:vAlign w:val="center"/>
          </w:tcPr>
          <w:p>
            <w:pPr>
              <w:pStyle w:val="TableContents"/>
              <w:bidi w:val="0"/>
              <w:spacing w:before="0" w:after="283"/>
              <w:jc w:val="left"/>
              <w:rPr/>
            </w:pPr>
            <w:r>
              <w:rPr/>
              <w:t>11/14/23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Pending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Qsam Biosciences,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Telix Pharmaceuticals Limited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123.1</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8/21/23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8/23/23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Bird Rock Bio,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Skye Bioscience,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6/25/23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Pending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Qpex Biopharma,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Shionogi,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140.0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2/21/23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2/21/23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Kinnjiu Biopharma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Kinnate Biopharma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24.0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Fulgent Pharma LLC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Fulgent Genetics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100.0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9/19/22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9/29/22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Versantis AG</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Genfit SA</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108.8</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7/20/22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12/12/22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Larkspur Health Acquisition Corp.</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Zyversa Therapeutics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193.6</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7/5/22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8/11/22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TeneoTwo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AstraZeneca Plc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1,165.0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1,265.0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5/31/22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8/16/22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Affinivax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GSK Plc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3,300.0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Syndesi Therapeutics SA</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AbbVie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870.0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1,000.0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12/14/21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3/11/22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VCN Biosciences SL</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Theriva Biologics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75.0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11/11/21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12/13/21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Forendo Pharma Ltd</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Organon &amp; Co</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870.0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945.0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Abfero Pharmaceuticals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Pharmacosmos AS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Undisclosed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225.0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10/26/21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10/26/21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Chengdu Antkin Biotechnology Co Ltd</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Shanghai Fosun Pharmaceutical Group</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627.3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627.3</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7/27/21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10/19/21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TeneoBio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Amgen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2,500.0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2/26/21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3/31/21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Silicon Therapeutics LLC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Roivant Sciences Ltd</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450.0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Undisclosed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450.0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6/30/21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Leisure Acquisition Corp.</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Ensysce Biosciences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207.0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9/29/20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12/23/20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LifeSci Acquisition Corp.</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Vincerx Pharma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55.0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9/21/20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9/21/20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Inflazome Ltd</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F. Hoffmann-La Roche Ltd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Undisclosed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445.9</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8/24/20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8/24/20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CerSci Therapeutics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Acadia Pharmaceuticals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887.0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939.5</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2/26/20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2/26/20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PVP Biologics Inc (Inactive)</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Takeda Pharmaceutical Co Ltd</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Undisclosed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330.0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1/16/20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5/6/20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Neon Therapeutics, Inc.</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BioNTech US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67.0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11/18/19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11/25/19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Rodin Therapeutics Inc</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Alkermes Plc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950.0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5/8/19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7/1/19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Therachon AG</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Pfizer Inc</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340.0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470.0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810.0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4/1/19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5/8/19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pPr>
            <w:r>
              <w:rPr/>
              <w:t>Novartis AG</w:t>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pPr>
            <w:r>
              <w:rPr/>
              <w:t>IFM Tre Inc</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1,265.0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1,575.0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1/4/19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1/11/19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pPr>
            <w:r>
              <w:rPr/>
              <w:t>Yong Shun Technology Development</w:t>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Dragon Merit</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36.8</w:t>
            </w:r>
          </w:p>
        </w:tc>
        <w:tc>
          <w:tcPr>
            <w:tcW w:w="76"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6"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shd w:fill="CCEEFF" w:val="clear"/>
            <w:vAlign w:val="center"/>
          </w:tcPr>
          <w:p>
            <w:pPr>
              <w:pStyle w:val="TableContents"/>
              <w:bidi w:val="0"/>
              <w:spacing w:before="0" w:after="283"/>
              <w:jc w:val="left"/>
              <w:rPr/>
            </w:pPr>
            <w:r>
              <w:rPr/>
              <w:t>Low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20.0</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1,600.0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3,300.0</w:t>
            </w:r>
          </w:p>
        </w:tc>
        <w:tc>
          <w:tcPr>
            <w:tcW w:w="76"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Media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277.5</w:t>
            </w:r>
          </w:p>
        </w:tc>
        <w:tc>
          <w:tcPr>
            <w:tcW w:w="76"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Mean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271.9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429.3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635.1</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713" w:type="dxa"/>
        <w:jc w:val="left"/>
        <w:tblInd w:w="0" w:type="dxa"/>
        <w:tblLayout w:type="fixed"/>
        <w:tblCellMar>
          <w:top w:w="0" w:type="dxa"/>
          <w:left w:w="0" w:type="dxa"/>
          <w:bottom w:w="0" w:type="dxa"/>
          <w:right w:w="0" w:type="dxa"/>
        </w:tblCellMar>
      </w:tblPr>
      <w:tblGrid>
        <w:gridCol w:w="1763"/>
        <w:gridCol w:w="125"/>
        <w:gridCol w:w="452"/>
        <w:gridCol w:w="453"/>
        <w:gridCol w:w="60"/>
        <w:gridCol w:w="60"/>
        <w:gridCol w:w="515"/>
        <w:gridCol w:w="60"/>
        <w:gridCol w:w="680"/>
        <w:gridCol w:w="60"/>
        <w:gridCol w:w="232"/>
        <w:gridCol w:w="1228"/>
        <w:gridCol w:w="60"/>
        <w:gridCol w:w="60"/>
        <w:gridCol w:w="232"/>
        <w:gridCol w:w="1228"/>
        <w:gridCol w:w="60"/>
        <w:gridCol w:w="60"/>
        <w:gridCol w:w="198"/>
        <w:gridCol w:w="1052"/>
        <w:gridCol w:w="75"/>
      </w:tblGrid>
      <w:tr>
        <w:trPr/>
        <w:tc>
          <w:tcPr>
            <w:tcW w:w="17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3" w:type="dxa"/>
            <w:gridSpan w:val="4"/>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w:t>
            </w:r>
          </w:p>
        </w:tc>
        <w:tc>
          <w:tcPr>
            <w:tcW w:w="125"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Upfront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Contingent</w:t>
              <w:b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Value</w:t>
            </w:r>
          </w:p>
        </w:tc>
        <w:tc>
          <w:tcPr>
            <w:tcW w:w="75" w:type="dxa"/>
            <w:tcBorders/>
            <w:vAlign w:val="center"/>
          </w:tcPr>
          <w:p>
            <w:pPr>
              <w:pStyle w:val="TableContents"/>
              <w:bidi w:val="0"/>
              <w:spacing w:before="0" w:after="283"/>
              <w:jc w:val="left"/>
              <w:rPr/>
            </w:pPr>
            <w:r>
              <w:rPr/>
              <w:t> </w:t>
            </w:r>
          </w:p>
        </w:tc>
      </w:tr>
      <w:tr>
        <w:trPr/>
        <w:tc>
          <w:tcPr>
            <w:tcW w:w="2853" w:type="dxa"/>
            <w:gridSpan w:val="5"/>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2793" w:type="dxa"/>
            <w:gridSpan w:val="4"/>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All M&amp;A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Low</w:t>
            </w:r>
          </w:p>
        </w:tc>
        <w:tc>
          <w:tcPr>
            <w:tcW w:w="12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20.0</w:t>
            </w:r>
          </w:p>
        </w:tc>
        <w:tc>
          <w:tcPr>
            <w:tcW w:w="75" w:type="dxa"/>
            <w:tcBorders/>
            <w:vAlign w:val="center"/>
          </w:tcPr>
          <w:p>
            <w:pPr>
              <w:pStyle w:val="TableContents"/>
              <w:bidi w:val="0"/>
              <w:spacing w:before="0" w:after="283"/>
              <w:jc w:val="left"/>
              <w:rPr/>
            </w:pPr>
            <w:r>
              <w:rPr/>
              <w:t> </w:t>
            </w:r>
          </w:p>
        </w:tc>
      </w:tr>
      <w:tr>
        <w:trPr/>
        <w:tc>
          <w:tcPr>
            <w:tcW w:w="1763" w:type="dxa"/>
            <w:tcBorders/>
            <w:shd w:fill="CCEEFF" w:val="clear"/>
            <w:vAlign w:val="center"/>
          </w:tcPr>
          <w:p>
            <w:pPr>
              <w:pStyle w:val="TableContents"/>
              <w:bidi w:val="0"/>
              <w:spacing w:before="0" w:after="283"/>
              <w:jc w:val="left"/>
              <w:rPr/>
            </w:pPr>
            <w:r>
              <w:rPr/>
              <w:t>High</w:t>
            </w:r>
          </w:p>
        </w:tc>
        <w:tc>
          <w:tcPr>
            <w:tcW w:w="125"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4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3,300.0</w:t>
            </w:r>
          </w:p>
        </w:tc>
        <w:tc>
          <w:tcPr>
            <w:tcW w:w="75" w:type="dxa"/>
            <w:tcBorders/>
            <w:shd w:fill="CCEEFF" w:val="cle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pPr>
            <w:r>
              <w:rPr/>
              <w:t>Media</w:t>
            </w:r>
          </w:p>
        </w:tc>
        <w:tc>
          <w:tcPr>
            <w:tcW w:w="12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200.3</w:t>
            </w:r>
          </w:p>
        </w:tc>
        <w:tc>
          <w:tcPr>
            <w:tcW w:w="75" w:type="dxa"/>
            <w:tcBorders/>
            <w:vAlign w:val="center"/>
          </w:tcPr>
          <w:p>
            <w:pPr>
              <w:pStyle w:val="TableContents"/>
              <w:bidi w:val="0"/>
              <w:spacing w:before="0" w:after="283"/>
              <w:jc w:val="left"/>
              <w:rPr/>
            </w:pPr>
            <w:r>
              <w:rPr/>
              <w:t> </w:t>
            </w:r>
          </w:p>
        </w:tc>
      </w:tr>
      <w:tr>
        <w:trPr/>
        <w:tc>
          <w:tcPr>
            <w:tcW w:w="1763" w:type="dxa"/>
            <w:tcBorders/>
            <w:shd w:fill="CCEEFF" w:val="clear"/>
            <w:vAlign w:val="center"/>
          </w:tcPr>
          <w:p>
            <w:pPr>
              <w:pStyle w:val="TableContents"/>
              <w:bidi w:val="0"/>
              <w:spacing w:before="0" w:after="283"/>
              <w:jc w:val="left"/>
              <w:rPr/>
            </w:pPr>
            <w:r>
              <w:rPr/>
              <w:t>Mean</w:t>
            </w:r>
          </w:p>
        </w:tc>
        <w:tc>
          <w:tcPr>
            <w:tcW w:w="125"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sz w:val="4"/>
                <w:szCs w:val="4"/>
              </w:rPr>
            </w:pPr>
            <w:r>
              <w:rPr>
                <w:sz w:val="4"/>
                <w:szCs w:val="4"/>
              </w:rPr>
            </w:r>
          </w:p>
        </w:tc>
        <w:tc>
          <w:tcPr>
            <w:tcW w:w="45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541.3</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w:t>
      </w:r>
      <w:r>
        <w:rPr>
          <w:rFonts w:ascii="Times New Roman" w:hAnsi="Times New Roman"/>
          <w:sz w:val="20"/>
        </w:rPr>
        <w:t xml:space="preserve">NA” refers to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In its review of the M&amp;A transactions, Houlihan Lokey considered, among other things, the fact that Tectonic’s lead program was in a Phase 1a trial in healthy volunteers, with plans to conduct Phase 1b and Phase 2 trials in patients with Group 2 PH / HFpEF. Houlihan Lokey also noted that the enterprise value (before taking into account any contingent consideration) for the M&amp;A transactions involving target companies with lead products in the cardiovascular therapeutic category ranged from $0.1 million to $225.0 million and the enterprise value (before taking into account any contingent consideration) for the M&amp;A transactions involving target companies with lead products in Phase 1 stage of development ranged from $4.7 million to $2,100.0 million. Taking into account the results of its illustrative M&amp;A transactions analysis of Tectonic, including, among other things, its experience and professional judgment and the observed median transaction value of the illustrative M&amp;A transactions involving cardiovascular companies of $117.9 million, Houlihan Lokey selected an illustrative implied enterprise value reference range for Tectonic of $100.0 million to $150.0 million, which resulted in an illustrative aggregate implied equity value reference range for Tectonic pro forma for the private financings of $199.6 million to $249.6 million and an illustrative implied per share reference range for Tectonic pro forma for the private financings of $9.24 to $11.56. </w:t>
      </w:r>
    </w:p>
    <w:p>
      <w:pPr>
        <w:pStyle w:val="TextBody"/>
        <w:bidi w:val="0"/>
        <w:spacing w:before="240" w:after="0"/>
        <w:jc w:val="left"/>
        <w:rPr>
          <w:rFonts w:ascii="Times New Roman" w:hAnsi="Times New Roman"/>
          <w:sz w:val="20"/>
        </w:rPr>
      </w:pPr>
      <w:r>
        <w:rPr>
          <w:rFonts w:ascii="Times New Roman" w:hAnsi="Times New Roman"/>
          <w:i/>
          <w:sz w:val="20"/>
        </w:rPr>
        <w:t>Tectonic - Illustrative IPO Transactions</w:t>
      </w:r>
      <w:r>
        <w:rPr>
          <w:rFonts w:ascii="Times New Roman" w:hAnsi="Times New Roman"/>
          <w:sz w:val="20"/>
        </w:rPr>
        <w:t xml:space="preserve">. Solely for illustrative purposes, Houlihan Lokey considered certain financial terms of certain IPO transactions involving companies that Houlihan Lokey deemed relevant. The illustrative IPO transactions were selected because they involved issuers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IPO transactions,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reviewed included pre-money equity value, gross proceeds, post-money equity value and post-money enterprise value, which were calculated based on the announced transaction IPO price and other public information available at the time of the announcement. The IPO transactions and corresponding data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1"/>
        <w:gridCol w:w="60"/>
        <w:gridCol w:w="1137"/>
        <w:gridCol w:w="60"/>
        <w:gridCol w:w="145"/>
        <w:gridCol w:w="775"/>
        <w:gridCol w:w="60"/>
        <w:gridCol w:w="60"/>
        <w:gridCol w:w="1401"/>
        <w:gridCol w:w="60"/>
        <w:gridCol w:w="64"/>
        <w:gridCol w:w="1081"/>
        <w:gridCol w:w="60"/>
        <w:gridCol w:w="60"/>
        <w:gridCol w:w="140"/>
        <w:gridCol w:w="560"/>
        <w:gridCol w:w="60"/>
        <w:gridCol w:w="60"/>
        <w:gridCol w:w="145"/>
        <w:gridCol w:w="580"/>
        <w:gridCol w:w="60"/>
        <w:gridCol w:w="60"/>
        <w:gridCol w:w="187"/>
        <w:gridCol w:w="748"/>
        <w:gridCol w:w="60"/>
        <w:gridCol w:w="60"/>
        <w:gridCol w:w="145"/>
        <w:gridCol w:w="580"/>
        <w:gridCol w:w="60"/>
        <w:gridCol w:w="60"/>
        <w:gridCol w:w="220"/>
        <w:gridCol w:w="880"/>
        <w:gridCol w:w="76"/>
      </w:tblGrid>
      <w:tr>
        <w:trPr/>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4139" w:type="dxa"/>
            <w:gridSpan w:val="9"/>
            <w:tcBorders/>
            <w:vAlign w:val="center"/>
          </w:tcPr>
          <w:p>
            <w:pPr>
              <w:pStyle w:val="TableContents"/>
              <w:bidi w:val="0"/>
              <w:spacing w:before="0" w:after="283"/>
              <w:jc w:val="left"/>
              <w:rPr>
                <w:b/>
              </w:rPr>
            </w:pPr>
            <w:r>
              <w:rPr>
                <w:b/>
              </w:rPr>
              <w:t>(Dollars in millions, except per share data)</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44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0" w:type="dxa"/>
            <w:tcBorders/>
            <w:vAlign w:val="center"/>
          </w:tcPr>
          <w:p>
            <w:pPr>
              <w:pStyle w:val="TableContents"/>
              <w:bidi w:val="0"/>
              <w:spacing w:before="0" w:after="283"/>
              <w:jc w:val="left"/>
              <w:rPr/>
            </w:pPr>
            <w:r>
              <w:rPr/>
              <w:t> </w:t>
            </w:r>
          </w:p>
        </w:tc>
        <w:tc>
          <w:tcPr>
            <w:tcW w:w="11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GPCR</w:t>
              <w:br/>
              <w:t>Platform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Lead Asset</w:t>
              <w:br/>
              <w:t>Phase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b/>
              </w:rPr>
              <w:t>Pre-</w:t>
            </w:r>
            <w:r>
              <w:rPr/>
              <w:br/>
            </w:r>
            <w:r>
              <w:rPr>
                <w:b/>
              </w:rP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Enterprise</w:t>
              <w:br/>
              <w:t>Value</w:t>
            </w:r>
          </w:p>
        </w:tc>
        <w:tc>
          <w:tcPr>
            <w:tcW w:w="76" w:type="dxa"/>
            <w:tcBorders/>
            <w:vAlign w:val="center"/>
          </w:tcPr>
          <w:p>
            <w:pPr>
              <w:pStyle w:val="TableContents"/>
              <w:bidi w:val="0"/>
              <w:spacing w:before="0" w:after="283"/>
              <w:jc w:val="left"/>
              <w:rPr/>
            </w:pPr>
            <w:r>
              <w:rPr/>
              <w:t> </w:t>
            </w:r>
          </w:p>
        </w:tc>
      </w:tr>
      <w:tr>
        <w:trPr/>
        <w:tc>
          <w:tcPr>
            <w:tcW w:w="1638" w:type="dxa"/>
            <w:gridSpan w:val="3"/>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Cardiovascular</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sz w:val="4"/>
                <w:szCs w:val="4"/>
              </w:rPr>
            </w:pPr>
            <w:r>
              <w:rPr>
                <w:sz w:val="4"/>
                <w:szCs w:val="4"/>
              </w:rPr>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441" w:type="dxa"/>
            <w:tcBorders/>
            <w:vAlign w:val="center"/>
          </w:tcPr>
          <w:p>
            <w:pPr>
              <w:pStyle w:val="TableContents"/>
              <w:bidi w:val="0"/>
              <w:spacing w:before="0" w:after="283"/>
              <w:jc w:val="left"/>
              <w:rPr>
                <w:sz w:val="4"/>
                <w:szCs w:val="4"/>
              </w:rPr>
            </w:pPr>
            <w:r>
              <w:rPr>
                <w:sz w:val="4"/>
                <w:szCs w:val="4"/>
              </w:rPr>
            </w:r>
          </w:p>
        </w:tc>
        <w:tc>
          <w:tcPr>
            <w:tcW w:w="1197"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61"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845" w:type="dxa"/>
            <w:gridSpan w:val="4"/>
            <w:tcBorders/>
            <w:vAlign w:val="center"/>
          </w:tcPr>
          <w:p>
            <w:pPr>
              <w:pStyle w:val="TableContents"/>
              <w:bidi w:val="0"/>
              <w:spacing w:before="0" w:after="283"/>
              <w:jc w:val="left"/>
              <w:rPr>
                <w:sz w:val="4"/>
                <w:szCs w:val="4"/>
              </w:rPr>
            </w:pPr>
            <w:r>
              <w:rPr>
                <w:sz w:val="4"/>
                <w:szCs w:val="4"/>
              </w:rPr>
            </w:r>
          </w:p>
        </w:tc>
        <w:tc>
          <w:tcPr>
            <w:tcW w:w="1236" w:type="dxa"/>
            <w:gridSpan w:val="4"/>
            <w:tcBorders/>
            <w:vAlign w:val="center"/>
          </w:tcPr>
          <w:p>
            <w:pPr>
              <w:pStyle w:val="TableContents"/>
              <w:bidi w:val="0"/>
              <w:spacing w:before="0" w:after="283"/>
              <w:jc w:val="left"/>
              <w:rPr>
                <w:sz w:val="4"/>
                <w:szCs w:val="4"/>
              </w:rPr>
            </w:pPr>
            <w:r>
              <w:rPr>
                <w:sz w:val="4"/>
                <w:szCs w:val="4"/>
              </w:rPr>
            </w:r>
          </w:p>
        </w:tc>
      </w:tr>
      <w:tr>
        <w:trPr/>
        <w:tc>
          <w:tcPr>
            <w:tcW w:w="4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11/2/23</w:t>
            </w:r>
          </w:p>
        </w:tc>
        <w:tc>
          <w:tcPr>
            <w:tcW w:w="6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Lexeo Therapeutics, Inc.</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Cardiomyopathy and Alzheimer’s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329.7</w:t>
            </w:r>
          </w:p>
        </w:tc>
        <w:tc>
          <w:tcPr>
            <w:tcW w:w="76"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2/9/23</w:t>
            </w:r>
          </w:p>
        </w:tc>
        <w:tc>
          <w:tcPr>
            <w:tcW w:w="6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Mineralys Therapeutics, Inc.</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Hypertension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653.7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357.4</w:t>
            </w:r>
          </w:p>
        </w:tc>
        <w:tc>
          <w:tcPr>
            <w:tcW w:w="76" w:type="dxa"/>
            <w:tcBorders/>
            <w:shd w:fill="CCEEFF" w:val="clear"/>
            <w:vAlign w:val="center"/>
          </w:tcPr>
          <w:p>
            <w:pPr>
              <w:pStyle w:val="TableContents"/>
              <w:bidi w:val="0"/>
              <w:spacing w:before="0" w:after="283"/>
              <w:jc w:val="left"/>
              <w:rPr/>
            </w:pPr>
            <w:r>
              <w:rPr/>
              <w:t> </w:t>
            </w:r>
          </w:p>
        </w:tc>
      </w:tr>
      <w:tr>
        <w:trPr/>
        <w:tc>
          <w:tcPr>
            <w:tcW w:w="4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1/6/22</w:t>
            </w:r>
          </w:p>
        </w:tc>
        <w:tc>
          <w:tcPr>
            <w:tcW w:w="6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CinCor Pharma, Inc.</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Hypertension</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212.7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603.4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284.6</w:t>
            </w:r>
          </w:p>
        </w:tc>
        <w:tc>
          <w:tcPr>
            <w:tcW w:w="76" w:type="dxa"/>
            <w:tcBorders/>
            <w:vAlign w:val="center"/>
          </w:tcPr>
          <w:p>
            <w:pPr>
              <w:pStyle w:val="TableContents"/>
              <w:bidi w:val="0"/>
              <w:spacing w:before="0" w:after="283"/>
              <w:jc w:val="left"/>
              <w:rPr/>
            </w:pPr>
            <w:r>
              <w:rPr/>
              <w:t> </w:t>
            </w:r>
          </w:p>
        </w:tc>
      </w:tr>
      <w:tr>
        <w:trPr/>
        <w:tc>
          <w:tcPr>
            <w:tcW w:w="44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7/29/21</w:t>
            </w:r>
          </w:p>
        </w:tc>
        <w:tc>
          <w:tcPr>
            <w:tcW w:w="6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Tenaya Therapeutics, Inc.</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gHCM and HFpEF</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Preclinical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616.9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324.7</w:t>
            </w:r>
          </w:p>
        </w:tc>
        <w:tc>
          <w:tcPr>
            <w:tcW w:w="76" w:type="dxa"/>
            <w:tcBorders/>
            <w:shd w:fill="CCEEFF" w:val="clear"/>
            <w:vAlign w:val="center"/>
          </w:tcPr>
          <w:p>
            <w:pPr>
              <w:pStyle w:val="TableContents"/>
              <w:bidi w:val="0"/>
              <w:spacing w:before="0" w:after="283"/>
              <w:jc w:val="left"/>
              <w:rPr/>
            </w:pPr>
            <w:r>
              <w:rPr/>
              <w:t> </w:t>
            </w:r>
          </w:p>
        </w:tc>
      </w:tr>
      <w:tr>
        <w:trPr/>
        <w:tc>
          <w:tcPr>
            <w:tcW w:w="4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6/29/21</w:t>
            </w:r>
          </w:p>
        </w:tc>
        <w:tc>
          <w:tcPr>
            <w:tcW w:w="60"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Aerovate Therapeutics, Inc.</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PAH</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139.8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247.5</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805" w:type="dxa"/>
        <w:jc w:val="left"/>
        <w:tblInd w:w="0" w:type="dxa"/>
        <w:tblLayout w:type="fixed"/>
        <w:tblCellMar>
          <w:top w:w="0" w:type="dxa"/>
          <w:left w:w="0" w:type="dxa"/>
          <w:bottom w:w="0" w:type="dxa"/>
          <w:right w:w="0" w:type="dxa"/>
        </w:tblCellMar>
      </w:tblPr>
      <w:tblGrid>
        <w:gridCol w:w="560"/>
        <w:gridCol w:w="60"/>
        <w:gridCol w:w="1175"/>
        <w:gridCol w:w="60"/>
        <w:gridCol w:w="121"/>
        <w:gridCol w:w="799"/>
        <w:gridCol w:w="60"/>
        <w:gridCol w:w="60"/>
        <w:gridCol w:w="1535"/>
        <w:gridCol w:w="60"/>
        <w:gridCol w:w="64"/>
        <w:gridCol w:w="1081"/>
        <w:gridCol w:w="60"/>
        <w:gridCol w:w="60"/>
        <w:gridCol w:w="140"/>
        <w:gridCol w:w="560"/>
        <w:gridCol w:w="60"/>
        <w:gridCol w:w="60"/>
        <w:gridCol w:w="140"/>
        <w:gridCol w:w="740"/>
        <w:gridCol w:w="60"/>
        <w:gridCol w:w="60"/>
        <w:gridCol w:w="187"/>
        <w:gridCol w:w="748"/>
        <w:gridCol w:w="60"/>
        <w:gridCol w:w="60"/>
        <w:gridCol w:w="140"/>
        <w:gridCol w:w="740"/>
        <w:gridCol w:w="60"/>
        <w:gridCol w:w="60"/>
        <w:gridCol w:w="175"/>
        <w:gridCol w:w="925"/>
        <w:gridCol w:w="7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30" w:type="dxa"/>
            <w:gridSpan w:val="9"/>
            <w:tcBorders/>
            <w:vAlign w:val="center"/>
          </w:tcPr>
          <w:p>
            <w:pPr>
              <w:pStyle w:val="TableContents"/>
              <w:bidi w:val="0"/>
              <w:spacing w:before="0" w:after="283"/>
              <w:jc w:val="left"/>
              <w:rPr>
                <w:b/>
              </w:rPr>
            </w:pPr>
            <w:r>
              <w:rPr>
                <w:b/>
              </w:rPr>
              <w:t>(Dollars in millions, except per share data)</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GPCR</w:t>
              <w:br/>
              <w:t>Platform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Lead Asset</w:t>
              <w:br/>
              <w:t>Phase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b/>
              </w:rPr>
              <w:t>Pre-</w:t>
            </w:r>
            <w:r>
              <w:rPr/>
              <w:br/>
            </w:r>
            <w:r>
              <w:rPr>
                <w:b/>
              </w:rP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Enterprise</w:t>
              <w:br/>
              <w:t>Value</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6/17/21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Verve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Hypercholesterolemia and ASCVD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Preclinical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916.1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571.9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10/28/20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Galecto,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Pulmonary Fibrosis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283.8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378.9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205.2</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5/13/19</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Applied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Diabetic Cardiomyopathy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114.5</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130.5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114.5</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916.1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571.9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304.6</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Phase I</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3/30/23</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Gubra A/S</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Yes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Obesity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205.0</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2/2/23</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Structure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Yes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T2DM / Obesity and PAH</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185.3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555.8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306.0</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9/14/22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Third Harmonic Bio,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Chronic Urticaria and Asthma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403.8</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7/27/22</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MAIA Biotechnology,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34.4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5/5/22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PepGen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Duchenne Muscular Dystrophy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52.0</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3/24/22</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AN2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Infectious Diseases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79.4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291.4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167.3</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2/3/22</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Arcellx,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Myeloma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339.5</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10/20/21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Ventyx Biosciences,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Yes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Ulcerative Colitis and Crohn’s Disease</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631.3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805.6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513.4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10/14/21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MiNK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Respiratory Distress Syndrome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355.1</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7/30/21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IN8bio,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Leukemia</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147.5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138.9</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3/25/21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Edgewise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Muscular Dystrophy and Cardiomyopathy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521.4</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3/18/21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Instil Bio,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2,196.2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368.0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2,564.2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1,975.4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3/11/21</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Longboard Pharmaceuticals,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Yes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90.0</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2/11/21</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Decibel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Hearing Disorders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310.3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137.9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448.2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246.1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12/4/20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Silverback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367.9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10/15/20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Aligos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Hepatitis B</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242.8</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10/1/20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Oncorus,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196.6</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9/24/20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Prelude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648.5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830.4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606.6</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9/17/20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Athira Pharma,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Alzheimer’s Disease, Dementia</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277.4</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7/15/20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Relay Therapeutics,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1,337.5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460.0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1,797.5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1,093.1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6/25/20</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Fusion Pharmaceuticals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Cancer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212.5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385.3</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6/4/20</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Applied Molecular Transport Inc.</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Pouchitis and Rheumatoid Arthritis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center"/>
              <w:rPr/>
            </w:pPr>
            <w:r>
              <w:rPr/>
              <w:t>Phase 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299.6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476.7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319.1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7/17/19</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Fulcrum Therapeutics, Inc.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No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Muscular Dystrophy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center"/>
              <w:rPr/>
            </w:pPr>
            <w:r>
              <w:rPr/>
              <w:t>Phase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247.2</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34.4</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2,564.2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1,975.4</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306.0</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624.6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33"/>
        <w:gridCol w:w="61"/>
        <w:gridCol w:w="965"/>
        <w:gridCol w:w="61"/>
        <w:gridCol w:w="460"/>
        <w:gridCol w:w="460"/>
        <w:gridCol w:w="61"/>
        <w:gridCol w:w="61"/>
        <w:gridCol w:w="1064"/>
        <w:gridCol w:w="60"/>
        <w:gridCol w:w="572"/>
        <w:gridCol w:w="573"/>
        <w:gridCol w:w="60"/>
        <w:gridCol w:w="60"/>
        <w:gridCol w:w="140"/>
        <w:gridCol w:w="560"/>
        <w:gridCol w:w="60"/>
        <w:gridCol w:w="60"/>
        <w:gridCol w:w="140"/>
        <w:gridCol w:w="740"/>
        <w:gridCol w:w="60"/>
        <w:gridCol w:w="60"/>
        <w:gridCol w:w="187"/>
        <w:gridCol w:w="748"/>
        <w:gridCol w:w="60"/>
        <w:gridCol w:w="60"/>
        <w:gridCol w:w="140"/>
        <w:gridCol w:w="740"/>
        <w:gridCol w:w="60"/>
        <w:gridCol w:w="60"/>
        <w:gridCol w:w="175"/>
        <w:gridCol w:w="925"/>
        <w:gridCol w:w="79"/>
      </w:tblGrid>
      <w:tr>
        <w:trPr/>
        <w:tc>
          <w:tcPr>
            <w:tcW w:w="63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826" w:type="dxa"/>
            <w:gridSpan w:val="9"/>
            <w:tcBorders/>
            <w:vAlign w:val="center"/>
          </w:tcPr>
          <w:p>
            <w:pPr>
              <w:pStyle w:val="TableContents"/>
              <w:bidi w:val="0"/>
              <w:spacing w:before="0" w:after="283"/>
              <w:jc w:val="left"/>
              <w:rPr>
                <w:b/>
              </w:rPr>
            </w:pPr>
            <w:r>
              <w:rPr>
                <w:b/>
              </w:rPr>
              <w:t>(Dollars in millions, except per share data)</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IPO Date</w:t>
            </w:r>
          </w:p>
        </w:tc>
        <w:tc>
          <w:tcPr>
            <w:tcW w:w="61"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Selected Company</w:t>
            </w:r>
          </w:p>
        </w:tc>
        <w:tc>
          <w:tcPr>
            <w:tcW w:w="61"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GPCR</w:t>
              <w:br/>
              <w:t>Platform</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Lead Asset Indication</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Lead Asset</w:t>
              <w:br/>
              <w:t>Phase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pPr>
            <w:r>
              <w:rPr>
                <w:b/>
              </w:rPr>
              <w:t>Pre-</w:t>
            </w:r>
            <w:r>
              <w:rPr/>
              <w:br/>
            </w:r>
            <w:r>
              <w:rPr>
                <w:b/>
              </w:rP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Proceeds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Post-</w:t>
              <w:br/>
              <w:t>Money</w:t>
              <w:br/>
              <w:t>Enterprise</w:t>
              <w:br/>
              <w:t>Value</w:t>
            </w:r>
          </w:p>
        </w:tc>
        <w:tc>
          <w:tcPr>
            <w:tcW w:w="79" w:type="dxa"/>
            <w:tcBorders/>
            <w:vAlign w:val="center"/>
          </w:tcPr>
          <w:p>
            <w:pPr>
              <w:pStyle w:val="TableContents"/>
              <w:bidi w:val="0"/>
              <w:spacing w:before="0" w:after="283"/>
              <w:jc w:val="left"/>
              <w:rPr/>
            </w:pPr>
            <w:r>
              <w:rPr/>
              <w:t> </w:t>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1042" w:type="dxa"/>
            <w:gridSpan w:val="4"/>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820"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c>
          <w:tcPr>
            <w:tcW w:w="1239" w:type="dxa"/>
            <w:gridSpan w:val="4"/>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All Selected IPOs</w:t>
            </w:r>
          </w:p>
        </w:tc>
        <w:tc>
          <w:tcPr>
            <w:tcW w:w="61"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925"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sz w:val="4"/>
                <w:szCs w:val="4"/>
              </w:rPr>
            </w:pPr>
            <w:r>
              <w:rPr>
                <w:sz w:val="4"/>
                <w:szCs w:val="4"/>
              </w:rPr>
            </w:r>
          </w:p>
        </w:tc>
      </w:tr>
      <w:tr>
        <w:trPr/>
        <w:tc>
          <w:tcPr>
            <w:tcW w:w="6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Low</w:t>
            </w:r>
          </w:p>
        </w:tc>
        <w:tc>
          <w:tcPr>
            <w:tcW w:w="61"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34.4</w:t>
            </w:r>
          </w:p>
        </w:tc>
        <w:tc>
          <w:tcPr>
            <w:tcW w:w="79" w:type="dxa"/>
            <w:tcBorders/>
            <w:vAlign w:val="center"/>
          </w:tcPr>
          <w:p>
            <w:pPr>
              <w:pStyle w:val="TableContents"/>
              <w:bidi w:val="0"/>
              <w:spacing w:before="0" w:after="283"/>
              <w:jc w:val="left"/>
              <w:rPr/>
            </w:pPr>
            <w:r>
              <w:rPr/>
              <w:t> </w:t>
            </w:r>
          </w:p>
        </w:tc>
      </w:tr>
      <w:tr>
        <w:trPr/>
        <w:tc>
          <w:tcPr>
            <w:tcW w:w="6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High</w:t>
            </w:r>
          </w:p>
        </w:tc>
        <w:tc>
          <w:tcPr>
            <w:tcW w:w="61"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460.0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2,564.2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1,975.4</w:t>
            </w:r>
          </w:p>
        </w:tc>
        <w:tc>
          <w:tcPr>
            <w:tcW w:w="79" w:type="dxa"/>
            <w:tcBorders/>
            <w:shd w:fill="CCEEFF" w:val="clear"/>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Median</w:t>
            </w:r>
          </w:p>
        </w:tc>
        <w:tc>
          <w:tcPr>
            <w:tcW w:w="61"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172.5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507.0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right"/>
              <w:rPr/>
            </w:pPr>
            <w:r>
              <w:rPr/>
              <w:t>306.0</w:t>
            </w:r>
          </w:p>
        </w:tc>
        <w:tc>
          <w:tcPr>
            <w:tcW w:w="79" w:type="dxa"/>
            <w:tcBorders/>
            <w:vAlign w:val="center"/>
          </w:tcPr>
          <w:p>
            <w:pPr>
              <w:pStyle w:val="TableContents"/>
              <w:bidi w:val="0"/>
              <w:spacing w:before="0" w:after="283"/>
              <w:jc w:val="left"/>
              <w:rPr/>
            </w:pPr>
            <w:r>
              <w:rPr/>
              <w:t> </w:t>
            </w:r>
          </w:p>
        </w:tc>
      </w:tr>
      <w:tr>
        <w:trPr/>
        <w:tc>
          <w:tcPr>
            <w:tcW w:w="633"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Mean</w:t>
            </w:r>
          </w:p>
        </w:tc>
        <w:tc>
          <w:tcPr>
            <w:tcW w:w="61"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460"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sz w:val="4"/>
                <w:szCs w:val="4"/>
              </w:rPr>
            </w:pPr>
            <w:r>
              <w:rPr>
                <w:sz w:val="4"/>
                <w:szCs w:val="4"/>
              </w:rPr>
            </w:r>
          </w:p>
        </w:tc>
        <w:tc>
          <w:tcPr>
            <w:tcW w:w="5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371.6</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its review of the illustrative IPO transactions, Houlihan Lokey considered, among other things, the fact that Tectonic’s lead product was in Phase 1a trials. Houlihan Lokey also noted that the enterprise value for the issuers in the illustrative IPO transactions involving issuers with lead products in the cardiovascular therapeutic category ranged from $130.5 million to $609.4 million, and the enterprise value for the issuers in the illustrative IPO transactions involving issuers with lead products in the Phase 1 stage of development ranged from $41.7 million to $2,196.2 million. Taking into account the results of its illustrative IPO transactions analysis of Tectonic, including, among other things, its experience and professional judgment and the observed median post money enterprise value of the illustrative IPO transactions involving cardiovascular companies of $304.6 million, Houlihan Lokey selected an illustrative implied enterprise value reference range for Tectonic of $150.0 million to $200.0 million, which resulted in an illustrative aggregate implied equity value reference range for Tectonic pro forma for the private financings of $249.6 million to $299.6 million and an illustrative implied per share reference range for Tectonic pro forma for the private financings of $11.56 to $13.88. </w:t>
      </w:r>
    </w:p>
    <w:p>
      <w:pPr>
        <w:pStyle w:val="TextBody"/>
        <w:bidi w:val="0"/>
        <w:spacing w:before="240" w:after="0"/>
        <w:jc w:val="left"/>
        <w:rPr>
          <w:rFonts w:ascii="Times New Roman" w:hAnsi="Times New Roman"/>
          <w:sz w:val="20"/>
        </w:rPr>
      </w:pPr>
      <w:r>
        <w:rPr>
          <w:rFonts w:ascii="Times New Roman" w:hAnsi="Times New Roman"/>
          <w:i/>
          <w:sz w:val="20"/>
        </w:rPr>
        <w:t>Tectonic - Illustrative Private Financing Transactions</w:t>
      </w:r>
      <w:r>
        <w:rPr>
          <w:rFonts w:ascii="Times New Roman" w:hAnsi="Times New Roman"/>
          <w:sz w:val="20"/>
        </w:rPr>
        <w:t xml:space="preserve">. Solely for illustrative purposes, Houlihan Lokey considered certain financial terms of certain private financing transactions involving companies that Houlihan Lokey deemed relevant. The illustrative private financing transactions were selected because they involved issuers that were, based on Houlihan Lokey’s experience and judgment, deemed to be similar to Tectonic in one or more respects, including the phase of development, therapeutic category and therapeutic indication of the applicable company’s lead product. No specific numeric or other similar criteria were used to select the illustrative private financing transactions, and all criteria were evaluated in their entirety without application of definitive qualifications or limitations to individual criteria. </w:t>
      </w:r>
    </w:p>
    <w:p>
      <w:pPr>
        <w:pStyle w:val="TextBody"/>
        <w:bidi w:val="0"/>
        <w:spacing w:before="240" w:after="0"/>
        <w:jc w:val="left"/>
        <w:rPr>
          <w:rFonts w:ascii="Times New Roman" w:hAnsi="Times New Roman"/>
          <w:sz w:val="20"/>
        </w:rPr>
      </w:pPr>
      <w:r>
        <w:rPr>
          <w:rFonts w:ascii="Times New Roman" w:hAnsi="Times New Roman"/>
          <w:sz w:val="20"/>
        </w:rPr>
        <w:t xml:space="preserve">The financial data reviewed included amount raised, total capital raised, pre-money enterprise value and post-money enterprise value, which were based on public information available at the time of the announcement. The private financing transactions and corresponding data were: </w:t>
      </w:r>
    </w:p>
    <w:p>
      <w:pPr>
        <w:pStyle w:val="TextBody"/>
        <w:bidi w:val="0"/>
        <w:spacing w:before="0" w:after="0"/>
        <w:jc w:val="left"/>
        <w:rPr/>
      </w:pPr>
      <w:r>
        <w:rPr/>
        <w:t> </w:t>
      </w:r>
    </w:p>
    <w:tbl>
      <w:tblPr>
        <w:tblW w:w="9020" w:type="dxa"/>
        <w:jc w:val="left"/>
        <w:tblInd w:w="0" w:type="dxa"/>
        <w:tblLayout w:type="fixed"/>
        <w:tblCellMar>
          <w:top w:w="0" w:type="dxa"/>
          <w:left w:w="0" w:type="dxa"/>
          <w:bottom w:w="0" w:type="dxa"/>
          <w:right w:w="0" w:type="dxa"/>
        </w:tblCellMar>
      </w:tblPr>
      <w:tblGrid>
        <w:gridCol w:w="1370"/>
        <w:gridCol w:w="120"/>
        <w:gridCol w:w="2210"/>
        <w:gridCol w:w="120"/>
        <w:gridCol w:w="950"/>
        <w:gridCol w:w="120"/>
        <w:gridCol w:w="172"/>
        <w:gridCol w:w="688"/>
        <w:gridCol w:w="60"/>
        <w:gridCol w:w="120"/>
        <w:gridCol w:w="154"/>
        <w:gridCol w:w="616"/>
        <w:gridCol w:w="60"/>
        <w:gridCol w:w="120"/>
        <w:gridCol w:w="232"/>
        <w:gridCol w:w="928"/>
        <w:gridCol w:w="60"/>
        <w:gridCol w:w="120"/>
        <w:gridCol w:w="145"/>
        <w:gridCol w:w="580"/>
        <w:gridCol w:w="75"/>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50" w:type="dxa"/>
            <w:gridSpan w:val="8"/>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 Date</w:t>
            </w:r>
          </w:p>
        </w:tc>
        <w:tc>
          <w:tcPr>
            <w:tcW w:w="120"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12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Financing</w:t>
            </w:r>
          </w:p>
          <w:p>
            <w:pPr>
              <w:pStyle w:val="TableContents"/>
              <w:bidi w:val="0"/>
              <w:spacing w:before="0" w:after="20"/>
              <w:jc w:val="center"/>
              <w:rPr>
                <w:rFonts w:ascii="Times New Roman" w:hAnsi="Times New Roman"/>
                <w:b/>
                <w:sz w:val="16"/>
              </w:rPr>
            </w:pPr>
            <w:r>
              <w:rPr>
                <w:rFonts w:ascii="Times New Roman" w:hAnsi="Times New Roman"/>
                <w:b/>
                <w:sz w:val="16"/>
              </w:rPr>
              <w:t>Round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Capital</w:t>
              <w:b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Pre-Money</w:t>
            </w:r>
            <w:r>
              <w:rPr/>
              <w:br/>
            </w:r>
            <w:r>
              <w:rPr>
                <w:b/>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b/>
              </w:rPr>
              <w:t>Post-</w:t>
              <w:br/>
              <w:t>Money</w:t>
            </w:r>
            <w:r>
              <w:rPr/>
              <w:br/>
            </w:r>
            <w:r>
              <w:rPr>
                <w:b/>
              </w:rPr>
              <w:t>Value</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Cardiovascular</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233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10/31/23</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Imagine Pharma, Inc.</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10/17/23</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Amplifier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12/14/22</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XyloCor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A1</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54.5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74.6</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1/20/21</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XyloCor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A1</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62.6</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8/19/22</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Rivus Pharmaceuticals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432.0</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7/20/21</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Rivus Pharmaceuticals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6/1/22</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Mineralys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268.0</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1/18/22</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Mineralys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77.5</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12/20/21</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Armgo Pharma</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70.0</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9/22/21</w:t>
            </w:r>
          </w:p>
        </w:tc>
        <w:tc>
          <w:tcPr>
            <w:tcW w:w="12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left"/>
              <w:rPr/>
            </w:pPr>
            <w:r>
              <w:rPr/>
              <w:t>CinCor Pharma</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192.9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230.0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372.9</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5/14/19</w:t>
            </w:r>
          </w:p>
        </w:tc>
        <w:tc>
          <w:tcPr>
            <w:tcW w:w="1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CinCor Pharma</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65.0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335" w:type="dxa"/>
        <w:jc w:val="left"/>
        <w:tblInd w:w="0" w:type="dxa"/>
        <w:tblLayout w:type="fixed"/>
        <w:tblCellMar>
          <w:top w:w="0" w:type="dxa"/>
          <w:left w:w="0" w:type="dxa"/>
          <w:bottom w:w="0" w:type="dxa"/>
          <w:right w:w="0" w:type="dxa"/>
        </w:tblCellMar>
      </w:tblPr>
      <w:tblGrid>
        <w:gridCol w:w="1235"/>
        <w:gridCol w:w="120"/>
        <w:gridCol w:w="2660"/>
        <w:gridCol w:w="120"/>
        <w:gridCol w:w="950"/>
        <w:gridCol w:w="120"/>
        <w:gridCol w:w="172"/>
        <w:gridCol w:w="688"/>
        <w:gridCol w:w="60"/>
        <w:gridCol w:w="120"/>
        <w:gridCol w:w="154"/>
        <w:gridCol w:w="616"/>
        <w:gridCol w:w="60"/>
        <w:gridCol w:w="120"/>
        <w:gridCol w:w="232"/>
        <w:gridCol w:w="928"/>
        <w:gridCol w:w="60"/>
        <w:gridCol w:w="120"/>
        <w:gridCol w:w="145"/>
        <w:gridCol w:w="580"/>
        <w:gridCol w:w="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065" w:type="dxa"/>
            <w:gridSpan w:val="8"/>
            <w:tcBorders/>
            <w:vAlign w:val="center"/>
          </w:tcPr>
          <w:p>
            <w:pPr>
              <w:pStyle w:val="TableContents"/>
              <w:bidi w:val="0"/>
              <w:spacing w:before="0" w:after="283"/>
              <w:jc w:val="left"/>
              <w:rPr>
                <w:b/>
                <w:i/>
              </w:rPr>
            </w:pPr>
            <w:r>
              <w:rPr>
                <w:b/>
                <w:i/>
              </w:rPr>
              <w:t>(Dollars 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Announced Date</w:t>
            </w:r>
          </w:p>
        </w:tc>
        <w:tc>
          <w:tcPr>
            <w:tcW w:w="12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12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Financing</w:t>
            </w:r>
          </w:p>
          <w:p>
            <w:pPr>
              <w:pStyle w:val="TableContents"/>
              <w:bidi w:val="0"/>
              <w:spacing w:before="0" w:after="20"/>
              <w:jc w:val="center"/>
              <w:rPr>
                <w:rFonts w:ascii="Times New Roman" w:hAnsi="Times New Roman"/>
                <w:b/>
                <w:sz w:val="16"/>
              </w:rPr>
            </w:pPr>
            <w:r>
              <w:rPr>
                <w:rFonts w:ascii="Times New Roman" w:hAnsi="Times New Roman"/>
                <w:b/>
                <w:sz w:val="16"/>
              </w:rPr>
              <w:t>Round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Amount</w:t>
            </w:r>
            <w:r>
              <w:rPr/>
              <w:br/>
            </w:r>
            <w:r>
              <w:rPr>
                <w:b/>
              </w:rP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Capital</w:t>
              <w:br/>
              <w:t>Raised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Pre-Money</w:t>
            </w:r>
            <w:r>
              <w:rPr/>
              <w:br/>
            </w:r>
            <w:r>
              <w:rPr>
                <w:b/>
              </w:rP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pPr>
            <w:r>
              <w:rPr>
                <w:b/>
              </w:rPr>
              <w:t>Post-</w:t>
              <w:br/>
              <w:t>Money</w:t>
            </w:r>
            <w:r>
              <w:rPr/>
              <w:br/>
            </w:r>
            <w:r>
              <w:rPr>
                <w:b/>
              </w:rPr>
              <w:t>Value</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8/31/21</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Versanis Bio</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105.0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3/1/21</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Tenaya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248.0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376.0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10/3/19</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Tenaya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118.0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210.0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1/14/21</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Verve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215.5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419.0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1/11/20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Verve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A2</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193.0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12/8/20</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Edgewise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155.0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295.0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9/17/19</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Edgewise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10/21/20</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InCarda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77.9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158.3</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8/14/19</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Renovacor</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22.3</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142.9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248.0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432.0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65.0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90.3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139.2</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120.2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187.3</w:t>
            </w:r>
          </w:p>
        </w:tc>
        <w:tc>
          <w:tcPr>
            <w:tcW w:w="75" w:type="dxa"/>
            <w:tcBorders/>
            <w:shd w:fill="CCEEFF" w:val="clear"/>
            <w:vAlign w:val="center"/>
          </w:tcPr>
          <w:p>
            <w:pPr>
              <w:pStyle w:val="TableContents"/>
              <w:bidi w:val="0"/>
              <w:spacing w:before="0" w:after="283"/>
              <w:jc w:val="left"/>
              <w:rPr/>
            </w:pPr>
            <w:r>
              <w:rPr/>
              <w:t> </w:t>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4015" w:type="dxa"/>
            <w:gridSpan w:val="3"/>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Early Stage - GPCR</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12/14/23</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Deep Apple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7/11/23</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Septerna</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320.0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1/27/22</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Septerna</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145.0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4/20/23</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Enveda Biosciences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319.0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6/22/21</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Enveda Biosciences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100.1</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2/15/23</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Maxion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29.5</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10/25/21</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Pathios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35.2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20.3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36.5</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11/28/22</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Escient Pharmaceuticals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C</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250.0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8/25/20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Escient Pharmaceuticals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B</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72.5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150.0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8/1/22</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Structure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B</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191.0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351.0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3/11/20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Structure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A1</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4/29/19</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Structure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5/10/22</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Domain Therapeutics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2/23/21</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Teon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35.0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63.7</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10/28/20</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pPr>
            <w:r>
              <w:rPr/>
              <w:t>Longboard Pharmaceuticals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Series 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101.0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5/1/19</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Confo Therapeutics</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Series 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40.4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48.0</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29.5</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218.0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351.0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57.5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123.0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96.7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86.2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159.5</w:t>
            </w:r>
          </w:p>
        </w:tc>
        <w:tc>
          <w:tcPr>
            <w:tcW w:w="75" w:type="dxa"/>
            <w:tcBorders/>
            <w:vAlign w:val="center"/>
          </w:tcPr>
          <w:p>
            <w:pPr>
              <w:pStyle w:val="TableContents"/>
              <w:bidi w:val="0"/>
              <w:spacing w:before="0" w:after="283"/>
              <w:jc w:val="left"/>
              <w:rPr/>
            </w:pPr>
            <w:r>
              <w:rPr/>
              <w:t> </w:t>
            </w:r>
          </w:p>
        </w:tc>
      </w:tr>
      <w:tr>
        <w:trPr/>
        <w:tc>
          <w:tcPr>
            <w:tcW w:w="4015" w:type="dxa"/>
            <w:gridSpan w:val="3"/>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920" w:type="dxa"/>
            <w:gridSpan w:val="4"/>
            <w:tcBorders/>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 Private Financings</w:t>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2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Low</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11.0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432.0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50.5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16" w:type="dxa"/>
            <w:tcBorders/>
            <w:vAlign w:val="center"/>
          </w:tcPr>
          <w:p>
            <w:pPr>
              <w:pStyle w:val="TableContents"/>
              <w:bidi w:val="0"/>
              <w:spacing w:before="0" w:after="283"/>
              <w:jc w:val="right"/>
              <w:rPr/>
            </w:pPr>
            <w:r>
              <w:rPr/>
              <w:t>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928" w:type="dxa"/>
            <w:tcBorders/>
            <w:vAlign w:val="center"/>
          </w:tcPr>
          <w:p>
            <w:pPr>
              <w:pStyle w:val="TableContents"/>
              <w:bidi w:val="0"/>
              <w:spacing w:before="0" w:after="283"/>
              <w:jc w:val="right"/>
              <w:rPr/>
            </w:pPr>
            <w:r>
              <w:rPr/>
              <w:t>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580" w:type="dxa"/>
            <w:tcBorders/>
            <w:vAlign w:val="center"/>
          </w:tcPr>
          <w:p>
            <w:pPr>
              <w:pStyle w:val="TableContents"/>
              <w:bidi w:val="0"/>
              <w:spacing w:before="0" w:after="283"/>
              <w:jc w:val="right"/>
              <w:rPr/>
            </w:pPr>
            <w:r>
              <w:rPr/>
              <w:t>132.5</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Mean</w:t>
            </w:r>
          </w:p>
        </w:tc>
        <w:tc>
          <w:tcPr>
            <w:tcW w:w="120" w:type="dxa"/>
            <w:tcBorders/>
            <w:shd w:fill="CCEEFF" w:val="clear"/>
            <w:vAlign w:val="center"/>
          </w:tcPr>
          <w:p>
            <w:pPr>
              <w:pStyle w:val="TableContents"/>
              <w:bidi w:val="0"/>
              <w:spacing w:before="0" w:after="283"/>
              <w:jc w:val="left"/>
              <w:rPr/>
            </w:pPr>
            <w:r>
              <w:rPr/>
              <w:t>  </w:t>
            </w:r>
          </w:p>
        </w:tc>
        <w:tc>
          <w:tcPr>
            <w:tcW w:w="26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616" w:type="dxa"/>
            <w:tcBorders/>
            <w:shd w:fill="CCEEFF" w:val="clear"/>
            <w:vAlign w:val="center"/>
          </w:tcPr>
          <w:p>
            <w:pPr>
              <w:pStyle w:val="TableContents"/>
              <w:bidi w:val="0"/>
              <w:spacing w:before="0" w:after="283"/>
              <w:jc w:val="right"/>
              <w:rPr/>
            </w:pPr>
            <w:r>
              <w:rPr/>
              <w:t>97.2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106.6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176.2</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w:t>
      </w:r>
      <w:r>
        <w:rPr>
          <w:rFonts w:ascii="Times New Roman" w:hAnsi="Times New Roman"/>
          <w:sz w:val="20"/>
        </w:rPr>
        <w:t xml:space="preserve">NA” refers to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In its review of the illustrative private financing transactions, Houlihan Lokey considered, among other things, the fact that Tectonic’s lead program was in a Phase 1a trial in healthy volunteers, with plans to conduct Phase 1b and Phase 2 trials in patients with Group 2 PH / HFpEF. Houlihan Lokey also noted that the enterprise value for the companies in the illustrative private financing transactions involving companies with lead products in the cardiovascular therapeutic category ranged from $11.3 million to $325.0 million, and the enterprise value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in the illustrative private financing transactions involving companies with lead products in early stages of development and a GPCR platform ranged from $13.7 million to $218.0 million. Taking into account the results of its illustrative private financing transactions analysis of Tectonic, including, among other things, its experience and professional judgment and the observed median post money enterprise value of the illustrative private financing transactions involving cardiovascular companies of $139.2 million, Houlihan Lokey selected an illustrative implied enterprise value reference range for Tectonic of $125.0 million to $175.0 million, which resulted in an aggregate illustrative implied equity value reference range for Tectonic pro forma for the private financings (in the Transaction) of $224.6 million to $274.6 million and an illustrative implied per share reference range for Tectonic pro forma for the private financings (in the Transaction) of $10.40 to $12.72. </w:t>
      </w:r>
    </w:p>
    <w:p>
      <w:pPr>
        <w:pStyle w:val="TextBody"/>
        <w:bidi w:val="0"/>
        <w:spacing w:before="240" w:after="0"/>
        <w:jc w:val="left"/>
        <w:rPr>
          <w:rFonts w:ascii="Times New Roman" w:hAnsi="Times New Roman"/>
          <w:sz w:val="20"/>
        </w:rPr>
      </w:pPr>
      <w:r>
        <w:rPr>
          <w:rFonts w:ascii="Times New Roman" w:hAnsi="Times New Roman"/>
          <w:i/>
          <w:sz w:val="20"/>
        </w:rPr>
        <w:t>Illustrative Implied Exchange Ratio Reference Range</w:t>
      </w:r>
      <w:r>
        <w:rPr>
          <w:rFonts w:ascii="Times New Roman" w:hAnsi="Times New Roman"/>
          <w:sz w:val="20"/>
        </w:rPr>
        <w:t xml:space="preserve">. Taking into account the AVROBIO Liquidation Analysis and Houlihan Lokey’s illustrative M&amp;A transactions, illustrative IPO transactions and illustrative private financing transactions analyses for Tectonic, Houlihan Lokey (i) divided the low end of the implied per share reference range for Tectonic indicated by the applicable analysis by the high end of the implied per share reference range for AVBROBIO and (ii) divided the high end of the implied per share reference range for Tectonic indicated by the applicable analysis by the low end of the implied per share reference range for AVBROBIO, which indicated illustrative implied exchange ratio reference ranges of 0.58561962 to 0.77401431 shares of AVROBIO common stock for each share of Tectonic capital stock based on the illustrative M&amp;A transactions analysis, 0.73232454 to 0.92907085 shares of AVROBIO common stock for each share of Tectonic capital stock based on the illustrative IPO transactions analysis and 0.65897208 to 0.85154258 shares of AVROBIO common stock for each share of Tectonic capital stock based on the illustrative private financings transactions analysis, in each case as compared to the assumed Exchange Ratio in the Merger pursuant to the Merger agreement of 0.74458326 shares of AVROBIO common stock for each share of Tectonic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Houlihan Lokey was engaged by AVROBIO to provide an opinion to the AVROBIO Board as to the fairness, from a financial point of view, to AVROBIO of the Exchange Ratio provided for in the Merger pursuant to the Merger Agreement, after giving effect to the Related Transactions. AVROBIO engaged Houlihan Lokey based on Houlihan Lokey’s experience and reputation. Houlihan Lokey is regularly engaged to render financial opinions in connection with mergers, acquisitions, divestitures, leveraged buyouts, and for other purposes. Pursuant to its engagement by AVROBIO, Houlihan Lokey became entitled to an aggregate fee of $400,000 for its services, a portion of which became payable to Houlihan Lokey upon its retention by AVROBIO and the remainder of which became payable upon the delivery of its opinion. AVROBIO has also agreed to reimburse Houlihan Lokey for certain expenses and to indemnify Houlihan Lokey, its affiliates and certain related parties against certain liabilities and expenses arising out of or relating to Houlihan Lokey’s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AVROBIO, Tectonic, or any other party that may be involved in the Transaction and their respective affiliates or security holders or any currency or commodity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and certain of its affiliates may provide investment banking, financial advisory and/or other financial or consulting services to AVROBIO, Tectonic, other participants in the Transaction or certain of their respective affiliates or security holders in the future, for which Houlihan Lokey and its affiliates may receive compensation. In addition, during the past two years, Houlihan Lokey provided financial advisory services to a group of five clients, of which an affiliate of a security holder of Tectonic was a member of this group, for which Houlihan Lokey received compensation of approximately $350,000. Furthermore, in connection with bankruptcies, restructurings, distressed situations and similar matters, Houlihan Lokey and certain of its affiliates may have in the past acted, may currently be acting and may in the future act as financial advisor to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creditors, equity holders, trustees, agents and other interested parties (including, without limitation, formal and informal committees or groups of creditors) that may have included or represented and may include or represent, directly or indirectly, or may be or have been adverse to, AVROBIO, Tectonic, other participants in the Transaction or certain of their respective affiliates or security holders, for which advice and services Houlihan Lokey and its affiliates have received and may receive compensation. </w:t>
      </w:r>
    </w:p>
    <w:p>
      <w:pPr>
        <w:pStyle w:val="TextBody"/>
        <w:bidi w:val="0"/>
        <w:spacing w:before="360" w:after="0"/>
        <w:jc w:val="left"/>
        <w:rPr>
          <w:rFonts w:ascii="Times New Roman" w:hAnsi="Times New Roman"/>
          <w:b/>
          <w:sz w:val="20"/>
        </w:rPr>
      </w:pPr>
      <w:bookmarkStart w:id="51" w:name="toc770053_49"/>
      <w:bookmarkEnd w:id="51"/>
      <w:r>
        <w:rPr>
          <w:rFonts w:ascii="Times New Roman" w:hAnsi="Times New Roman"/>
          <w:b/>
          <w:sz w:val="20"/>
        </w:rPr>
        <w:t xml:space="preserve">Interests of AVROBIO’s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AVROBIO Board with respect to issuing shares of AVROBIO common stock in the merger and the other matters to be acted upon by the AVROBIO stockholders at the special meeting, the AVROBIO stockholders should be aware that AVROBIO’s directors and executive officers have interests in the merger that are different from, or in addition to, the interests of AVROBIO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was aware of these potential conflicts of interest and considered them, among other matters, in reaching its decision to approve the Merger Agreement and the merger, and to recommend that the AVROBIO stockholders approve the proposals to be presented to the AVROBIO stockholders for consideration at the special meeting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March 15, 2024, AVROBIO’s current non-employee directors and executive officers beneficially owned, in the aggregate, approximately 4,905,581 shares of AVROBIO common stock, which for purposes of this subsection excludes any AVROBIO shares issuable upon exercise or settlement of AVROBIO stock options or AVROBIO RSUs held by such individuals, and includes shares of AVROBIO common stock held by affiliates of such directors and officers. The affirmative vote of a majority of votes properly cast by the holders of AVROBIO common stock entitled to vote at the special meeting, assuming a quorum is present, is required for approval of Proposal Nos. 1, 2, 4, 5, 6 and 7. The affirmative vote of the holders of a majority of the outstanding shares of AVROBIO common stock entitled to vote at the special meeting is required for approval of Proposal No. 3. As of March 15, 2024, certain AVROBIO stockholders who in the aggregate owned approximately 10.8% of the outstanding shares of AVROBIO have entered into a support agreement in connection with the merger. 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certain AVROBIO stockholders affiliated with AVROBIO’s directors also currently hold shares of AVROBIO common stock. The table below sets forth the ownership of AVROBIO common stock by affiliates of AVROBIO’s directors as of March 15, 2024.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840"/>
        <w:gridCol w:w="120"/>
        <w:gridCol w:w="114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Common</w:t>
              <w:br/>
              <w:t>Stock Held</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Affiliates of Atlas Venture Fund(1)</w:t>
            </w:r>
          </w:p>
        </w:tc>
        <w:tc>
          <w:tcPr>
            <w:tcW w:w="12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pPr>
            <w:r>
              <w:rPr/>
              <w:t>4,541,381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Opportunity LLC and a member of the AVROBIO Board. Dr. Booth disclaims beneficial ownership of such shares, except to the extent of his proportionate pecuniary interest therein, if any. The address for Atlas Venture X is 300 Technology Square, 8th Floor, Cambridge, MA 02139.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AVROBIO Stock Options and AVROBIO RSUs </w:t>
      </w:r>
    </w:p>
    <w:p>
      <w:pPr>
        <w:pStyle w:val="TextBody"/>
        <w:bidi w:val="0"/>
        <w:spacing w:before="120" w:after="0"/>
        <w:jc w:val="left"/>
        <w:rPr>
          <w:rFonts w:ascii="Times New Roman" w:hAnsi="Times New Roman"/>
          <w:sz w:val="20"/>
        </w:rPr>
      </w:pPr>
      <w:r>
        <w:rPr>
          <w:rFonts w:ascii="Times New Roman" w:hAnsi="Times New Roman"/>
          <w:sz w:val="20"/>
        </w:rPr>
        <w:t xml:space="preserve">Each AVROBIO in-the-money option that is outstanding immediately prior to the effective time that is held by a current AVROBIO employee, director, or consultant of AVROBIO as of the date hereof will be accelerated in full effective as of the effective time and (ii) each AVROBIO in-the-money option that is unexpired, unexercised and outstanding as of immediately prior to the effective time and is held by a current AVROBIO employee, director or consultant as of the date of the execution of the Merger Agreement and who is a signatory to the lock-up agreement, will survive the closing and remain outstanding and exercisable until six months after the expiration of the Restricted Period (as defined in the signatory’s respective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Further, the Merger Agreement provides that 50% of certain specified unexpired, unexercised and unvested AVROBIO options that remain outstanding as of immediately prior to the Effective Time (the “Specified Options”) (A) that are held by a current employee, director, or consultant of AVROBIO as of the date of the Merger Agreement will be accelerated in full effective as of immediately prior to the effective time, and (B) each Specified Option that is unexpired, unexercised, and outstanding as of immediately prior to the effective time and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signatory’s respective lock-up agreement). The Specified Options are certain out-of-the-money options held by certain members of AVROBIO management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all outstanding AVROBIO RSUs that vest solely on the basis of time will be accelerated in full as of immediately prior to the effective time.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AVROBIO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information regarding the AVROBIO stock options and RSUs held as of March 15, 2024 by the individuals who are AVROBIO’s executive officers and AVROBIO’s current non-employee directors. The number of shares of AVROBIO common stock underlying such AVROBIO options and AVROBIO RSUs and, with respect to stock options, the applicable exercise prices of such options will be adjusted appropriately to reflect the proposed reverse stock split. </w:t>
      </w:r>
    </w:p>
    <w:p>
      <w:pPr>
        <w:pStyle w:val="TextBody"/>
        <w:bidi w:val="0"/>
        <w:spacing w:before="0" w:after="0"/>
        <w:jc w:val="left"/>
        <w:rPr/>
      </w:pPr>
      <w:r>
        <w:rPr/>
        <w:t> </w:t>
      </w:r>
    </w:p>
    <w:tbl>
      <w:tblPr>
        <w:tblW w:w="7185" w:type="dxa"/>
        <w:jc w:val="left"/>
        <w:tblInd w:w="0" w:type="dxa"/>
        <w:tblLayout w:type="fixed"/>
        <w:tblCellMar>
          <w:top w:w="0" w:type="dxa"/>
          <w:left w:w="0" w:type="dxa"/>
          <w:bottom w:w="0" w:type="dxa"/>
          <w:right w:w="0" w:type="dxa"/>
        </w:tblCellMar>
      </w:tblPr>
      <w:tblGrid>
        <w:gridCol w:w="2990"/>
        <w:gridCol w:w="120"/>
        <w:gridCol w:w="148"/>
        <w:gridCol w:w="1987"/>
        <w:gridCol w:w="60"/>
        <w:gridCol w:w="120"/>
        <w:gridCol w:w="315"/>
        <w:gridCol w:w="1370"/>
        <w:gridCol w:w="75"/>
      </w:tblGrid>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Outstanding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Restricted Stock</w:t>
              <w:br/>
              <w:t>Units</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19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93,712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172,734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Phillip Donenberg</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112,455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Gail Farfel</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98,037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133,223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987" w:type="dxa"/>
            <w:tcBorders/>
            <w:shd w:fill="CCEEFF" w:val="clear"/>
            <w:vAlign w:val="center"/>
          </w:tcPr>
          <w:p>
            <w:pPr>
              <w:pStyle w:val="TableContents"/>
              <w:bidi w:val="0"/>
              <w:spacing w:before="0" w:after="283"/>
              <w:jc w:val="right"/>
              <w:rPr/>
            </w:pPr>
            <w:r>
              <w:rPr/>
              <w:t>93,712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Philip Vickers, Ph.D.</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283"/>
              <w:jc w:val="right"/>
              <w:rPr/>
            </w:pPr>
            <w:r>
              <w:rPr/>
              <w:t>112,455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850" w:type="dxa"/>
        <w:jc w:val="left"/>
        <w:tblInd w:w="0" w:type="dxa"/>
        <w:tblLayout w:type="fixed"/>
        <w:tblCellMar>
          <w:top w:w="0" w:type="dxa"/>
          <w:left w:w="0" w:type="dxa"/>
          <w:bottom w:w="0" w:type="dxa"/>
          <w:right w:w="0" w:type="dxa"/>
        </w:tblCellMar>
      </w:tblPr>
      <w:tblGrid>
        <w:gridCol w:w="1655"/>
        <w:gridCol w:w="120"/>
        <w:gridCol w:w="123"/>
        <w:gridCol w:w="2012"/>
        <w:gridCol w:w="60"/>
        <w:gridCol w:w="120"/>
        <w:gridCol w:w="117"/>
        <w:gridCol w:w="1568"/>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Outstanding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w:t>
              <w:br/>
              <w:t>Restricted Stock</w:t>
              <w:br/>
              <w:t>Units</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01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56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1,067,000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190,249</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Avruch</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766,336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98,499</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012" w:type="dxa"/>
            <w:tcBorders/>
            <w:vAlign w:val="center"/>
          </w:tcPr>
          <w:p>
            <w:pPr>
              <w:pStyle w:val="TableContents"/>
              <w:bidi w:val="0"/>
              <w:spacing w:before="0" w:after="283"/>
              <w:jc w:val="right"/>
              <w:rPr/>
            </w:pPr>
            <w:r>
              <w:rPr/>
              <w:t>524,497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130,171</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Essra Ridha</w:t>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012" w:type="dxa"/>
            <w:tcBorders/>
            <w:shd w:fill="CCEEFF" w:val="clear"/>
            <w:vAlign w:val="center"/>
          </w:tcPr>
          <w:p>
            <w:pPr>
              <w:pStyle w:val="TableContents"/>
              <w:bidi w:val="0"/>
              <w:spacing w:before="0" w:after="283"/>
              <w:jc w:val="right"/>
              <w:rPr/>
            </w:pPr>
            <w:r>
              <w:rPr/>
              <w:t>458,000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98,499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value of in-the-money AVROBIO options and RSUs that will be subject to accelerated vesting is $1.1 million for executive officers and $0.1 million for directors, assuming $1.33 per share of AVROBIO common stock, which reflects the average closing market price of AVROBIO’s common stock over the first five trading days ending three trading days prior to the first public announcement of the transaction. In addition, the executive officers and directors hold an aggregate of 447,500 shares subject to Specified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Positions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currently consists of seven members and is currently divided into three classes of directors with three directors in Class I, two directors in Class II and two directors in Class III. Each director serves for a term ending on the date of the third annual meeting following the annual meeting at which he or she was elected and until his or her successor is duly elected and qualified. The terms and members of each class of directors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Gail Farfel, Ph.D., Christopher Paige, Ph.D. and Philip Vickers, Ph.D., and their terms will expire at the annual meeting of stockholders to be held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Ian Clark and Annalisa Jenkins, M.B.B.S., F.R.C.P., and their terms will expire at the annual meeting of stockholders to be held in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Bruce Booth, D.Phil. and Phillip Donenberg, and their terms will expire at the annual meeting of stockholders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merger, one of the current AVROBIO directors will serve as a director of the combined company, and the combined company’s directors will consist of six members, with five directors designated by Tectonic, who are Terrance McGuire, Alise Reicin, Timothy A. Springer, Praveen Tipirneni and Stefan Vitorovic, and one director designated by AVROBIO, who is Phillip Donenberg.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current AVROBIO directors and executive officers, and there are no family relationships among any of the proposed combined company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AVROBIO directors and officers under the Merger Agreement, please see the section 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254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AVROBIO compensates its non-employee directors for their service on the AVROBIO Board pursuant to its director compensation program. Non-employee members of the AVROBIO Board receive cash compensation, payable in quarterly installments, in arrears following the end of each quarter in which service occurred, prorated based on the number of actual days served by the director during such calendar quarter. Pursuant to the director compensation program, non-employee directors are also eligible to receive initial and annual grants of stock options. Each initial stock option granted to AVROBIO’s non-employee directors, vests and becomes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36 equal monthly installments over a three-year period; provided, however, that all vesting shall cease if the director resigns from the AVROBIO Board or otherwise ceases to serve as a director of AVROBIO. Each annual stock option granted to AVROBIO’s non-employee directors, vests and becomes exercisable in full upon the earlier to occur of the first anniversary of the date of grant or the date of the next annual meeting. AVROBIO also reimburses its non-employee directors for reasonable travel and out-of-pocket expenses incurred in connection with attending its board of director and committee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Severance Arrangements </w:t>
      </w:r>
    </w:p>
    <w:p>
      <w:pPr>
        <w:pStyle w:val="TextBody"/>
        <w:bidi w:val="0"/>
        <w:spacing w:before="120" w:after="0"/>
        <w:jc w:val="left"/>
        <w:rPr>
          <w:rFonts w:ascii="Times New Roman" w:hAnsi="Times New Roman"/>
          <w:i/>
          <w:sz w:val="20"/>
        </w:rPr>
      </w:pPr>
      <w:r>
        <w:rPr>
          <w:rFonts w:ascii="Times New Roman" w:hAnsi="Times New Roman"/>
          <w:i/>
          <w:sz w:val="20"/>
        </w:rPr>
        <w:t xml:space="preserve">Erik Ostrowski </w:t>
      </w:r>
    </w:p>
    <w:p>
      <w:pPr>
        <w:pStyle w:val="TextBody"/>
        <w:bidi w:val="0"/>
        <w:spacing w:before="120" w:after="0"/>
        <w:jc w:val="left"/>
        <w:rPr>
          <w:rFonts w:ascii="Times New Roman" w:hAnsi="Times New Roman"/>
          <w:sz w:val="20"/>
        </w:rPr>
      </w:pPr>
      <w:r>
        <w:rPr>
          <w:rFonts w:ascii="Times New Roman" w:hAnsi="Times New Roman"/>
          <w:sz w:val="20"/>
        </w:rPr>
        <w:t xml:space="preserve">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 awards held by Mr. Ostrowski that would have vested if 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 </w:t>
      </w:r>
    </w:p>
    <w:p>
      <w:pPr>
        <w:pStyle w:val="TextBody"/>
        <w:bidi w:val="0"/>
        <w:spacing w:before="360" w:after="0"/>
        <w:jc w:val="left"/>
        <w:rPr>
          <w:rFonts w:ascii="Times New Roman" w:hAnsi="Times New Roman"/>
          <w:i/>
          <w:sz w:val="20"/>
        </w:rPr>
      </w:pPr>
      <w:r>
        <w:rPr>
          <w:rFonts w:ascii="Times New Roman" w:hAnsi="Times New Roman"/>
          <w:i/>
          <w:sz w:val="20"/>
        </w:rPr>
        <w:t xml:space="preserve">Azadeh Golipour </w:t>
      </w:r>
    </w:p>
    <w:p>
      <w:pPr>
        <w:pStyle w:val="TextBody"/>
        <w:bidi w:val="0"/>
        <w:spacing w:before="120" w:after="0"/>
        <w:jc w:val="left"/>
        <w:rPr>
          <w:rFonts w:ascii="Times New Roman" w:hAnsi="Times New Roman"/>
          <w:sz w:val="20"/>
        </w:rPr>
      </w:pPr>
      <w:r>
        <w:rPr>
          <w:rFonts w:ascii="Times New Roman" w:hAnsi="Times New Roman"/>
          <w:sz w:val="20"/>
        </w:rPr>
        <w:t xml:space="preserve">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with AVROBIO for up to nine months, and (iii) acceleration of vesting of all stock options and other stock based awards held by Dr. Golipour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 </w:t>
      </w:r>
    </w:p>
    <w:p>
      <w:pPr>
        <w:pStyle w:val="TextBody"/>
        <w:bidi w:val="0"/>
        <w:spacing w:before="360" w:after="0"/>
        <w:jc w:val="left"/>
        <w:rPr>
          <w:rFonts w:ascii="Times New Roman" w:hAnsi="Times New Roman"/>
          <w:i/>
          <w:sz w:val="20"/>
        </w:rPr>
      </w:pPr>
      <w:r>
        <w:rPr>
          <w:rFonts w:ascii="Times New Roman" w:hAnsi="Times New Roman"/>
          <w:i/>
          <w:sz w:val="20"/>
        </w:rPr>
        <w:t xml:space="preserve">Essra Ridha </w:t>
      </w:r>
    </w:p>
    <w:p>
      <w:pPr>
        <w:pStyle w:val="TextBody"/>
        <w:bidi w:val="0"/>
        <w:spacing w:before="120" w:after="0"/>
        <w:jc w:val="left"/>
        <w:rPr>
          <w:rFonts w:ascii="Times New Roman" w:hAnsi="Times New Roman"/>
          <w:sz w:val="20"/>
        </w:rPr>
      </w:pPr>
      <w:r>
        <w:rPr>
          <w:rFonts w:ascii="Times New Roman" w:hAnsi="Times New Roman"/>
          <w:sz w:val="20"/>
        </w:rPr>
        <w:t xml:space="preserve">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 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Retention Bonuses </w:t>
      </w:r>
    </w:p>
    <w:p>
      <w:pPr>
        <w:pStyle w:val="TextBody"/>
        <w:bidi w:val="0"/>
        <w:spacing w:before="120" w:after="0"/>
        <w:jc w:val="left"/>
        <w:rPr>
          <w:rFonts w:ascii="Times New Roman" w:hAnsi="Times New Roman"/>
          <w:sz w:val="20"/>
        </w:rPr>
      </w:pPr>
      <w:r>
        <w:rPr>
          <w:rFonts w:ascii="Times New Roman" w:hAnsi="Times New Roman"/>
          <w:sz w:val="20"/>
        </w:rPr>
        <w:t>On June 9, 2023, the AVROBIO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to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related footnotes present information about the compensation payable to AVROBIO’s named executive officers in connection with the merger. The compensation shown in the table below is intended to comply with Item 402(t) of Regulation S-K, which requires disclosure of information about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for each named executive officer that is based on or otherwise relates to the Merger. This compensation is referred to as “golden parachute” compensation by the applicable SEC disclosure rules. AVROBIO’s named executive officers who are no longer employed by AVROBIO have been excluded from the table below and will not receive any “golden parachute” compensation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values in the table below are based on the following assumptions: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AVROBIO common stock is approximately $1.33, which reflects the average closing market price of AVROBIO’s common stock over the first five trading days ending three trading days prior to the first public announcement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who is currently employed by AVROBIO will remain employed through the closing of the merger, and that their employment is terminated without “cause” or by the executive officer for “good reason” as of immediately following the effective time of the merger on March 15, 2024 (in each case, referred to as a “qualifying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holds the outstanding equity awards that were held by such AVROBIO named executive officer as of March 15, 2024, the latest practicable date before the filing of this proxy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the base salary, target annual incentive compensation, and health and welfare benefit elections of each AVROBIO named executive officer remains the same as of March 15,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footnotes describe payments and benefits that will be paid solely based on the closing of merger (“single-trigger payments”), and payments and benefits that will be paid based on the closing of the merger and a qualifying termination following the merger (“double-trigger payments”). </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1445"/>
        <w:gridCol w:w="120"/>
        <w:gridCol w:w="60"/>
        <w:gridCol w:w="800"/>
        <w:gridCol w:w="60"/>
        <w:gridCol w:w="120"/>
        <w:gridCol w:w="60"/>
        <w:gridCol w:w="800"/>
        <w:gridCol w:w="60"/>
        <w:gridCol w:w="120"/>
        <w:gridCol w:w="96"/>
        <w:gridCol w:w="1094"/>
        <w:gridCol w:w="60"/>
        <w:gridCol w:w="120"/>
        <w:gridCol w:w="60"/>
        <w:gridCol w:w="98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Perquisites/</w:t>
              <w:br/>
              <w:t>Benefits</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829,250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301,288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26,918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1,157,456</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Geoff MacKay(4)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209,218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9,173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825,891</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714,380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171,270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889,321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a lump sum amount equal to 100% of the sum of the named executive officer’s current base salary (or base salary in effect immediately prior to the change in control if higher) plus target bonus for that year, which amounts are double trigger payments.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 represents the estimated consideration payable with respect to all AVROBIO stock options and other AVROBIO stock-based awards held by AVROBIO’s named executive officers upon a qualifying termination of employment in connection with the merger, as discussed above under “—</w:t>
            </w:r>
            <w:r>
              <w:rPr>
                <w:rFonts w:ascii="Times New Roman" w:hAnsi="Times New Roman"/>
                <w:i/>
                <w:sz w:val="20"/>
              </w:rPr>
              <w:t>Executive Severance Arrangements</w:t>
            </w:r>
            <w:r>
              <w:rPr>
                <w:rFonts w:ascii="Times New Roman" w:hAnsi="Times New Roman"/>
                <w:sz w:val="20"/>
              </w:rPr>
              <w:t xml:space="preserve">.” The consideration payable with respect to such awards are double-trigger payments.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estimated value of reimbursement of COBRA premiums for health benefit coverage, in an amount equal to the monthly employer contribution that AVROBIO would have made to provide health insurance to Mr. Ostrowski and Dr. Golipour had the executive remained employed with AVROBIO until the earliest of 12 months following the date of termination, based on the costs of coverage and benefit elections in effect as of March 15, 2024. For Dr. Ridha, this amount represents 12 months of benefits allowance, which would include medical, dental, vision, and leisure travel insurance benefits. Such amounts are double-trigger payments.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(4)</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Due to his separation with AVROBIO, effective as of May 1, 2023, Mr. MacKay is ineligible for severance benefits in connection with the merger.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the Cash and Perquisites/Benefits columns were converted from GBP to USD using the exchange rate as of February 1, 2024 (1 GBP = 1.2745 USD).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AVROBIO’s charter and bylaws, AVROBIO has entered into indemnification agreements with each of its directors and officers. These agreements provide for the indemnification of AVROBIO’s directors and executive officers for all reasonable expenses and liabilities incurred in connection with any action or proceeding brought against them by reason of the fact that they are or were agents of AVROBIO. AVROBIO believes that these charter and bylaw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bookmarkStart w:id="52" w:name="toc770053_49a"/>
      <w:bookmarkEnd w:id="52"/>
      <w:r>
        <w:rPr>
          <w:rFonts w:ascii="Times New Roman" w:hAnsi="Times New Roman"/>
          <w:b/>
          <w:sz w:val="20"/>
        </w:rPr>
        <w:t xml:space="preserve">Interests of Tectonic’s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Tectonic Board with respect to approving the merger, stockholders should be aware that Tectonic’s directors and executive officers have interests in the merger that are different from, or in addition to, the interests of Tectonic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Tectonic Board was aware of these potential conflicts of interest and considered them, among other matters, in reaching its decision to approve the Merger Agreement and the merger, and to recommend that the Tectonic stockholders approve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Certain of Tectonic’s directors participated, or are affiliated with entities that participated, in the private financings, including Timothy A. Springer, Andrew Kruse, Stefan Vitorovic and Terrance McGuire.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December 31, 2023, Tectonic’s current non-employee directors and executive officers beneficially owned, in the aggregate approximately 90.5% of the outstanding shares of Tectonic capital stock, which for purposes of this subsection excludes any Tectonic shares issuable upon exercise or settlement of Tectonic stock options held by such individual. Each of Tectonic’s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Tectonic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under the Tectonic Equity Incentive Plan and that, following assumption by AVROBIO at the effective time, whether or not vested, will be converted into an option to purchase shares of AVROBIO common stock. AVROBIO will assume the Tectonic Equity Incentive Plan, as amended, and each such outstanding option to purchase shares of Tectonic common stock in accordance with the terms (as in effect as of the date of the Merger Agreement) of the Tectonic Equity Incentive Plan and the terms of the stock option agreement by which such option to purchase shares of Tectonic common stock is evidenced.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Alise Reicin, Tectonic’s Chief Executive Officer and a member of the Tectonic Board, held stock options granted pursuant to the Tectonic Equity Incentive Plan to purchase 416,304 shares of Tectonic’s common stock, of which 107,190 options have been exercised, and 20,468 shares of Tectonic Common Stock issued upon such exercises remain subject to vesting. Marcella K. Ruddy, Tectonic’s Chief Medical Officer, held stock options granted pursuant to the Tectonic Equity Incentive Plan to purchase 177,233 shares of Tectonic’s common stock. Christian Cortis, Tectonic’s Chief Operating Officer and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held stock options granted pursuant to the Tectonic Equity Incentive Plan to purchase 336,359 shares of Tectonic’s common stock. Praveen Tipirneni, a member of the Tectonic Board, held stock options granted pursuant to the Tectonic Equity Incentive Plan to purchase 22,765 shares of Tectonic’s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427 of this proxy statement/prospectus certain of Tectonic’s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Tectonic directors and officers under the Merger Agreement, please see the section 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254 of this proxy statement/prospectus. </w:t>
      </w:r>
    </w:p>
    <w:p>
      <w:pPr>
        <w:pStyle w:val="TextBody"/>
        <w:bidi w:val="0"/>
        <w:spacing w:before="360" w:after="0"/>
        <w:jc w:val="left"/>
        <w:rPr>
          <w:rFonts w:ascii="Times New Roman" w:hAnsi="Times New Roman"/>
          <w:b/>
          <w:sz w:val="20"/>
        </w:rPr>
      </w:pPr>
      <w:bookmarkStart w:id="53" w:name="toc770053_50"/>
      <w:bookmarkEnd w:id="53"/>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AVROBIO formed by AVROBIO in connection with the merger, will merge with and into Tectonic, with Tectonic surviving as a wholly owned subsidiary of AVROBIO. </w:t>
      </w:r>
    </w:p>
    <w:p>
      <w:pPr>
        <w:pStyle w:val="TextBody"/>
        <w:bidi w:val="0"/>
        <w:spacing w:before="360" w:after="0"/>
        <w:jc w:val="left"/>
        <w:rPr>
          <w:rFonts w:ascii="Times New Roman" w:hAnsi="Times New Roman"/>
          <w:b/>
          <w:sz w:val="20"/>
        </w:rPr>
      </w:pPr>
      <w:bookmarkStart w:id="54" w:name="toc770053_51"/>
      <w:bookmarkEnd w:id="54"/>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exchange ratio described in more detail in the sections 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pages 239 and 240, respectively,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AVROBIO common stock will be issued in connection with the merger, and no certificates or scrip for any such fractional shares will be issued. Any fractional shares of AVROBIO common stock resulting from the conversion of shares of Tectonic common stock (including shares of Tectonic common stock issued upon conversion of Tectonic preferred stock as well as the private financing shares and the Company SAFEs) into the right to receive a number of AVROBIO common stock equal to the exchange ratio or from the settlement of Tectonic options pursuant to the Merger Agreement (after aggregating all fractional shares of AVROBIO common stock issuable to such holder) will be rounded to the nearest whole share of AVROBIO common stock, with no cash being paid for any fractional share of AVROBIO common stock eliminated by such rounding. </w:t>
      </w:r>
    </w:p>
    <w:p>
      <w:pPr>
        <w:pStyle w:val="TextBody"/>
        <w:bidi w:val="0"/>
        <w:spacing w:before="360" w:after="0"/>
        <w:jc w:val="left"/>
        <w:rPr>
          <w:rFonts w:ascii="Times New Roman" w:hAnsi="Times New Roman"/>
          <w:b/>
          <w:sz w:val="20"/>
        </w:rPr>
      </w:pPr>
      <w:bookmarkStart w:id="55" w:name="toc770053_52"/>
      <w:bookmarkEnd w:id="55"/>
      <w:r>
        <w:rPr>
          <w:rFonts w:ascii="Times New Roman" w:hAnsi="Times New Roman"/>
          <w:b/>
          <w:sz w:val="20"/>
        </w:rPr>
        <w:t xml:space="preserve">Calculation of AVROBIO’s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AVROBIO’s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cash and cash equivalents and marketable securities as of immediately prior to the closing and determined in accordance with GAAP, in a manner consistent with the manner in which such items were historically determined and in accordance with AVROBIO’s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AVROBIO’s prepaid expenses and deposits of AVROBIO and its subsidiaries;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certain cash payments actually required to be made by AVROBIO under its contractual obligations to the extent unpaid as of immediately prior to closing;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unpaid liabilities as of the date of closing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AVROBIO’s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AVROBIO’s property, liabilities for taxes relating to the disposition of AVROBIO’s pre-closing assets, and any guarantees relating to each of the foregoing);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transaction expenses to the extent unpaid as of the closing;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unpaid cash cost of change in control payments, severance payments, bonus payments, retention or similar payments payable to AVROBIO’s employees (whether “single” or “double” trigger) (including, without limitation, (a) a reasonable estimate of payment or reimbursement by AVROBIO for continued coverage under any employee benefit plan in existence immediately prior to the closing (excluding any such plan contemplated by the Incentive Plan Proposal and the ESPP Proposal) and (b) including the employer portion of any employment, payroll, or similar taxes with respect to all such compensation);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related to AVROBIO or any of its subsidiaries’ payment obligations pursuant to any real estate leases;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premium (a) associated with obtaining a “tail policy” on AVROBIO’s existing directors’ and officers’ liability insurance policy and (b) the clinical trial liability insurance tail policy;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taxes of AVROBIO and its subsidiaries for tax periods (or portions thereof) ending on or before the closing and which are accrued in accordance with GAAP as of immediately prior to the closing (unless otherwise required by law);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unpaid costs and expenses (including a reasonable estimate of any taxes) relating to the winding down of any portion of AVROBIO’s pre-closing business, which is either not to be held for sale after the date of closing or subject to the terms of the CVR Agreement;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withholding and other taxes payable in connection with the distribution of any CVRs to any former AVROBIO stockholder;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amounts paid prior to or actually incurred as of, the closing not otherwise already reducing cash and cash equivalents, by AVROBIO as a result of any litigation against AVROBIO and/or its directors relating to the Merger Agreement or the transactions contemplated therein;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amounts of the transaction expenses payable by Tectonic pursuant to the Merger Agreement that are paid by AVROBIO or its subsidiaries prior to the closing; and </w:t>
            </w:r>
          </w:p>
        </w:tc>
      </w:tr>
    </w:tbl>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 of the IP Expense Fund (as defined in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AVROBIO will deliver to Tectonic a net cash schedule setting forth, in reasonable detail, AVROBIO’s good faith estimated calculation of its net cash at the cash determination time, prepared and certified by AVROBIO’s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the cash determination time (the last day of such period referred to as the response date), Tectonic will have the right to dispute any part of the net cash schedule by delivering a written notice to that effect to AVROBIO (referred to herein as a dispute notice). Any dispute notice will identify, in reasonable detail and, to the extent known, the nature and amounts of any proposed revisions to AVROBIO’s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If, on or prior to the response date, Tectonic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Tectonic’s dispute notice, any remaining disagreements will be referred to an independent auditor of recognized national standing mutually agreed upon by AVROBIO and Tectonic. The determination of the amount of net cash made by such auditor shall be final and binding on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AVROBIO’s net cash balance is subject to numerous factors, some of which are outside of AVROBIO’s control. The actual amount of net cash will depend significantly on the timing of the closing. In addition, the closing could be delayed if AVROBIO and Tectonic are not able to agree upon the amount of AVROBIO’s net cash as of the cash determination time. </w:t>
      </w:r>
    </w:p>
    <w:p>
      <w:pPr>
        <w:pStyle w:val="TextBody"/>
        <w:bidi w:val="0"/>
        <w:spacing w:before="360" w:after="0"/>
        <w:jc w:val="left"/>
        <w:rPr>
          <w:rFonts w:ascii="Times New Roman" w:hAnsi="Times New Roman"/>
          <w:b/>
          <w:sz w:val="20"/>
        </w:rPr>
      </w:pPr>
      <w:bookmarkStart w:id="56" w:name="toc770053_53"/>
      <w:bookmarkEnd w:id="56"/>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AVROBIO and Tectonic will select an exchange agent and, at the effective time, AVROBIO will deposit with the exchange agent evidence of book-entry shares representing the shares of AVROBIO common stock issuable pursuant to the terms of the Merger Agreement in exchange for shares of Tectonic common stock (including shares of Tectonic common stock issued upon conversion of Tectonic preferred stock as well as the private financing shares and the Company SAFEs) (excluding shares to be canceled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record holder of Tectonic common stock (including shares of Tectonic common stock issued upon conversion of Tectonic preferred stock as well as the private financing shares and the Company SAFEs) (excluding shares to be canceled pursuant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excluding dissenting shares) (i) a letter of transmittal and (ii) instructions for surrendering the record holder’s stock certificates in exchange for the merger consideration.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AVROBIO, the record holder of such stock certificates or book-entry shares, as applicable, will be entitled to receive in exchange therefor book-entry shares representing the number of whole shares of AVROBIO common stock issuable to such holder pursuant to the Merger Agreement. The surrendered certificates representing shares of Tectonic common stock or Tectonic preferred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Tectonic common stock or Tectonic preferred stock that has not been surrendered will represent only the right to receive shares of AVROBIO common stock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TECTONIC COMMON STOCK OR TECTONIC PREFERRED STOCK SHOULD NOT SEND IN THEIR TECTONIC STOCK CERTIFICATES UNTIL THEY RECEIVE A LETTER OF TRANSMITTAL FROM THE EXCHANGE AGENT WITH INSTRUCTIONS FOR THE SURRENDER OF TECTONIC STOCK CERTIFICATES. </w:t>
      </w:r>
    </w:p>
    <w:p>
      <w:pPr>
        <w:pStyle w:val="TextBody"/>
        <w:bidi w:val="0"/>
        <w:spacing w:before="360" w:after="0"/>
        <w:jc w:val="left"/>
        <w:rPr>
          <w:rFonts w:ascii="Times New Roman" w:hAnsi="Times New Roman"/>
          <w:b/>
          <w:sz w:val="20"/>
        </w:rPr>
      </w:pPr>
      <w:bookmarkStart w:id="57" w:name="toc770053_54"/>
      <w:bookmarkEnd w:id="57"/>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Tectonic stockholders and the approval by the AVROBIO stockholders of the issuance of AVROBIO common stock and the other transactions proposed under the Merger Agreement, other than those conditions that by their nature are to be satisfied at the closing. The merger will become effective upon the filing of a certificate of merger with the Secretary of State of the State of Delaware or at such later time as is agreed by AVROBIO and Tectonic and specified in the certificate of merger. Neither AVROBIO nor Tectonic can predict the exact timing of the consummation of the merger. </w:t>
      </w:r>
    </w:p>
    <w:p>
      <w:pPr>
        <w:pStyle w:val="TextBody"/>
        <w:bidi w:val="0"/>
        <w:spacing w:before="360" w:after="0"/>
        <w:jc w:val="left"/>
        <w:rPr>
          <w:rFonts w:ascii="Times New Roman" w:hAnsi="Times New Roman"/>
          <w:b/>
          <w:sz w:val="20"/>
        </w:rPr>
      </w:pPr>
      <w:bookmarkStart w:id="58" w:name="toc770053_55"/>
      <w:bookmarkEnd w:id="58"/>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AVROBIO must comply with applicable federal and state securities laws and the rules and regulations of Nasdaq in connection with the issuance of shares of AVROBIO common stock to Tectonic stockholders in connection with the transactions contemplated by the Merger Agreement and the filing of this proxy statement/prospectus with the SEC. AVROBIO does not intend to seek any regulatory approval from antitrust authorities to consummate the transactions. </w:t>
      </w:r>
    </w:p>
    <w:p>
      <w:pPr>
        <w:pStyle w:val="TextBody"/>
        <w:bidi w:val="0"/>
        <w:spacing w:before="360" w:after="0"/>
        <w:jc w:val="left"/>
        <w:rPr>
          <w:rFonts w:ascii="Times New Roman" w:hAnsi="Times New Roman"/>
          <w:b/>
          <w:sz w:val="20"/>
        </w:rPr>
      </w:pPr>
      <w:bookmarkStart w:id="59" w:name="toc770053_56"/>
      <w:bookmarkEnd w:id="59"/>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for certain U.S. Holders (as defined below) of Tectonic common stock who exchange shares of Tectonic common stock for shares of AVROBIO common stock pursuant to the merger. This section applies only to persons that hold their Tectonic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without limitation: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Tectonic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Tectonic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Tectonic as part of a straddle, constructive sale, hedging, conversion or other integrated or similar transaction;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Tectonic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Tectonic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In addition, this discussion does not address (i) the tax consequences of transactions effectuated before, after or at the same time as the merger, whether or not they are in connection with the merger, including, without limitation, transactions in which shares of Tectonic common stock are acquired or disposed of other than in exchange for shares of AVROBIO common stock in the merger; (ii) the tax consequences to holders of preferred stock, options, warrants, RSUs, SAFEs or other equity securities or (iii) the tax consequences of the ownership of shares of AVROBIO common stock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Tectonic common stock, the tax treatment of such partnership and any person treated as a partner of such partnership will generally depend on the status and activities of the partner and the activities of the partnership. Partnerships holding any Tectonic common stock and persons that are treated as partners of such partnerships should consult their tax advisors as to the particular U.S. federal income tax consequences of the merger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Characterization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In reliance on the representation letters of AVROBIO and Tectonic that will be delivered to each of Goodwin and Cooley, and subject to the assumptions, qualifications and limitations described herein and in the opinions included as Exhibit 8.1 and Exhibit 8.2 hereto, each of Goodwin, as counsel to AVROBIO, and Cooley, as counsel to Tectonic, is of the opinion that the merger will qualify as a “reorganization” within the meaning of Section 368(a) of the Code. It is not, however, a condition to AVROBIO’s obligation or Tectonic’s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complete the merger that the merger so qualifies. Additionally, the opinions described above are based on the law in effect on the dates of the opinions and assume that there will be no change in applicable law between such date and the time of the merger. If any of the assumptions, representations or covenants on which any opinion is based is or becomes incorrect, incomplete, inaccurate or is otherwise not complied with, the validity of the opinions described above may be adversely affected and the tax consequences of the merger could differ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tax opinions referenced above, AVROBIO and Tectonic intend for the merger to qualify as a “reorganization” within the meaning of Section 368(a) of the Code. In addition, each of AVROBIO and Tectonic agrees in the Merger Agreement to use reasonable best efforts (and each shall cause its Affiliates) to cause the merger to qualify as a reorganization, including, under certain circumstances, changing the structure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Neither AVROBIO, Tectonic, nor Merger Sub intends to obtain a ruling from the IRS on the tax consequences of the merger, including any ruling regarding qualification of the merger as a reorganization within the meaning of Section 368(a) of the Code. An opinion of counsel represents counsel’s legal judgment but is not binding on the IRS or any court. Accordingly, there can be no assurance that the IRS will not assert that the merger fails to qualify as a reorganization (or otherwise disagree with the conclusions set forth in such opinions) or that a court would not sustain such a challenge. If the IRS were to successfully challenge the “reorganization” status of the merger, the tax consequences would vary significantly from those set forth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assumes that the merger will be treated as a “reorganization” within the meaning of Section 368(a)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a “U.S. Holder” is a beneficial owner of Tectonic common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 for U.S. federal income tax purposes.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Effects of the Merger to U.S. Holders of Tectonic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Assuming, consistent with the tax opinions described above, that the merger qualifies as a “reorganization” within the meaning of Section 368(a) of the Code, U.S. Holders of Tectonic common stock who exchange all of their shares of Tectonic common stock for AVROBIO common stock generally will not recognize any gain or loss on such exchange for U.S. federal income tax purposes. In such case, each U.S. Holder’s aggregate tax basis in the shares of AVROBIO common stock received in the merger will equal such U.S. Holder’s aggregate adjusted tax basis in the shares of Tectonic common stock surrendered in the merger. The holding period of the shares of AVROBIO common stock received by a U.S. Holder in the merger will include such U.S. Holder’s holding period for the shares of Tectonic common stock surrendered in the merger. If a U.S. Holder holds different blocks of Tectonic common stock (generally, Tectonic common stock acquired on different dates or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different prices), such U.S. Holder should consult its tax advisor with respect to the determination of the tax bases and/or holding periods of the shares of AVROBIO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tax opinions described above, if the merger does not qualify as a “reorganization” within the meaning of Section 368(a) of the Code, a U.S. Holder of Tectonic common stock who exchanges shares of Tectonic common stock for AVROBIO common stock generally would be required to recognize gain or loss equal to the difference, if any, between (i) the fair market value as of the effective time of the AVROBIO common stock received by such U.S. Holder and (ii) such U.S. Holder’s adjusted tax basis in the Tectonic common stock exchanged therefor. Such gain or loss would be capital gain or loss and generally would be long-term capital gain or loss if the U.S. Holder’s holding period for such shares of Tectonic common stock exceeds one year. Net short-term capital gain generally is taxed at regular ordinary income tax rates. Long-term capital gain recognized by non-corporate U.S. Holders may be taxed at reduced rates. The deductibility of capital losses is subject to limitations. In addition, if the merger does not qualify as a “reorganization” within the meaning of Section 368(a) of the Code, a U.S. Holder would have an aggregate tax basis in any AVROBIO common stock received in the merger that is equal to the fair market value of such AVROBIO common stock as of the effective time, and the holding period of such AVROBIO common stock would begin on the day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Assuming, consistent with the tax opinions described above, that the merger qualifies as a “reorganization” within the meaning of Section 368(a) of the Code, each U.S. Holder that is a “significant transferor” must include a statement on or with such transferor’s U.S. federal income tax return for the taxable year of the merger. For this purpose, a significant transferor is generally a person that transferred property to a corporation and received stock of the transferee corporation if, immediately after the exchange, such person (i) owns at least five percent (5%) (by vote or value) of the total outstanding stock of the transferee corporation if the stock owned by such person is publicly traded, or (ii) owned at least one percent (1%) (by vote or value) of the total outstanding stock of the transferee corporation if the stock owned by such person is not publicly traded. It is expected that the AVROBIO common stock will be publicly traded for this purpose.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MERGER IS FOR GENERAL INFORMATION PURPOSES ONLY AND IS NOT INTENDED TO BE, AND SHOULD NOT BE CONSTRUED AS, TAX ADVICE. DETERMINING THE ACTUAL TAX CONSEQUENCES OF THE MERGER TO YOU MAY BE COMPLEX AND WILL DEPEND ON YOUR SPECIFIC SITUATION AND ON FACTORS THAT ARE NOT WITHIN AVROBIO’S KNOWLEDGE OR CONTROL. YOU SHOULD CONSULT YOUR TAX ADVISORS WITH RESPECT TO THE APPLICATION OF U.S. FEDERAL INCOME TAX LAWS TO YOUR SPECIFIC SITUATION AS WELL AS ANY TAX CONSEQUENCES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bookmarkStart w:id="60" w:name="toc770053_57"/>
      <w:bookmarkEnd w:id="60"/>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AVROBIO common stock are currently listed on Nasdaq under the symbol “AVRO.” AVROBIO has agreed to use commercially reasonable efforts to cause the shares of AVROBIO common stock being issued in the merger to be approved for listing on Nasdaq at or prior to the effective time. It is a condition of the consummation of the merger that AVROBIO receive confirmation from Nasdaq that the combined company has been approved for listing on Nasdaq, but there can be no assurance such listing condition will be met or that AVROBIO will obtain such confirmation from Nasdaq by the date of the special meeting or at all. This condition is waivable but only to the extent permitted by law and only with the written waiver of each of AVROBIO, Tectonic and Merger Sub. In the event AVROBIO common stock to be issued in the merger is not approved for listing on Nasdaq, it is possible that AVROBIO, Tectonic and Merger Sub may mutually agree to waive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condition and nonetheless proceed with the completion of the merger. If such condition is waived, AVROBIO may not recirculate an updated proxy statement/prospectus or solicit a new vote of AVROBIO stockholders prior to proceeding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AVROBIO’s and Tectonic’s obligation to complete the merger is subject to the satisfaction or waiver by each of the parties, at or prior to the merger, of various conditions, including that the shares of AVROBIO common stock to be issued in the merger have been approved for listing (subject to official notice of issuance) on Nasdaq as of the closing of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accepted, AVROBIO anticipates that the common stock of the combined company will be listed on Nasdaq following the closing under the trading symbol “TECX.” In order for the Nasdaq listing application to be accepted, among other requirements, the combined company must maintain a minimum bid price of $4.00 per share over a 30-day trading period prior to listing, unless it effects a reverse stock split. </w:t>
      </w:r>
    </w:p>
    <w:p>
      <w:pPr>
        <w:pStyle w:val="TextBody"/>
        <w:bidi w:val="0"/>
        <w:spacing w:before="360" w:after="0"/>
        <w:jc w:val="left"/>
        <w:rPr>
          <w:rFonts w:ascii="Times New Roman" w:hAnsi="Times New Roman"/>
          <w:b/>
          <w:sz w:val="20"/>
        </w:rPr>
      </w:pPr>
      <w:bookmarkStart w:id="61" w:name="toc770053_58"/>
      <w:bookmarkEnd w:id="61"/>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(i) Tectonic’s equity holders will own a substantial majority of the voting rights in the combined company; (ii) Tectonic’s largest stockholder will retain the largest interest in the combined company; (iii) Tectonic will designate a majority of the initial members of the board of directors of the combined company; (iv) Tectonic’s executive management team will become the management of the combined company; and (v) the combined company will be renamed Tectonic Therapeutic, Inc. and will be headquartered in Massachusetts. As a result of Tectonic being treated as the accounting acquirer, Tectonic’s 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For periods prior to Closing, the historical financial statements of Tectonic shall become the historical financial statements of the combined company.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for additional information. </w:t>
      </w:r>
    </w:p>
    <w:p>
      <w:pPr>
        <w:pStyle w:val="TextBody"/>
        <w:bidi w:val="0"/>
        <w:spacing w:before="360" w:after="0"/>
        <w:jc w:val="left"/>
        <w:rPr>
          <w:rFonts w:ascii="Times New Roman" w:hAnsi="Times New Roman"/>
          <w:b/>
          <w:sz w:val="20"/>
        </w:rPr>
      </w:pPr>
      <w:bookmarkStart w:id="62" w:name="toc770053_59"/>
      <w:bookmarkEnd w:id="62"/>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AVROBIO stockholders are not entitled to appraisal rights in connection with the merger. Tectonic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Tectonic stockholders’ appraisal rights under Delaware law and is qualified in its entirety by reference to the text of the relevant provisions of Delaware law, which are attached as </w:t>
      </w:r>
      <w:r>
        <w:rPr>
          <w:rFonts w:ascii="Times New Roman" w:hAnsi="Times New Roman"/>
          <w:sz w:val="20"/>
          <w:u w:val="single"/>
        </w:rPr>
        <w:t>Annex K</w:t>
      </w:r>
      <w:r>
        <w:rPr>
          <w:rFonts w:ascii="Times New Roman" w:hAnsi="Times New Roman"/>
          <w:sz w:val="20"/>
        </w:rPr>
        <w:t xml:space="preserve"> in this proxy statement/prospectus. Stockholders intending to exercise appraisal rights should carefully review </w:t>
      </w:r>
      <w:r>
        <w:rPr>
          <w:rFonts w:ascii="Times New Roman" w:hAnsi="Times New Roman"/>
          <w:sz w:val="20"/>
          <w:u w:val="single"/>
        </w:rPr>
        <w:t>Annex K</w:t>
      </w:r>
      <w:r>
        <w:rPr>
          <w:rFonts w:ascii="Times New Roman" w:hAnsi="Times New Roman"/>
          <w:sz w:val="20"/>
        </w:rPr>
        <w:t xml:space="preserve">. Failure to follow precisely any of the statutory procedures set forth in </w:t>
      </w:r>
      <w:r>
        <w:rPr>
          <w:rFonts w:ascii="Times New Roman" w:hAnsi="Times New Roman"/>
          <w:sz w:val="20"/>
          <w:u w:val="single"/>
        </w:rPr>
        <w:t>Annex K</w:t>
      </w:r>
      <w:r>
        <w:rPr>
          <w:rFonts w:ascii="Times New Roman" w:hAnsi="Times New Roman"/>
          <w:sz w:val="20"/>
        </w:rPr>
        <w:t xml:space="preserve"> may result in a termination or waiver of these rights. This summary does not constitute legal or other advice, nor does it constitute a recommendation that Tectonic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 is completed, within ten days after the effective date, Tectonic will notify its stockholders that the merger has been approved, the effective date and that appraisal rights are available to any stockholder who has not approved the merger. Holders of shares of Tectonic capital stock who desire to exercise their appraisal rights must deliver a written demand for appraisal to Tectonic within 20 days after the date of mailing of that notice, and that stockholder must not have delivered a written consent approving the merger. A demand for appraisal must reasonably inform Tectonic of the identity of the stockholder and that such stockholder intends thereby to demand appraisal of the shares of Tectonic capital stock held by such stockholder. Failure to deliver a written consent approving the merger will not in and of itself constitute a written demand for appraisal satisfying the requirements of Section 262. All demands for appraisal should be addressed to c/o Tectonic Therapeutic, Inc., 490 Arsenal Way, Suite 210, Watertown, Massachusetts 02472, and should be executed by, or on behalf of, the record holder of shares of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TECTONIC WITHIN 20 DAYS AFTER THE DATE TECTONIC MAILS A NOTICE TO ITS STOCKHOLDERS NOTIFYING THEM THAT THE MERGER HAS BEEN APPROVED, THE EFFECTIVE DATE AND THAT APPRAISAL RIGHTS ARE AVAILABLE TO ANY STOCKHOLDER WHO HAS NOT APPROVED THE MERGER.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Tectonic capital stock as provided for in the Merger Agreement, but you will have no appraisal rights with respect to your shares of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Tectonic capital stock must be made by, or in the name of, the registered stockholder, fully and correctly, as the stockholder’s name appears on the stockholder’s stock certificate(s). Beneficial owners who do not also hold the shares of record may not directly make appraisal demands to Tectonic.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Tectonic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Tectonic. If, following a demand for appraisal, you have withdrawn your demand for appraisal in accordance with Section 262, you will have the right to receive the merger consideration for your shares of Tectonic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120 days after the effective date,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10 days after expiration of the period for delivery of demands for appraisal, whichever is later. Within 120 days after the effective date,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Tectonic,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this exclusion is a “narrow exclusion [that] does not encompass known elements of value,” but which rather applies only to the speculative elements of value arising from such accomplishment or expectation.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Tectonic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3" w:name="toc770053_60"/>
      <w:bookmarkEnd w:id="63"/>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w:t>
      </w:r>
      <w:r>
        <w:rPr>
          <w:rFonts w:ascii="Times New Roman" w:hAnsi="Times New Roman"/>
          <w:i/>
          <w:sz w:val="20"/>
          <w:u w:val="single"/>
        </w:rPr>
        <w:t>Annex A</w:t>
      </w:r>
      <w:r>
        <w:rPr>
          <w:rFonts w:ascii="Times New Roman" w:hAnsi="Times New Roman"/>
          <w:i/>
          <w:sz w:val="20"/>
        </w:rPr>
        <w:t xml:space="preserve"> and is incorporated by reference into this proxy statement/prospectus. The Merger Agreement has been attached to this proxy statement/prospectus to provide you with information regarding its terms. It is not intended to provide any other factual information about AVROBIO, Tectonic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AVROBIO and Merger Sub, on the one hand, and Tectonic,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AVROBIO and Tectonic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AVROBIO or Tectonic, because they were made as of specific dates, may be intended merely as a risk allocation mechanism between AVROBIO, Merger Sub and Tectonic and are modified by the disclosure schedules. </w:t>
      </w:r>
    </w:p>
    <w:p>
      <w:pPr>
        <w:pStyle w:val="TextBody"/>
        <w:bidi w:val="0"/>
        <w:spacing w:before="360" w:after="0"/>
        <w:jc w:val="left"/>
        <w:rPr>
          <w:rFonts w:ascii="Times New Roman" w:hAnsi="Times New Roman"/>
          <w:b/>
          <w:sz w:val="20"/>
        </w:rPr>
      </w:pPr>
      <w:bookmarkStart w:id="64" w:name="toc770053_61"/>
      <w:bookmarkEnd w:id="64"/>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AVROBIO formed by AVROBIO in connection with the merger, will merge with and into Tectonic, with Tectonic surviving as a wholly owned subsidiary of AVROBIO. </w:t>
      </w:r>
    </w:p>
    <w:p>
      <w:pPr>
        <w:pStyle w:val="TextBody"/>
        <w:bidi w:val="0"/>
        <w:spacing w:before="360" w:after="0"/>
        <w:jc w:val="left"/>
        <w:rPr>
          <w:rFonts w:ascii="Times New Roman" w:hAnsi="Times New Roman"/>
          <w:b/>
          <w:sz w:val="20"/>
        </w:rPr>
      </w:pPr>
      <w:bookmarkStart w:id="65" w:name="toc770053_62"/>
      <w:bookmarkEnd w:id="65"/>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Tectonic stockholders and the approval by the AVROBIO stockholders of the issuance of AVROBIO common stock and the other transactions proposed under the Merger Agreement, other than those conditions that by their nature are to be satisfied at the closing. The merger will become effective upon the filing of a certificate of merger with the Secretary of State of the State of Delaware or at such later time as is agreed by AVROBIO and Tectonic and specified in the certificate of merger. Neither AVROBIO nor Tectonic can predict the exact timing of the consummation of the merger. </w:t>
      </w:r>
    </w:p>
    <w:p>
      <w:pPr>
        <w:pStyle w:val="TextBody"/>
        <w:bidi w:val="0"/>
        <w:spacing w:before="360" w:after="0"/>
        <w:jc w:val="left"/>
        <w:rPr>
          <w:rFonts w:ascii="Times New Roman" w:hAnsi="Times New Roman"/>
          <w:b/>
          <w:sz w:val="20"/>
        </w:rPr>
      </w:pPr>
      <w:bookmarkStart w:id="66" w:name="toc770053_63"/>
      <w:bookmarkEnd w:id="66"/>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outstanding share of Tectonic common stock (including shares of Tectonic common stock issued upon conversion of Tectonic preferred stock as well as the private financing shares and the Company SAFEs) (excluding shares to be canceled pursuant to the Merger Agreement and excluding dissenting shares) will be automatically converted solely into the right to receive a number of shares of AVROBIO common stock equal to the product of the exchange ratio (described in more detail below) multiplied by each share of Tectonic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fractional shares of AVROBIO common stock will be issued in connection with the merger, and no certificates or scrip for any such fractional shares will be issued. Any fractional shares of AVROBIO common stock resulting from the conversion of shares of Tectonic common stock (including shares of Tectonic common stock issued upon conversion of Tectonic preferred stock as well as the private financing shares and the Company SAFEs) shall be issued as follows: (i) one share of AVROBIO common stock if the aggregate amount of fractional shares of AVROBIO common stock of any individual holder of Tectonic capital stock is entitled to receive is equal to or exceeds 0.50 or (ii) no shares of AVROBIO common stock if the aggregate amount of fractional shares of AVROBIO common stock of any individual holder of Tectonic capital stock is entitled to receive is less than 0.50, with no cash being paid for any fractional share eliminated by such rounding. </w:t>
      </w:r>
    </w:p>
    <w:p>
      <w:pPr>
        <w:pStyle w:val="TextBody"/>
        <w:bidi w:val="0"/>
        <w:spacing w:before="360" w:after="0"/>
        <w:jc w:val="left"/>
        <w:rPr>
          <w:rFonts w:ascii="Times New Roman" w:hAnsi="Times New Roman"/>
          <w:b/>
          <w:sz w:val="20"/>
        </w:rPr>
      </w:pPr>
      <w:bookmarkStart w:id="67" w:name="toc770053_64"/>
      <w:bookmarkEnd w:id="67"/>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AVROBIO and Tectonic securityholders a percentage of the combined company. Based on AVROBIO’s and Tectonic’s capitalization as of January 30, 2024, the date the Merger Agreement was executed, and certain other assumptions, the exchange ratio is estimated to be equal to approximately 0.74458326 shares of AVROBIO common stock. This estimate is subject to adjustment prior to the closing for net cash at the cash determination time (and as a result, AVROBIO securityholders could own more, and Tectonic securityholders could own less, or vice versa, of the combined company). AVROBIO management currently anticipates that AVROBIO’s net cash as of closing will be approximately $65.0 million to $75.0 million and therefore the exchange ratio is currently estimated to be approximately 0.74458326 (assuming (i) $65.0 million in AVROBIO’s net cash as of closing, (ii) a one-for-ten reverse stock split, and (iii) the private financings in Tectonic of $130.7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as part of the private financings, certain investors have agreed to purchase shares of Tectonic common stock at a purchase price equal to $12.39908 per share, subject to and immediately prior to the closing,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between the Subscription Agreement and the Company SAFEs of approximately $130.7 million.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and certain other assumptions, immediately following the completion of the merger and after giving effect to the private financings, AVROBIO securityholders would own approximately 22.3% of the capital stock of the combined company, former Tectonic securityholders are expected to own approximately 39.8% of the capital stock of the combined company and purchasers of AVROBIO common stock in the private financings are expected to represent approximately 38.0% of the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$65.0 million. There can be no assurances any of these assumptions will be accurate at closing when the final exchange ratio is determined. For more information on the private financings, please see the section titled “</w:t>
      </w:r>
      <w:r>
        <w:rPr>
          <w:rFonts w:ascii="Times New Roman" w:hAnsi="Times New Roman"/>
          <w:i/>
          <w:sz w:val="20"/>
        </w:rPr>
        <w:t>Agreements Related to the Merger—Subscription Agreement</w:t>
      </w:r>
      <w:r>
        <w:rPr>
          <w:rFonts w:ascii="Times New Roman" w:hAnsi="Times New Roman"/>
          <w:sz w:val="20"/>
        </w:rPr>
        <w:t xml:space="preserve">” beginning on page 264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eight decimal places) by dividing the Tectonic merger shares by the Tectonic outstanding shares, in which: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pPr>
            <w:r>
              <w:rPr/>
              <w:t>“</w:t>
            </w:r>
            <w:r>
              <w:rPr>
                <w:rFonts w:ascii="Times New Roman" w:hAnsi="Times New Roman"/>
                <w:sz w:val="20"/>
              </w:rPr>
              <w:t xml:space="preserve">aggregate valuation” means the sum of (i) the Tectonic valuation plus (ii) the AVROBIO valuation.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AVROBIO allocation percentage” means the quotient (expressed as a percentage and rounded to eight decimal places) determined by dividing (i) the AVROBIO valuation by (ii) the aggregate valuation.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pPr>
            <w:r>
              <w:rPr/>
              <w:t>“</w:t>
            </w:r>
            <w:r>
              <w:rPr>
                <w:rFonts w:ascii="Times New Roman" w:hAnsi="Times New Roman"/>
                <w:sz w:val="20"/>
              </w:rPr>
              <w:t xml:space="preserve">AVROBIO equity value” means $77,500,000.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AVROBIO outstanding shares” means, subject to the terms of the Merger Agreement (including, without limitation, the effects of the reverse stock split), the total number of shares of AVROBIO common stock outstanding immediately prior to the effective time, expressed on a fully-diluted and as-converted-to-AVROBIO common stock basis, and assuming, without limitation or duplication, (i) the issuance of shares of AVROBIO common stock in respect of all AVROBIO options, warrants or other rights to receive shares, whether conditional or unconditional, that will be outstanding as of immediately prior to the effective time, calculated on a treasury stock method basis, (ii) the settlement in shares of AVROBIO common stock of AVROBIO RSUs outstanding as of immediately prior to the effective time on a net settlement basis as provided in the Merger Agreement, and (iii) the exclusion of shares of AVROBIO common stock held immediately prior to the effective time by AVROBIO as treasury stock or in connection with any unallocated equity pool or by Tectonic, any of its subsidiaries or any subsidiary of AVROBIO. For clarity, none of the out-of-the-money AVROBIO stock options or performance based AVROBIO RSU for which the performance condition has not been met as of the effective time and no shares reserved for issuance under the 2024 Plan and the 2024 ESPP shall be included in the total number of shares of AVROBIO common stock outstanding for purposes of determining the AVROBIO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AVROBIO valuation” means (i) the AVROBIO equity value minus (ii) the lower AVROBIO net cash amount (if any) plus (iii) the Upper AVROBIO net cash amount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Tectonic allocation percentage” means the quotient (expressed as a percentage and rounded to eight decimal places) determined by subtracting (i) the AVROBIO allocation percentage from (ii) 100 percent.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Tectonic merger shares” means, subject to the terms of the Merger Agreement, the product determined by multiplying the (i) post-closing AVROBIO shares by (ii) the Tectonic allocation percentage.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pPr>
            <w:r>
              <w:rPr/>
              <w:t>“</w:t>
            </w:r>
            <w:r>
              <w:rPr>
                <w:rFonts w:ascii="Times New Roman" w:hAnsi="Times New Roman"/>
                <w:sz w:val="20"/>
              </w:rPr>
              <w:t xml:space="preserve">Tectonic equity value” means $140,000,000.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Tectonic outstanding shares” means, subject to the terms of the Merger Agreement, the total number of shares of Tectonic common stock outstanding immediately prior to the effective time, expressed on a fully-diluted and as-converted-to-Tectonic common stock basis (including, without limitation, after giving effect to the conversion of the Company SAFEs and the Tectonic preferred stock), and assuming, without limitation or duplication, (i) the inclusion of the private financing shares, (ii) the issuance of shares of Tectonic common stock in respect of all Tectonic options or other rights to receive shares, whether conditional or unconditional, that will be outstanding as of immediately prior to the effective time, calculated on a treasury stock method basis, and (iii) the exclusion of shares of Tectonic common stock held immediately prior to the effective time by Tectonic as treasury stock or in connection with any unallocated equity pool or by AVROBIO, any of its subsidiaries of any subsidiary of Tectonic.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pPr>
            <w:r>
              <w:rPr/>
              <w:t>“</w:t>
            </w:r>
            <w:r>
              <w:rPr>
                <w:rFonts w:ascii="Times New Roman" w:hAnsi="Times New Roman"/>
                <w:sz w:val="20"/>
              </w:rPr>
              <w:t xml:space="preserve">Tectonic valuation” means (i) the Tectonic equity value plus (ii) the actual proceeds from the private financings.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lower AVROBIO net cash amount” means, if AVROBIO’s net cash is less than the lower target AVROBIO net cash, then the amount, if any, that the target AVROBIO net cash exceed the AVROBIO net cash at closing.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pPr>
            <w:r>
              <w:rPr/>
              <w:t>“</w:t>
            </w:r>
            <w:r>
              <w:rPr>
                <w:rFonts w:ascii="Times New Roman" w:hAnsi="Times New Roman"/>
                <w:sz w:val="20"/>
              </w:rPr>
              <w:t xml:space="preserve">lower target AVROBIO net cash” means $64,500,000.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post-closing AVROBIO shares” means the quotient determined by dividing (i) the AVROBIO outstanding shares by (ii) the AVROBIO allocation percentage.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sz w:val="20"/>
              </w:rPr>
              <w:t xml:space="preserve">target AVROBIO net cash” means $65,000,000.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upper AVROBIO net cash amount” means, if AVROBIO net cash is greater than the upper target AVROBIO net cash, then the amount, if any, that the AVROBIO net cash exceeds the target AVROBIO net cash.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pPr>
            <w:r>
              <w:rPr/>
              <w:t>“</w:t>
            </w:r>
            <w:r>
              <w:rPr>
                <w:rFonts w:ascii="Times New Roman" w:hAnsi="Times New Roman"/>
                <w:sz w:val="20"/>
              </w:rPr>
              <w:t xml:space="preserve">upper target AVROBIO net cash” means $65,500,000. </w:t>
            </w:r>
          </w:p>
        </w:tc>
      </w:tr>
    </w:tbl>
    <w:p>
      <w:pPr>
        <w:pStyle w:val="TextBody"/>
        <w:bidi w:val="0"/>
        <w:spacing w:before="240" w:after="0"/>
        <w:jc w:val="left"/>
        <w:rPr>
          <w:rFonts w:ascii="Times New Roman" w:hAnsi="Times New Roman"/>
          <w:sz w:val="20"/>
        </w:rPr>
      </w:pPr>
      <w:r>
        <w:rPr>
          <w:rFonts w:ascii="Times New Roman" w:hAnsi="Times New Roman"/>
          <w:sz w:val="20"/>
        </w:rPr>
        <w:t>The estimated exchange ratio for purposes of the unaudited pro forma condensed combined financial information was derived on a fully-diluted basis as of January 29, 2024 using a stipulated value of Tectonic of approximately $140 million and of AVROBIO of approximately $77.5 million.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440 of this proxy statement/prospectus. </w:t>
      </w:r>
    </w:p>
    <w:p>
      <w:pPr>
        <w:pStyle w:val="TextBody"/>
        <w:bidi w:val="0"/>
        <w:spacing w:before="360" w:after="0"/>
        <w:jc w:val="left"/>
        <w:rPr>
          <w:rFonts w:ascii="Times New Roman" w:hAnsi="Times New Roman"/>
          <w:b/>
          <w:sz w:val="20"/>
        </w:rPr>
      </w:pPr>
      <w:bookmarkStart w:id="68" w:name="toc770053_65"/>
      <w:bookmarkEnd w:id="68"/>
      <w:r>
        <w:rPr>
          <w:rFonts w:ascii="Times New Roman" w:hAnsi="Times New Roman"/>
          <w:b/>
          <w:sz w:val="20"/>
        </w:rPr>
        <w:t xml:space="preserve">Calculation of AVROBIO’s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AVROBIO’s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cash and cash equivalents and marketable securities as of immediately prior to the closing and determined in accordance with GAAP, in a manner consistent with the manner in which such items were historically determined and in accordance with AVROBIO’s financial statements;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plus: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AVROBIO’s prepaid expenses and deposits of AVROBIO and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amounts of the transaction expenses payable by Tectonic pursuant to the Merger Agreement that are paid by AVROBIO or its subsidiaries prior to the closing;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certain cash payments actually required to be made by AVROBIO under its contractual obligations to the extent unpaid as of immediately prior to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unpaid liabilities as of the date of closing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AVROBIO’s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AVROBIO’s property, liabilities for taxes relating to the disposition of AVROBIO’s pre-closing assets, and any guarantees relating to each of the foregoing);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AVROBIO’s transaction expenses to the extent unpaid as of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unpaid cash cost of change in control payments, severance payments, bonus payments, retention or similar payments payable to AVROBIO’s employees (whether “single” or “double” trigger) (including, without limitation, (a) a reasonable estimate of payment or reimbursement by AVROBIO for continued coverage under any employee benefit plan in existence immediately prior to the closing (excluding any such plan contemplated by the Incentive Plan Proposal and the ESPP Proposal) and (b) including the employer portion of any employment, payroll, or similar taxes with respect to all such compensation);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related to AVROBIO or any of its subsidiaries’ payment obligations pursuant to any real estate leases;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premium (a) associated with obtaining a “tail policy” on AVROBIO’s existing directors’ and officers’ liability insurance policy and (b) the clinical trial liability insurance tail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taxes of AVROBIO and its subsidiaries for tax periods (or portions thereof) ending on or before the closing and which are accrued in accordance with GAAP as of immediately prior to the closing (unless otherwise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unpaid costs and expenses (including a reasonable estimate of any taxes) relating to the winding down of AVROBIO’s pre-closing business, which is either not to be held for sale after the date of closing or subject to the terms of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withholding and other taxes payable in connection with the distribution of any CVRs to any former AVROBIO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amounts paid prior to, or actually incurred as of, the closing not otherwise already reducing cash and cash equivalents, by AVROBIO as a result of any litigation against AVROBIO and/or its directors relating to the Merger Agreement or the transactions contemplated therein;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 of the IP Expense Fund (as defined in the CVR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AVROBIO will deliver to Tectonic a net cash schedule setting forth, in reasonable detail, AVROBIO’s good faith estimated calculation of its net cash at the cash determination time, prepared and certified by AVROBIO’s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the cash determination time (the last day of such period referred to as the response date), Tectonic will have the right to dispute any part of the net cash schedule by delivering a written notice to that effect to AVROBIO (referred to herein as a dispute notice). Any dispute notice will identify, in reasonable detail and, to the extent known, the nature and amounts of any proposed revisions to AVROBIO’s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If Tectonic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Tectonic’s dispute notice, any remaining disagreements will be referred to an independent auditor of recognized national standing mutually agreed upon by AVROBIO and Tectonic. The determination of the amount of net cash made by such auditor shall be final and binding on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AVROBIO’s net cash balance is subject to numerous factors, some of which are outside of AVROBIO’s control. The actual amount of net cash will depend significantly on the timing of the closing. In addition, the closing could be delayed if AVROBIO and Tectonic are not able to agree upon the amount of AVROBIO’s net cash as of the cash determination time. </w:t>
      </w:r>
    </w:p>
    <w:p>
      <w:pPr>
        <w:pStyle w:val="TextBody"/>
        <w:bidi w:val="0"/>
        <w:spacing w:before="360" w:after="0"/>
        <w:jc w:val="left"/>
        <w:rPr>
          <w:rFonts w:ascii="Times New Roman" w:hAnsi="Times New Roman"/>
          <w:b/>
          <w:sz w:val="20"/>
        </w:rPr>
      </w:pPr>
      <w:bookmarkStart w:id="69" w:name="toc770053_66"/>
      <w:bookmarkEnd w:id="69"/>
      <w:r>
        <w:rPr>
          <w:rFonts w:ascii="Times New Roman" w:hAnsi="Times New Roman"/>
          <w:b/>
          <w:sz w:val="20"/>
        </w:rPr>
        <w:t xml:space="preserve">Treatment of Tectonic Options and the Tectonic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Tectonic common stock that is outstanding and unexercised immediately prior to the effective time, whether or not vested, will be assumed and converted into an option to purchase shares of AVROBIO common stock. Accordingly, from and after the effective time: (i) each outstanding Tectonic stock option assumed by AVROBIO may be exercised solely for shares of AVROBIO common stock; (ii) the number of shares of AVROBIO common stock subject to each outstanding Tectonic stock option assumed by AVROBIO will be determined by multiplying (A)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Tectonic common stock that were subject to such Tectonic stock option assumed by AVROBIO, as in effect immediately prior to the effective time, by (B) the exchange ratio, and rounding the resulting number down to the nearest whole number of shares of AVROBIO common stock; and (iii) the per share exercise price of each Tectonic stock option assumed by AVROBIO will be determined by dividing (A) the per share exercise price of such Tectonic stock option, as in effect immediately prior to the effective time, by (B) the exchange ratio and rounding the resulting exercise price up to the nearest whole cent. Each Tectonic stock option assumed by AVROBIO will otherwise continue in full force and effect and the term, exercisability, vesting schedule, acceleration rights and other terms and conditions of such Tectonic stock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AVROBIO will assume the Tectonic Equity Incentive Plan. Each Tectonic stock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AVROBIO common stock subsequent to the effective time. In addition, the AVROBIO Compensation Committee will succeed to the authority and responsibility of the Tectonic Board as administrator of the Tectonic Equity Incentive Plan. </w:t>
      </w:r>
    </w:p>
    <w:p>
      <w:pPr>
        <w:pStyle w:val="TextBody"/>
        <w:bidi w:val="0"/>
        <w:spacing w:before="360" w:after="0"/>
        <w:jc w:val="left"/>
        <w:rPr>
          <w:rFonts w:ascii="Times New Roman" w:hAnsi="Times New Roman"/>
          <w:b/>
          <w:sz w:val="20"/>
        </w:rPr>
      </w:pPr>
      <w:bookmarkStart w:id="70" w:name="toc770053_67"/>
      <w:bookmarkEnd w:id="70"/>
      <w:r>
        <w:rPr>
          <w:rFonts w:ascii="Times New Roman" w:hAnsi="Times New Roman"/>
          <w:b/>
          <w:sz w:val="20"/>
        </w:rPr>
        <w:t xml:space="preserve">Treatment of AVROBIO Common Stock, AVROBIO Options and AVROBIO RSUs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AVROBIO common stock issued and outstanding at the time of the merger will remain issued and outstanding, and, subject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(i) each AVROBIO in-the-money option that is outstanding immediately prior to the effective time that is held by a current AVROBIO employee, director, or consultant of AVROBIO as of the date of the Merger Agreement will be accelerated in full effective as of the effective time and (ii) each AVROBIO in-the-money option that is unexpired, unexercised and outstanding as of immediately prior to the effective time and is held by a current AVROBIO employee, director or consultant as of the date of the execution of the Merger Agreement who is a signatory to a lock-up agreement, will survive the closing and remain outstanding and exercisable until six months after the expiration of the applicable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Further, the Merger Agreement provides that (A) each Specified Option held by a current employee, director, or consultant of AVROBIO as of the date of the Merger Agreement will be accelerated in full effective as of immediately prior to the effective time, and (B) each Specified Option that is unexpired, unexercised, and outstanding as of immediately prior to the effective time and is held by a current employee, director or consultant of AVROBIO as of the date of the Merger Agreement who is or will be party to a lock-up agreement will remain outstanding and exercisable until six months after the expiration of the applicable Restricted Period (as defined in the signatory’s respective lock-up agreement). The Specified Options are certain out-of-the-money options held by certain members of AVROBIO management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AVROBIO RSU that vests solely on the basis of time will be accelerated in full as of immediately prior to the effective time, contingent on the occurrence of the merger. In addition, the Merger Agreement provides that for each outstanding and unsettled AVROBIO RSU that vests solely on the basis of time (including any AVROBIO RSUs accelerated in connection with this merger), the holder will receive, immediately prior to the effective time, a number of shares of AVROBIO common stock equal to the number of vested and unsettled shares underlying such AVROBIO RSUs (less a number of shares of AVROBIO common stock equal to the tax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AVROBIO common stock underlying such options and RSUs and the exercise prices for such stock options will be appropriately adjusted to reflect the proposed reverse stock split. </w:t>
      </w:r>
    </w:p>
    <w:p>
      <w:pPr>
        <w:pStyle w:val="TextBody"/>
        <w:bidi w:val="0"/>
        <w:spacing w:before="360" w:after="0"/>
        <w:jc w:val="left"/>
        <w:rPr>
          <w:rFonts w:ascii="Times New Roman" w:hAnsi="Times New Roman"/>
          <w:b/>
          <w:sz w:val="20"/>
        </w:rPr>
      </w:pPr>
      <w:bookmarkStart w:id="71" w:name="toc770053_68"/>
      <w:bookmarkEnd w:id="71"/>
      <w:r>
        <w:rPr>
          <w:rFonts w:ascii="Times New Roman" w:hAnsi="Times New Roman"/>
          <w:b/>
          <w:sz w:val="20"/>
        </w:rPr>
        <w:t xml:space="preserve">Procedures for Exchanging Tectonic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AVROBIO and Tectonic will jointly select an exchange agent and, at the effective time, AVROBIO will deposit with the exchange agent evidence of book-entry shares representing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AVROBIO common stock issuable pursuant to the terms of the Merger Agreement in exchange for shares of Tectonic common stock (after giving effect to the conversion of the Company SAFEs and the Tectonic preferred stock and assuming the inclusion of the private financing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transmit to each record holder of Tectonic common stock of Tectonic preferred stock that were converted into the right to receive the merger consideration: (i) a letter of transmittal and (ii) instructions for surrendering the record holder’s stock certificates, or uncertificated shares, in exchange for book-entry shares of AVROBIO common stock.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AVROBIO, the record holder of such stock certificates or book-entry shares, as applicable, will be entitled to receive in exchange therefor book-entry shares representing the number of whole shares of AVROBIO common stock issuable to such holder pursuant to the Merger Agreement. The surrendered certificates representing shares of Tectonic common stock or Tectonic preferred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Tectonic common stock or Tectonic preferred stock that has not been surrendered will represent only the right to receive book-entry shares of AVROBIO common stock issuable pursuant to the Merger Agreement to which the holder of any such certificate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TECTONIC COMMON STOCK OR TECTONIC PREFERRED STOCK SHOULD NOT SEND IN THEIR TECTONIC STOCK CERTIFICATES UNTIL THEY RECEIVE A LETTER OF TRANSMITTAL FROM THE EXCHANGE AGENT WITH INSTRUCTIONS FOR THE SURRENDER OF TECTONIC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AVROBIO who will not continue as directors or officers of the combined company following the consummation of the merger will resign effective as of the closing. Effective as of the effective time, the board of directors of the combined company will consist of a total of six directors, one of whom will be designated by AVROBIO and five of whom will be designated by Tectonic. AVROBIO has designated Phillip Donenberg to serve as a member of the board of directors of the combined company, and Tectonic has designated Terrance McGuire, Alise Reicin, Timothy A. Springer, Praveen Tipirneni and Stefan Vitorovic to serve as members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the executive officers of the combined company will be as follows: Alise Reicin M.D., Chief Executive Officer; Christian Cortis, Ph.D., Chief Operating Officer and Chief Financial Officer; Peter McNamara, Ph.D., Chief Scientific Officer; Marcella K. Ruddy, M.D., Chief Medical Officer; and Marc Schwabish, Ph.D., Chief Business Officer. </w:t>
      </w:r>
    </w:p>
    <w:p>
      <w:pPr>
        <w:pStyle w:val="TextBody"/>
        <w:bidi w:val="0"/>
        <w:spacing w:before="360" w:after="0"/>
        <w:jc w:val="left"/>
        <w:rPr>
          <w:rFonts w:ascii="Times New Roman" w:hAnsi="Times New Roman"/>
          <w:b/>
          <w:sz w:val="20"/>
        </w:rPr>
      </w:pPr>
      <w:bookmarkStart w:id="72" w:name="toc770053_69"/>
      <w:bookmarkEnd w:id="72"/>
      <w:r>
        <w:rPr>
          <w:rFonts w:ascii="Times New Roman" w:hAnsi="Times New Roman"/>
          <w:b/>
          <w:sz w:val="20"/>
        </w:rPr>
        <w:t xml:space="preserve">Amendment of the Amended and Restated Certificate of Incorporation of AVROBIO </w:t>
      </w:r>
    </w:p>
    <w:p>
      <w:pPr>
        <w:pStyle w:val="TextBody"/>
        <w:bidi w:val="0"/>
        <w:spacing w:before="120" w:after="0"/>
        <w:jc w:val="left"/>
        <w:rPr>
          <w:rFonts w:ascii="Times New Roman" w:hAnsi="Times New Roman"/>
          <w:sz w:val="20"/>
        </w:rPr>
      </w:pPr>
      <w:r>
        <w:rPr>
          <w:rFonts w:ascii="Times New Roman" w:hAnsi="Times New Roman"/>
          <w:sz w:val="20"/>
        </w:rPr>
        <w:t xml:space="preserve">AVROBIO agreed to amend its amended and restated certificate of incorporation to (i) effect the proposed reverse stock split and (ii) effect the officer exculpation, each as contemplated in the Merger Agreement. Approval of the amendment to effect the proposed reverse stock split requires the affirmative vote of a majority of the votes properly cast by the holders of AVROBIO common stock entitled to vote at the special meeting, assuming a quorum is present. Approval of the amendment to effect the officer exculpation requires the affirmative vote of a majority of the outstanding shares of AVROBIO common stock entitled to vote at the special meeting. The merger is conditioned upon the approval of the Reverse Stock Split Proposal (or the waiver thereof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Copies of the proposed forms of certificate of amendment to the AVROBIO charter to effect the reverse stock split and the officer exculpation are attached as Annex G and Annex H to this proxy statement/prospectus,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3" w:name="toc770053_70"/>
      <w:bookmarkEnd w:id="73"/>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AVROBIO and Tectonic for a transaction of this type relating to, among other things: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10"/>
        <w:gridCol w:w="60"/>
        <w:gridCol w:w="1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non-contravention of organizational documents, certain laws, governmental authorizations or certain contracts of the parties;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AVROBIO, documents filed with the SEC and the accuracy of information contained in those documents;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violation, default or breach of such contracts;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10"/>
        <w:gridCol w:w="60"/>
        <w:gridCol w:w="2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fees;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AVROBIO, the valid issuance in the merger of AVROBIO common stock;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110"/>
        <w:gridCol w:w="60"/>
        <w:gridCol w:w="1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and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sanctions with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in any event will not survive the merger, but their accuracy forms the basis of one of the conditions to the obligations of AVROBIO and Tectonic to complete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74" w:name="toc770053_71"/>
      <w:bookmarkEnd w:id="74"/>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 has agreed that, except as permitted by the Merger Agreement, as required by law, or unless Tectonic has provided written consent, during the period commencing on the date of the Merger Agreement and continuing until the earlier to occur of the effective time and the termination of the Merger Agreement, AVROBIO and its subsidiaries will use commercially reasonable efforts to (i) conduct their business and operations in the ordinary course consistent with past practices and in compliance with all applicable laws, regulations and certain contracts and (ii) continue to pay outstanding accounts payable and other material liabilities (including payroll) when due and payable. AVROBIO has also agreed that, subject to certain limited exceptions, without the consent of Tectonic, it will not, and will not cause or permit any of its subsidiaries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AVROBIO common stock from terminated employees, directors or consultants of AVROBIO);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AVROBIO common stock issued upon the valid exercise of outstanding AVROBIO options or AVROBIO RSUs, as applicable);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AVROBIO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including equity awards plans; cause or permit any such agreement, plan or arrangement to be amended other than as required by law or in order to make amendments for purposes of Section 409A of the Code; pay any bonus or make any profit-sharing or similar payment to, or increase the amount of the wages, salary, commissions, fringe benefits or other compensation or remuneration payable to, any of its directors, officers or employees; increase or amend the severance or change of control benefits offered to any current or new employees, directors or consultants; or hire any officer or employee; provided, however, that consultants may be retained on terms permitting termination by AVROBIO without notice to provide supplemental support services, as reasonably may be needed by AVROBIO, or to fill vacancies to the extent such positions are existing as of the date of the Merger Agreement and which vacancies occur after the date of the Merger Agreement;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enter into any material tax closing agreement or settle any material tax claim or assessment (other than as a result of any extension to file a tax return that is automatically granted); or apply for or surrender any claim for tax refund;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AVROBIO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AVROBIO or its subsidiaries, taken as a whole, or any equitable relief on, or the admission of wrongdoing by AVROBIO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any such accounts payable or accrued expenses need not be paid if the validity or amount thereof shall at the time be contested in good faith);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materially change pricing or royalties or other payments set or charged by AVROBIO or any of subsidiaries to its customers or licensees or (B) agree to materially change pricing or royalties or other payments set or charged by persons who have licensed intellectual property to AVROBIO or any of subsidiaries;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any of AVROBIO’s material contracts;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AVROBIO may engage in the sale, license, transfer, disposition, divestiture or other monetization transaction and/or winding down of AVROBIO’s business or operations as they exist prior to the closing or the sale, license, transfer, disposition, divestiture or other monetization transaction or other disposition of any of AVROBIO’s pre-closing assets (each, an “AVROBIO pre-closing transaction”), including entering into contracts or amending or terminating contracts. </w:t>
      </w:r>
    </w:p>
    <w:p>
      <w:pPr>
        <w:pStyle w:val="TextBody"/>
        <w:bidi w:val="0"/>
        <w:spacing w:before="240" w:after="0"/>
        <w:jc w:val="left"/>
        <w:rPr>
          <w:rFonts w:ascii="Times New Roman" w:hAnsi="Times New Roman"/>
          <w:sz w:val="20"/>
        </w:rPr>
      </w:pPr>
      <w:r>
        <w:rPr>
          <w:rFonts w:ascii="Times New Roman" w:hAnsi="Times New Roman"/>
          <w:sz w:val="20"/>
        </w:rPr>
        <w:t xml:space="preserve">Tectonic has agreed that, except as permitted by the Merger Agreement, as required by law, or unless AVROBIO shall have provided written consent, during the period commencing on the date of the Merger Agreement and continuing until the earlier to occur of the effective time and the termination of the Merger Agreement, Tectonic will use commercially reasonable efforts to conduct its business and operations in the ordinary course consistent with past practices and in compliance with all applicable laws, regulations and certain contracts. Tectonic has also agreed that, subject to certain limited exceptions, without the consent of AVROBIO, it will not, and will not cause or permit its subsidiary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Tectonic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any of the foregoing actions with respect to any capital stock or other security of Tectonic or its subsidiaries (except for shares of outstanding Tectonic common stock issued upon the valid exercise or settlement of Tectonic options in accordance with their terms as in effect as of the date of the Merger Agreement); any option, warrant or right to acquire any capital stock or any other security (except for options issued to new hires in accordance with the terms of the Merger Agreement); or any instrument convertible into or exchangeable for any capital stock or other security of Tectonic or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in excess of $500,000;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 establish or enter into certain agreements, plans or arrangements relating to employment or benefits matters, including equity awards plans; cause or permit any such agreements, plans or arrangements to be amended other than as required by law or in order to make amendments for the purposes of compliance with Section 409A of the Code; pay any bonus or make any profit-sharing or similar payment to or increase or amend the amount of the wages, salary, commissions, fringe benefits or other compensation or remuneration payable to, any of its directors, officers or employees; increase or amend the severance or change of control benefits offered to any of its current or new directors, employees or consultants; or hire or engage any officer or employee;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encumbrance with respect to such assets or properties in excess of $250,000, except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rights owned by Tectonic , other than pursuant to non-exclusive licenses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tax return; adopt or change any material accounting method in respect of taxes; enter into any material tax closing agreement or settle any material tax claim or assessment; consent to any extension or waiver of the limitation period applicable to or relating to any material tax claim or assessment (other than as a result of any extension to file a tax return that is automatically granted); or apply for or surrender any claim for tax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Tectonic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Tectonic or its subsidiaries, taken as a whole, any equitable relief on, or the admission of wrongdoing by Tectonic or any of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such accounts payable or accrued expenses need not be paid if the validity or amount shall at the time be contested in good faith);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with respect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Tectonic or its subsidiaries to its customers or licensees or agree to materially change pricing or royalties or other payments set or charged by persons or entities who have licensed intellectual property to Tectonic or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 Tectonic material contract, except in the ordinary course of business in a manner that would not require AVROBIO’s consent pursuant to the Merger Agreement, and would not reasonably be expected to prevent or to materially impede or delay the consummation of the transactions contemplated by the Merger Agreement;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also provides that notwithstanding the covenants on Tectonic described above, beginning on or after June 1, 2024, Tectonic will be able to draw down on the private financing amounts, in no event exceeding $25,000,000 in the aggregate, for purposes of funding general operating expenses of Tectonic in the ordinary course of business (for the avoidance of doubt in accordance with Tectonic’s obligations pursuant to Section 5.2(b) of the Merger Agreement). </w:t>
      </w:r>
    </w:p>
    <w:p>
      <w:pPr>
        <w:pStyle w:val="TextBody"/>
        <w:bidi w:val="0"/>
        <w:spacing w:before="360" w:after="0"/>
        <w:jc w:val="left"/>
        <w:rPr>
          <w:rFonts w:ascii="Times New Roman" w:hAnsi="Times New Roman"/>
          <w:b/>
          <w:sz w:val="20"/>
        </w:rPr>
      </w:pPr>
      <w:bookmarkStart w:id="75" w:name="toc770053_72"/>
      <w:bookmarkEnd w:id="75"/>
      <w:r>
        <w:rPr>
          <w:rFonts w:ascii="Times New Roman" w:hAnsi="Times New Roman"/>
          <w:b/>
          <w:sz w:val="20"/>
        </w:rPr>
        <w:t xml:space="preserve">CVRs </w:t>
      </w:r>
    </w:p>
    <w:p>
      <w:pPr>
        <w:pStyle w:val="TextBody"/>
        <w:bidi w:val="0"/>
        <w:spacing w:before="120" w:after="0"/>
        <w:jc w:val="left"/>
        <w:rPr>
          <w:rFonts w:ascii="Times New Roman" w:hAnsi="Times New Roman"/>
          <w:sz w:val="20"/>
        </w:rPr>
      </w:pPr>
      <w:r>
        <w:rPr>
          <w:rFonts w:ascii="Times New Roman" w:hAnsi="Times New Roman"/>
          <w:sz w:val="20"/>
        </w:rPr>
        <w:t>Prior to the effective time, AVROBIO will declare a distribution to its common stockholders of record as of immediately prior to the effective time (including the holders of shares of AVROBIO common stock issued upon settlement of the AVROBIO RSUs) of the right to receive one CVR for each outstanding share of AVROBIO common stock held by such stockholder as of such date. Each CVR will entitle the holder of the CVR to receive certain net proceeds (as defined in the CVR Agreement), if any, received within a 10-year period following the closing (the “CVR Term”) in connection with an AVROBIO disposition (including a license) of AVROBIO pre-closing assets; provided that no contingent payment will be payable to any holder of the CVRs until such time as the then-outstanding and undistributed proceeds exceeds $350,000 in the aggregate, subject to and in accordance with the terms and conditions of, the CVR Agreement, discussed in greater detail under the section titled “</w:t>
      </w:r>
      <w:r>
        <w:rPr>
          <w:rFonts w:ascii="Times New Roman" w:hAnsi="Times New Roman"/>
          <w:i/>
          <w:sz w:val="20"/>
        </w:rPr>
        <w:t>Agreements Related to the Merger—CVR Agreement</w:t>
      </w:r>
      <w:r>
        <w:rPr>
          <w:rFonts w:ascii="Times New Roman" w:hAnsi="Times New Roman"/>
          <w:sz w:val="20"/>
        </w:rPr>
        <w:t xml:space="preserve">” beginning on page 266 of this proxy statement/prospectus. The record date for such distribution will be immediately prior to the effective time (including holders of shares of AVROBIO common stock issued upon settlement of the AVROBIO RSUs) occurs and the payment date will be three business days after the effective time; provided that the payment of such distribution may be conditioned upon the occurrence of the effective time. In connection with such distribution, AVROBIO will cause the CVR Agreement to be duly authorized, executed and delivered by AVROBIO and a rights agent jointly selected by AVROBIO and Tectonic. </w:t>
      </w:r>
    </w:p>
    <w:p>
      <w:pPr>
        <w:pStyle w:val="TextBody"/>
        <w:bidi w:val="0"/>
        <w:spacing w:before="240" w:after="0"/>
        <w:jc w:val="left"/>
        <w:rPr>
          <w:rFonts w:ascii="Times New Roman" w:hAnsi="Times New Roman"/>
          <w:sz w:val="20"/>
        </w:rPr>
      </w:pPr>
      <w:r>
        <w:rPr>
          <w:rFonts w:ascii="Times New Roman" w:hAnsi="Times New Roman"/>
          <w:sz w:val="20"/>
        </w:rPr>
        <w:t xml:space="preserve">AVROBIO will pay all costs and fees associated with any action contemplated by the CVR Agreement. </w:t>
      </w:r>
    </w:p>
    <w:p>
      <w:pPr>
        <w:pStyle w:val="TextBody"/>
        <w:bidi w:val="0"/>
        <w:spacing w:before="360" w:after="0"/>
        <w:jc w:val="left"/>
        <w:rPr>
          <w:rFonts w:ascii="Times New Roman" w:hAnsi="Times New Roman"/>
          <w:b/>
          <w:sz w:val="20"/>
        </w:rPr>
      </w:pPr>
      <w:bookmarkStart w:id="76" w:name="toc770053_73"/>
      <w:bookmarkEnd w:id="76"/>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AVROBIO and Tectonic have agreed that, except as described below, AVROBIO and Tectonic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or submission of, any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(other than to inform any person of the existence of the provisions of the Merger Agreement) with any person with respect to any Acquisition Proposal or Acquisition Inquiry;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(subject to certain exceptions); or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resolve or agree to do any of the foregoing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Tectonic, on the one hand, or AVROBIO on the other hand, to the other party) that could reasonably be expected to lead to an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contemplating or otherwise relating to any Acquisition Transaction with such party.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with respect to a party, any transaction or series of related transactions (other than the transactions contemplated by the Merger Agreement, and with respect to AVROBIO, a sale, license, transfer, disposition, divestiture or other transaction and/or winding down of AVROBIO’s business or operations as they exist prior to the closing or the sale, license, transfer, disposition, divestiture or other monetization transaction or other disposition of AVROBIO’s pre-closing assets) involving: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or acquisition of securities, reorganization, recapitalization, tender offer, exchange offer or similar transaction: (i) in which AVROBIO, Tectonic or Merger Sub is a constituent entity, (ii) in which any individual, entity, governmental entity, or “group,” as defined under applicable securities laws, directly or indirectly acquires beneficial or record ownership of securities representing 20% or more of the outstanding securities of AVROBIO common stock, in the case of AVROBIO, or Tectonic common stock in the case of Tectonic or (iii) in which AVROBIO, Tectonic or Merger Sub or any of their respective subsidiaries issues securities representing more than 20% of the outstanding securities of AVROBIO common stock, in the case of AVROBIO or Tectonic common stock in the case of Tectonic;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fair market value of the assets of AVROBIO, Tectonic or Merger Sub and their respective subsidiaries, as applicable, taken as a whole (as determined by such party’s board of directors or a committee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transactions, series of related transactions, agreement or discussion entered into or proposed to enter into by Tectonic for purposes of raising capital that is otherwise in accordance with the Merger Agreement will not be deemed an Acquisition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AVROBIO stockholders or Tectonic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(or committee thereof)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such party nor any representative of such party has breached the non-solicitation provisions of the Merger Agreement described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(or committee thereof) concludes in good faith, based on the advice of outside legal counsel, that the failure to take such action would be inconsistent with the fiduciary duties of such board of directors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furnishing any non-public information such party receives from the third party an executed confidentiality agreement containing provisions at least as favorable to such party as those contained in the confidentiality agreement between AVROBIO and Tectonic;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simultaneous with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70% for these purposes) that (a) was not obtained or made as a result of a breach, or in violation, of the non-solicitation provisions by AVROBIO, (b) is on terms and conditions that the board of directors of the party (or committee thereof) receiving the offer determines in good faith, based on such matters that it deems relevant (including the likelihood of consummation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and the financing terms thereof), as well as any binding written offer by the other party to the Merger Agreement to amend the terms of the Merger Agreement, and following consultation with its outside legal counsel and financial advisors, if any, it deems are more favorable, from a financial point of view, to that party’s stockholders than the terms of the transactions contemplated by the Merger Agreement, (c) is not subject to any debt financing conditions (and if debt financing is required, such financing is then fully committed to the third party) and (d) is reasonably capable of being completed on the terms proposed.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becomes aware of such Acquisition Proposal or Acquisition Inquiry) advise the other party in writing of such Acquisition Proposal or Acquisition Inquiry,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bookmarkStart w:id="77" w:name="toc770053_74"/>
      <w:bookmarkEnd w:id="77"/>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AVROBIO agreed that the AVROBIO Board will recommend that the holders of AVROBIO common stock vote to approve Proposal Nos. 1 and 2 (the “AVROBIO Board recommendation”) and that the AVROBIO Board will also recommend that the holders of AVROBIO common stock vote to approve Proposal No. 3, Proposal No. 4 and Proposal No. 5 (the “Second AVROBIO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at any time prior to the approval of Proposal Nos. 1 and 2 by the necessary vote of AVROBIO stockholders (the “required AVROBIO stockholder vote”), if AVROBIO has received a Superior Offer, the AVROBIO Board may withhold, amend, withdraw or modify (or publicly propose to withhold, amend, withdraw or modify) the AVROBIO Board recommendation in a manner adverse to Tectonic (a “AVROBIO Board adverse recommendation change”) approve, endorse or recommend an Acquisition Proposal that constitutes a Superior Offer or enter into any agreement or other contract contemplating or otherwise relating to an Acquisition Proposal that constitutes a Superior Offer, if, but only if, following the receipt of and on account of such Superior Offer: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(or committee thereof) determines in good faith, after consultation with its outside legal counsel, that the failure to make a AVROBIO Board adverse recommendation change would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has, and has caused its financial advisors and outside legal counsel to, during the required four business day notice period, negotiated with Tectonic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Tectonic has delivered to AVROBIO a written offer to alter the terms or conditions of the Merger Agreement during the required four business day notice period, the AVROBIO Board (or committee thereof) has determined in good faith, after consultation with its outside legal counsel, that the failure to make a AVROBIO Board adverse recommendation change would be inconsistent with its fiduciary duties under applicable law (after taking into account such alterations of the terms and conditions of the Merger Agreement); provided that (x) Tectonic receives written notice from AVROBIO confirming that the AVROBIO Board has determined to change its recommendation during the required notice period, which notice must include a description in reasonable detail of the reasons for such AVROBIO Board adverse recommendation change, and written copies of any relevant proposed transaction agreements with any party making a potential Superior Offer, (y) during any required four business day notice period, Tectonic will be entitled to deliver to AVROBIO one or more counterproposals to such Acquisition Proposal and AVROBIO will, and will cause its representatives to, negotiate with Tectonic in good faith (to the extent Tectonic desires to negotiate) to make such adjustments in the terms and conditions of the Merger Agreement, to attempt to make the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Proposal ceases to constitute a Superior Offer and (z) in the event of any material amendment to any Superior Offer (including any revision in the amount, form or mix of consideration that AVROBIO stockholders would receive as a result of such potential Superior Offer), AVROBIO will be required to provide Tectonic with notice of such material amendment and the required four business day notice period will be extended, if applicable, to ensure that at least three business days remain in the required four business day notice period following such notification during which the parties must comply again with the requirements in this provision and the AVROBIO Board must not make a AVROBIO Board adverse recommendation change prior to the end of such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occurrence of an AVROBIO Board adverse recommendation change, the AVROBIO stockholders that have signed support agreements are not released from their support agreement obligations by virtue of any AVROBIO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at any time prior to the receipt of the required AVROBIO stockholder vote, the AVROBIO board may withhold, amend, withdraw or modify the Second AVROBIO Board recommendation in its exercise of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Tectonic agreed that the Tectonic Board will recommend to it stockholders to vote to adopt and approve the Merger Agreement and the transactions contemplated therein (the “Tectonic Board recommendation”) and will not withhold, amend, withdraw or modify (or publicly propose to withhold, amend, withdraw or modify) the recommendation of the Tectonic Board in a manner adverse to AVROBIO (the “Tectonic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at any time prior to the approval and adoption of the Merger Agreement by the necessary vote of Tectonic stockholders, if Tectonic has received a Superior Offer, the Tectonic Board may make a Tectonic Board adverse recommendation change if, but only if, but only if, following the receipt of and on account of such Superior Offer: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 (or committee thereof) determines in good faith, after consultation with its outside legal counsel, that the failure to make a Tectonic Board adverse recommendation change would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has, and has caused its financial advisors and outside legal counsel to, during the required four business day notice period, negotiate with AVROBIO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AVROBIO has delivered to Tectonic a written offer to alter the terms or conditions of the Merger Agreement during the required notice period, the Tectonic Board (or a committee thereof) has determined in good faith, after consultation with its outside legal counsel, that the failure to make a Tectonic Board adverse recommendation change would be inconsistent with its fiduciary duties under applicable law (after taking into account such alterations of the terms and conditions of the Merger Agreement); provided that (x) AVROBIO receives written notice from Tectonic confirming that the Tectonic Board has determined to change its recommendation at least four business days in advance of the Tectonic Board adverse recommendation change, which notice must include a description in reasonable detail of the reasons for such Tectonic Board adverse recommendation change, and written copies of any relevant proposed transaction agreements with any party making a potential Superior Offer, (y) during any required four business day notice period, AVROBIO will be entitled to deliver to Tectonic one or more counterproposals to such Acquisition Proposal and Tectonic will, and will cause its representatives to, negotiate with AVROBIO in good faith (to the extent AVROBIO desires to negotiate) to make such adjustments in the terms and conditions of Merger Agreement, to attempt to make the applicable Acquisition Proposal ceases to constitute a Superior Offer and (z) in the event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material amendment to any Superior Offer (including any revision in the amount, form or mix of consideration the Tectonic stockholders would receive as a result of such potential Superior Offer), Tectonic will be required to provide AVROBIO with notice of such material amendment and the required four business day notice period will be extended, if applicable, to ensure that at least three business days remain in the required four business day notice period following such notification during which the parties must comply again with the requirements in this provision and the Tectonic Board will not make a Tectonic Board adverse recommendation change prior to the end of such required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occurrence of an Tectonic Board adverse recommendation change, the Tectonic stockholders that have signed support agreements are not released from their support agreement obligations by virtue of any Tectonic Board adverse recommendation change. </w:t>
      </w:r>
    </w:p>
    <w:p>
      <w:pPr>
        <w:pStyle w:val="TextBody"/>
        <w:bidi w:val="0"/>
        <w:spacing w:before="360" w:after="0"/>
        <w:jc w:val="left"/>
        <w:rPr>
          <w:rFonts w:ascii="Times New Roman" w:hAnsi="Times New Roman"/>
          <w:b/>
          <w:sz w:val="20"/>
        </w:rPr>
      </w:pPr>
      <w:bookmarkStart w:id="78" w:name="toc770053_75"/>
      <w:bookmarkEnd w:id="78"/>
      <w:r>
        <w:rPr>
          <w:rFonts w:ascii="Times New Roman" w:hAnsi="Times New Roman"/>
          <w:b/>
          <w:sz w:val="20"/>
        </w:rPr>
        <w:t xml:space="preserve">Required Stockholder Approvals </w:t>
      </w:r>
    </w:p>
    <w:p>
      <w:pPr>
        <w:pStyle w:val="TextBody"/>
        <w:bidi w:val="0"/>
        <w:spacing w:before="120" w:after="0"/>
        <w:jc w:val="left"/>
        <w:rPr>
          <w:rFonts w:ascii="Times New Roman" w:hAnsi="Times New Roman"/>
          <w:sz w:val="20"/>
        </w:rPr>
      </w:pPr>
      <w:r>
        <w:rPr>
          <w:rFonts w:ascii="Times New Roman" w:hAnsi="Times New Roman"/>
          <w:sz w:val="20"/>
        </w:rPr>
        <w:t>AVROBIO is obligated under the Merger Agreement to take all action necessary under applicable law to call, give notice of and hold a meeting of the holders of AVROBIO common stock for the purpose of considering and voting to approve the Nasdaq Stock Issuance Proposal, Reverse Stock Split Proposal, Officer Exculpation Proposal Incentive Plan Proposal and ESPP Proposal. The special meeting will be held as promptly as practicable after the registration statement on Form S-4 is declared effective under the Securities Act, and in any event no later than 45 days after the effective date of the registration statement on Form S-4.</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registration statement on Form S-4 has been declared effective, and no later than four business days thereafter, Tectonic is required to obtain the approval by written consent from Tectonic stockholders representing no less than 88.0% of the voting power of Tectonic (the “Tectonic stockholder approval”), to (x) adopt and approve the Merger Agreement and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As promptly as reasonably practicable following receipt of such consents, Tectonic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bookmarkStart w:id="79" w:name="toc770053_76"/>
      <w:bookmarkEnd w:id="79"/>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t>
      </w:r>
    </w:p>
    <w:p>
      <w:pPr>
        <w:pStyle w:val="TextBody"/>
        <w:bidi w:val="0"/>
        <w:spacing w:before="360" w:after="0"/>
        <w:jc w:val="left"/>
        <w:rPr>
          <w:rFonts w:ascii="Times New Roman" w:hAnsi="Times New Roman"/>
          <w:b/>
          <w:sz w:val="20"/>
        </w:rPr>
      </w:pPr>
      <w:bookmarkStart w:id="80" w:name="toc770053_77"/>
      <w:bookmarkEnd w:id="80"/>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on which the effective time occurs, AVROBIO and the surviving corporation in the merger agreed to indemnify and hold harmless each person who is now, or has been at any time prior to the date of the Merger Agreement, or who becomes prior to the effective time, a director or officer of AVROBIO or Tectonic,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AVROBIO or of Tectonic, whether asserted or claimed prior to, at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effective time. From and after the effective time, AVROBIO and the surviving corporation in the merger will also fulfill AVROBIO’s and Tectonic’s indemnity obligations, respectively, to each person who is, has been, or who becomes prior to the effective time, a director or officer of AVROBIO or Tectonic.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the provisions of AVROBIO’s charter and bylaws with respect to indemnification, advancement of expenses and exculpation of present and former directors and officers of AVROBIO that are presently set forth in AVROBIO’s charter and bylaws will not be amended modified or repealed for a period of six years from the effective time in a manner that would adversely affect the rights thereunder of individuals who, at or prior to the effective time, were officers or directors of AVROBIO, unless such modification is required by applicable law. The certificate of incorporation and bylaws of the surviving corporation will contain, and AVROBIO will cause the certificate of incorporation and bylaws of the surviving corporation to so contain, provisions no less favorable with respect to indemnification, advancement of expenses and exculpation of present and former directors and officers as those presently set forth in AVROBIO’s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AVROBIO will maintain director and officers’ liability insurance policies, with an effective date as of the closing date, on commercially available terms and conditions and with coverage limits customary for U.S. public companies similarly situated to AVROBIO. In addition, AVROBIO will secure and purchase a six year “tail policy” on AVROBIO’s existing directors’ and officers’ liability insurance policy with an effective date as of the date of the closing. </w:t>
      </w:r>
    </w:p>
    <w:p>
      <w:pPr>
        <w:pStyle w:val="TextBody"/>
        <w:bidi w:val="0"/>
        <w:spacing w:before="360" w:after="0"/>
        <w:jc w:val="left"/>
        <w:rPr>
          <w:rFonts w:ascii="Times New Roman" w:hAnsi="Times New Roman"/>
          <w:b/>
          <w:sz w:val="20"/>
        </w:rPr>
      </w:pPr>
      <w:bookmarkStart w:id="81" w:name="toc770053_78"/>
      <w:bookmarkEnd w:id="81"/>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AVROBIO and Tectonic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AVROBIO and Tectonic have further agreed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use its commercially reasonable efforts to maintain its listing on Nasdaq until the effective time and to obtain approval of the listing of the surviving corporation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use its commercially reasonable efforts to cause the shares of AVROBIO common stock being issued in the merger to be approved for listing on Nasdaq at or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keep Tectonic reasonably informed regarding any stockholder litigation against AVROBIO or any of its directors relating to the Merger Agreement or the transactions contemplated thereby. AVROBIO will (i) give Tectonic the opportunity to participate in, but not control, the defense, settlement or prosecution of any such litigation (to the extent that the attorney-client privilege is not undermined or otherwise adversely affected), (ii) consult with Tectonic with respect to the defense, settlement and prosecution of any such litigation and (iii) consider in good faith Tectonic’s advice with respect to such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82" w:name="toc770053_79"/>
      <w:bookmarkEnd w:id="82"/>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AVROBIO, Tectonic and Merger Sub, at or prior to the closing, of various conditions, which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proceeding, or any proceeding threatened by the SEC, seeking a stop order that has not been withdrawn;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authority of competent jurisdiction, and no law, statute, rule, regulation, ruling or decree will be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obtained the Tectonic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AVROBIO common stock constituting a majority of the votes properly cast for and against the applicable matter at the special meeting must have approved the Nasdaq Stock Issuance Proposal and the Reverse Stock Split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listing of the additional shares of AVROBIO common stock on Nasdaq will have been obtained and the shares of AVROBIO common stock to be issued in the transactions contemplated by the Merger Agreement pursuant to the Merger Agreement will have been approved for listing (subject to official notice of issuance)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executed by certain Tectonic stockholders and AVROBIO stockholders will continue to be in full force and effect as of immediately following the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cash proceeds of no less than $114.5 million is received by Tectonic, or will be received by Tectonic substantially simultaneously with the closing, in connection with the consummation of the transactions contemplated by the Concurrent Investment Agreements; provided that this condition will not be available to Tectonic if such cash proceeds in an amount not less than $114.5 million would have been received by Tectonic before or substantially simultaneously with the closing, but for the breach or failure to perform by one or more of the investors in the pipe financing that is a holder of Tectonic capital stock or Company SAFEs as of the date of the Merger Agreement or an affiliate thereof of the agreements or covenants required to be performed or complied with by such investor under the applicable Investment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must have delivered certain certificates and other documents required under the Merger Agreement for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AVROBIO and Merger Sub to complete the merger is further subject to the satisfaction or waiver by AVROBIO and Merger Sub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Tectonic in the Merger Agreement must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capitalization matters of Tectonic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the other party in the Merger Agreement must be accurate and complete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Tectonic (without giving effect to any references therein to materiality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performed or complied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received certain customary documentation and certifications from Tectonic;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“AVROBIO Material Adverse Effect” that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Tectonic to complete the merger is further subject to the satisfaction or waiver by Tectonic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AVROBIO in the Merger Agreement must be true and correct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capitalization matters of AVROBIO in the Merger Agreement must be true and correct in all respects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AVROBIO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AVROBIO (without giving effect to any references therein to materiality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performed or complied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there has not occurred any “Tectonic Material Adverse Effect” that is continuing;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AVROBIO’s net cash shall be no less than $50.0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common stock will be listed on Nasdaq as of immediately prior to the closing, provided, that this condition will not be available to Tectonic if Tectonic has refused or unreasonably delayed, withheld or conditioned its consent to actions by AVROBIO to maintain or regain, as applicable, the listing of AVROBIO common stock on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shall have performed or complied in all material respects all agreement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shall have received certain customary documentation and certifications from AVROBIO. </w:t>
            </w:r>
          </w:p>
        </w:tc>
      </w:tr>
    </w:tbl>
    <w:p>
      <w:pPr>
        <w:pStyle w:val="TextBody"/>
        <w:bidi w:val="0"/>
        <w:spacing w:before="240" w:after="0"/>
        <w:jc w:val="left"/>
        <w:rPr/>
      </w:pPr>
      <w:r>
        <w:rPr/>
        <w:t>“</w:t>
      </w:r>
      <w:r>
        <w:rPr>
          <w:rFonts w:ascii="Times New Roman" w:hAnsi="Times New Roman"/>
          <w:sz w:val="20"/>
        </w:rPr>
        <w:t xml:space="preserve">AVROBIO Material Adverse Effect” means any effect, change, event, circumstance or development, considered together with all other effects, changes, events, circumstances or developments that have occurred prior to the date of determination of the occurrence of the AVROBIO Material Adverse Effect, has or would reasonably be expected to have a material adverse effect on the business, financial condition, assets, liabilities or results of operations of AVROBIO or any of its subsidiaries, taken as a whole; provided, however, that effects, changes, events, circumstances or developments arising or resulting from the following shall not be taken into account in determining whether there has been an AVROBIO Material Adverse Effect: (a) the announcement of the Merger Agreement or the pendency of the transactions contemplated therein, (b) any change in the stock price or trading volume of AVROBIO common stock (it being understood, however, that any effect, change, event, circumstance or development causing or contributing to any change in stock price or trading volume of AVROBIO common stock may be taken into account in determining whether an AVROBIO Material Adverse Effect has occurred, unless such effects, changes, events, circumstances or developments are otherwise excepted from this definition), (c) the taking of any action, or failure to take any action, by AVROBIO that is required to comply with the terms of this Merger Agreement, (d) any natural disaster, calamity or epidemics, pandemics (including COVID-19 and any precautionary or emergency measures, recommendations, protocols or orders taken or issued by any person in response to COVID-19) or other force majeure events, or any act or threat or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AVROBIO or any of its subsidiaries operates (other than to the extent contemplated by the succeeding clause (g)), (g) any government shutdown or slowdown, (h) the sale or winding down of the AVROBIO’s business or operations as the exist prior to the closing, and the sale, license or other disposition of the AVROBIO pre-closing assets in compliance with the terms of the Merger Agreement and applicable law, or (i) any change in the cash position of AVROBIO and its subsidiaries which results from the operations in the ordinary course of business; except, in each case with respect to clauses (d), (e) and (f), to the extent materially and disproportionately affecting AVROBIO and any of its subsidiaries, taken as a whole, relative to other similarly situated companies in the industries in which AVROBIO or any of its subsidiaries operates. </w:t>
      </w:r>
    </w:p>
    <w:p>
      <w:pPr>
        <w:pStyle w:val="TextBody"/>
        <w:bidi w:val="0"/>
        <w:spacing w:before="240" w:after="0"/>
        <w:jc w:val="left"/>
        <w:rPr/>
      </w:pPr>
      <w:r>
        <w:rPr/>
        <w:t>“</w:t>
      </w:r>
      <w:r>
        <w:rPr>
          <w:rFonts w:ascii="Times New Roman" w:hAnsi="Times New Roman"/>
          <w:sz w:val="20"/>
        </w:rPr>
        <w:t xml:space="preserve">Tectonic Material Adverse Effect” means any effect, change, event, circumstance or development, considered together with all other effects, changes, events, circumstances or developments that have occurred prior to the date of determination of the occurrence of the Tectonic Material Adverse Effect, has or would reasonably be expected to have a material adverse effect on the business, financial condition, assets, liabilities or results of operations of Tectonic or any of its subsidiaries, taken as a whole; provided, however, that effects, changes, events, circumstances or developments arising or resulting from the following shall not be taken into account in determining whether there has been a Tectonic Material Adverse Effect: (a) the announcement of the Merger Agreement or the pendency of the transactions contemplated therein, (b) the taking of any action, or failure to take any action, by Tectonic that is required to comply with the terms of this Merger Agreement, (c) any natural disaster, calamity or epidemics, pandemics (including COVID-19 and any precautionary or emergency measures, recommendations, protocols or orders taken or issued by any person in response to COVID-19) or other force majeure events, or any act or threat or terrorism or war, any armed hostilities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terrorist activities (including any escalation or general worsening of any of the foregoing) anywhere in the world, or any governmental or other response or reaction to any of the foregoing, (d) any change in GAAP or applicable law or the interpretation thereof, (e) any change in the cash position of Tectonic and its subsidiaries which results from the operations in the ordinary course of business, or (f) general economic or political conditions or conditions generally affecting the industries in which Tectonic and its subsidiaries operate; except in each case with respect to clauses (c), (d) and (f), to the extent disproportionately affecting Tectonic and its subsidiaries, taken as a whole, relative to other similarly situated companies in the industries in which Tectonic and its subsidiaries operate. </w:t>
      </w:r>
    </w:p>
    <w:p>
      <w:pPr>
        <w:pStyle w:val="TextBody"/>
        <w:bidi w:val="0"/>
        <w:spacing w:before="360" w:after="0"/>
        <w:jc w:val="left"/>
        <w:rPr>
          <w:rFonts w:ascii="Times New Roman" w:hAnsi="Times New Roman"/>
          <w:b/>
          <w:sz w:val="20"/>
        </w:rPr>
      </w:pPr>
      <w:bookmarkStart w:id="83" w:name="toc770053_80"/>
      <w:bookmarkEnd w:id="83"/>
      <w:r>
        <w:rPr>
          <w:rFonts w:ascii="Times New Roman" w:hAnsi="Times New Roman"/>
          <w:b/>
          <w:sz w:val="20"/>
        </w:rPr>
        <w:t xml:space="preserve">Termination and Termination Fees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effective time, whether before or after the required stockholder approvals to complete the merger have been obtained, as set forth below: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275"/>
        <w:gridCol w:w="44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AVROBIO and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the merger has not been consummated by October 31, 2024; provided, however, that this right to terminate the Merger Agreement will not be available to any party whose action or failure to act has been a principal cause of the failure of the merger to occur on or before October 31, 2024 and such action or failure to act constitutes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(c)</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a court of competent jurisdiction or governmental entity has issued a final and non-appealable order, decree or ruling or taken any other action that permanently restrains, enjoins or otherwise prohibits the merger or any of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(d)</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if the Tectonic stockholder approval has not been obtained within four business days of the registration statement on Form S-4, of which this proxy statement/prospectus is a part, becoming effective; provided that this right to terminate the Merger Agreement will not be available to AVROBIO once Tectonic obtains approval by irrevocable written consent from the Tectonic stockholders representing no less than 88.0% of the voting power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AVROBIO or Tectonic, if the special meeting has been held and completed and AVROBIO stockholders have taken a final vote on the Proposal Nos. 1 and 2, and such proposals have not been approved by the AVROBIO stockholders at the AVROBIO special meeting (or any adjournment or postponement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(f)</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Tectonic, at any time prior to obtaining the approval by AVROBIO stockholders of the Proposals set forth herein to be considered at the special meeting,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fails to include in this proxy statement/prospectus the AVROBIO Board’s recommendation that AVROBIO stockholders vote to approve the Proposals set forth herein to be considered at the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or any committee thereof, makes a AVROBIO Board adverse recommendation change or approves, endorses or recommends any Acquisition Proposal;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10"/>
        <w:gridCol w:w="60"/>
        <w:gridCol w:w="6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willfully and materially breaches its non-solicitation obligations;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(g)</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Tectonic, if AVROBIO or Merger Sub has breached any of its representations, warranties, covenants or agreements contained in the Merger Agreement or if any representation or warranty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AVROBIO has become inaccurate, in either case such that the conditions to the closing would not be satisfied as of time of such breach or inaccuracy; provided that Tectonic is not then in material breach of any representation, warranty covenant or agreement under the Merger Agreement; provided, further, if such breach or inaccuracy of any representation, warranty, covenant or agreement is curable, then the Merger Agreement will not terminate pursuant to this paragraph as a result of a particular breach or inaccuracy until the earlier of (i) the expiration of a 30-day period after delivery of written notice of such breach or inaccuracy from Tectonic to AVROBIO or Merger Sub and Tectonic’s intention to terminate pursuant to this paragraph and (ii) AVROBIO or Merger Sub (as applicable) ceasing to exercise commercially reasonable efforts to cure such breach following delivery of a written notice from Tectonic to AVROBIO or Merger Sub of such breach or inaccuracy and its intention to terminate pursuant to this paragraph, and its enumeration of all of the specific commercially reasonable efforts that it believes ought to be taken to cure such breach (it being understood that the Merger Agreement will not terminate pursuant to this paragraph as a result of such particular breach or inaccuracy if such breach by AVROBIO or Merger Sub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(h)</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if Tectonic has breached any of its representations, warranties, covenants or agreements contained in the Merger Agreement or if any representation or warranty of Tectonic has become inaccurate, in either case such that the conditions to the closing would not be satisfied as of time of such breach or inaccuracy; provided that AVROBIO is not then in material breach of any representation, warranty covenant or agreement under the Merger Agreement; provided, further, if such breach or inaccuracy of any representation, warranty, covenant or agreement is curable, then the Merger Agreement will not terminate pursuant to this paragraph as a result of a particular breach or inaccuracy until the earlier (i) of the expiration of a 30-day period after delivery of written notice of such breach or inaccuracy from AVROBIO to Tectonic and AVROBIO’s intention to terminate pursuant to this paragraph or (ii) Tectonic ceasing to exercise commercially reasonable efforts to cure such breach following delivery of a written notice from AVROBIO to Tectonic of such breach or inaccuracy and its intention to terminate pursuant to this paragraph, and its enumeration of all of the specific commercially reasonable efforts that it believes ought to be taken to cure such breach (it being understood that the Merger Agreement will not terminate pursuant to this paragraph as a result of such particular breach or inaccuracy if such breach by Tectonic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(at any time prior to obtaining the AVROBIO stockholder approval), upon the AVROBIO Board authorizing AVROBIO to enter into a definitive agreement that contemplates or otherwise relates to an Acquisition Transaction that constitutes a superior offer, subject to certain conditions;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(j)</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AVROBIO, at any time prior to obtaining the Tectonic stockholder approval,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Tectonic Board, or any committee thereof, makes a Tectonic Board adverse recommendation change or approves, endorses or recommends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willfully and materially breaches its non-solicitation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the Merger Agreement will give the other party written notice of such termination, specifying the provisions hereof pursuant to which such termination is made and the basis for termination described in reasonable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Fees Payable by AVROBIO </w:t>
      </w:r>
    </w:p>
    <w:p>
      <w:pPr>
        <w:pStyle w:val="TextBody"/>
        <w:bidi w:val="0"/>
        <w:spacing w:before="120" w:after="0"/>
        <w:jc w:val="left"/>
        <w:rPr>
          <w:rFonts w:ascii="Times New Roman" w:hAnsi="Times New Roman"/>
          <w:sz w:val="20"/>
        </w:rPr>
      </w:pPr>
      <w:r>
        <w:rPr>
          <w:rFonts w:ascii="Times New Roman" w:hAnsi="Times New Roman"/>
          <w:sz w:val="20"/>
        </w:rPr>
        <w:t xml:space="preserve">AVROBIO must pay Tectonic a termination fee of $2.7125 million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Merger Agreement is terminated by AVROBIO or Tectonic pursuant to provision (e) above or by Tectonic pursuant to (g) above, (ii) at any time after the date of the Merger Agreement and prior to the special meeting, an Acquisition Proposal with respect to AVROBIO will have been publicly announced, disclosed or otherwise communicated to the AVROBIO Board (and will not have been withdrawn), and (iii) within 12 months after the date of such termination, AVROBIO enters into a definitive agreement with respect to any Acquisition Transaction or consummates any Acquisition Transaction (in each event, with all references to 20% in the definition of Acquisition Transaction being treated as references to 50% for these purposes) (for the avoidance of doubt, a liquidation or dissolution of AVROBIO will in no event be deemed to constitute an Acquisition Transaction for purposes of this clause);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Tectonic or AVROBIO pursuant to (b) above (when at the time the Merger Agreement is terminated, Tectonic had the right to terminate the Merger Agreement pursuant to (f) above);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Tectonic pursuant to (f) above;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(i)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must also reimburse Tectonic for expenses incurred by Tectonic in connection with the Merger Agreement and the transactions contemplated thereby, up to a maximum of $650,000, if Tectonic terminates the Merger Agreement pursuant to (e)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Tectonic </w:t>
      </w:r>
    </w:p>
    <w:p>
      <w:pPr>
        <w:pStyle w:val="TextBody"/>
        <w:bidi w:val="0"/>
        <w:spacing w:before="120" w:after="0"/>
        <w:jc w:val="left"/>
        <w:rPr>
          <w:rFonts w:ascii="Times New Roman" w:hAnsi="Times New Roman"/>
          <w:sz w:val="20"/>
        </w:rPr>
      </w:pPr>
      <w:r>
        <w:rPr>
          <w:rFonts w:ascii="Times New Roman" w:hAnsi="Times New Roman"/>
          <w:sz w:val="20"/>
        </w:rPr>
        <w:t xml:space="preserve">Tectonic must pay AVROBIO a termination fee of $4.9 million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Merger Agreement is terminated by AVROBIO pursuant to provision (h) above, (ii) at any timeafter the date of the Merger Agreement and prior to the receipt of the required Tectonic stockholdervote, an Acquisition Proposal with respect to Tectonic will have been publicly announced, disclosed orotherwise communicated to the Tectonic Board (and will not have been withdrawn), and (iii) within 12months after the date of such termination, Tectonic enters into a definitive agreement with respect toany Acquisition Transaction or consummates any Acquisition Transaction (in each event with allreferences to 20% in the definition of Acquisition Transaction being treated as references to 50% forthese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or Tectonic pursuant to (b) above (when at the time the Merger Agreement is terminated, AVROBIO had the right to terminate the Merger Agreement pursuant to (j) above);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(d) above;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AVROBIO pursuant to (j) above. </w:t>
            </w:r>
          </w:p>
        </w:tc>
      </w:tr>
    </w:tbl>
    <w:p>
      <w:pPr>
        <w:pStyle w:val="TextBody"/>
        <w:bidi w:val="0"/>
        <w:spacing w:before="360" w:after="0"/>
        <w:jc w:val="left"/>
        <w:rPr>
          <w:rFonts w:ascii="Times New Roman" w:hAnsi="Times New Roman"/>
          <w:b/>
          <w:sz w:val="20"/>
        </w:rPr>
      </w:pPr>
      <w:bookmarkStart w:id="84" w:name="toc770053_81"/>
      <w:bookmarkEnd w:id="84"/>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not be amended except by an instrument in writing signed on behalf of each of Tectonic, Merger Sub and AVROBIO. Such amendment requires the approval of the respective boards of directors of Tectonic, Merger Sub and AVROBIO at any time, except that after the Merger Agreement has been adopted and approved by the Tectonic stockholders or AVROBIO stockholders, no amendment which by law requires further approval by the Tectonic stockholders or AVROBIO stockholders, as the case may be, may be made without such further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The waiver must be expressly set forth in a written instrument duly executed and delivered on behalf of such party, which will only be valid in the specific instance in which it is given. No failure or delay on the part of any party with respect to the exercise of any power, right, privilege or remedy under the Merger Agreement will operate as a waiver of such power, right, privilege or remedy. Furthermore, no single or partial exercise of any such power, right, privilege or remedy will preclude any other or further exercise thereof or of any other power, right, privilege or remedy. </w:t>
      </w:r>
    </w:p>
    <w:p>
      <w:pPr>
        <w:pStyle w:val="TextBody"/>
        <w:bidi w:val="0"/>
        <w:spacing w:before="360" w:after="0"/>
        <w:jc w:val="left"/>
        <w:rPr>
          <w:rFonts w:ascii="Times New Roman" w:hAnsi="Times New Roman"/>
          <w:b/>
          <w:sz w:val="20"/>
        </w:rPr>
      </w:pPr>
      <w:bookmarkStart w:id="85" w:name="toc770053_82"/>
      <w:bookmarkEnd w:id="85"/>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in the section titled “—</w:t>
      </w:r>
      <w:r>
        <w:rPr>
          <w:rFonts w:ascii="Times New Roman" w:hAnsi="Times New Roman"/>
          <w:i/>
          <w:sz w:val="20"/>
        </w:rPr>
        <w:t>Termination and Termination Fees</w:t>
      </w:r>
      <w:r>
        <w:rPr>
          <w:rFonts w:ascii="Times New Roman" w:hAnsi="Times New Roman"/>
          <w:sz w:val="20"/>
        </w:rPr>
        <w:t xml:space="preserve">” beginning on page 259 of this proxy statement/prospectus, and except that Tectonic and AVROBIO will share equally in any fees and expenses incurred in relation to the Nasdaq fees associated with the continued listing of AVROBIO’s securities on Nasdaq and the initial listing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6" w:name="toc770053_83"/>
      <w:bookmarkEnd w:id="86"/>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87" w:name="toc770053_84"/>
      <w:bookmarkEnd w:id="87"/>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AVROBIO to enter into the Merger Agreement, certain Tectonic stockholders are parties to support agreements with Tectonic pursuant to which, among other things, each such stockholder, solely in his, her or its capacity as a Tectonic stockholder, has agreed to vote 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These Tectonic stockholders have also granted Tectonic an irrevocable proxy to vote their respective shares of Tectonic capital stock in accordance with the support agreements. These Tectonic stockholders have also agreed not to solicit any Acquisition Proposals or Acquisition Inquiries, and agreed to waive any appraisal or dissenters’ rights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30, 2024, the Tectonic stockholders that are party to a support agreement with Tectonic owned approximately 88.0% of the voting power of Tectonic., and in any event no later than four business days thereafter,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will execute a written consent providing for such adoption and approval. Therefore, holders of a sufficient number of shares of Tectonic capital stock required to adopt the Merger Agreement and approve the merger and related transactions are contractually obligated to adopt the Merger Agreement are expected to adopt the Merger Agreement via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subject to certain exceptions, such stockholders have also agreed not to sell or transfer their shares of Tectonic capital stock and securities convertible into shares of Tectonic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Tectonic capital stock or securities convertible into shares of Tectonic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induce Tectonic to enter into the Merger Agreement, certain AVROBIO stockholders are parties to support agreements with AVROBIO pursuant to which, among other things, each such stockholder, solely in his, her or its capacity as a AVROBIO stockholder, has agreed to vote all of such stockholder’s shares of AVROBIO capital stock in favor of (i) the Nasdaq Stock Issuance Proposal, (ii) the Reverse Stock Split Proposal, (iii) the Officer Exculpation Proposal Incentive Plan Proposal, (iv) the ESPP Proposal, (v) against any competing Acquisition Proposal and (vi) in favor of an adjournment of the meeting of the AVROBIO stockholders, if necessary, to solicit additional proxies if there are not sufficient votes in favor of the approval matters. </w:t>
      </w:r>
    </w:p>
    <w:p>
      <w:pPr>
        <w:pStyle w:val="TextBody"/>
        <w:bidi w:val="0"/>
        <w:spacing w:before="240" w:after="0"/>
        <w:jc w:val="left"/>
        <w:rPr>
          <w:rFonts w:ascii="Times New Roman" w:hAnsi="Times New Roman"/>
          <w:sz w:val="20"/>
        </w:rPr>
      </w:pPr>
      <w:r>
        <w:rPr>
          <w:rFonts w:ascii="Times New Roman" w:hAnsi="Times New Roman"/>
          <w:sz w:val="20"/>
        </w:rPr>
        <w:t xml:space="preserve">These AVROBIO stockholders have also granted AVROBIO an irrevocable proxy to vote their respective shares of AVROBIO capital stock in accordance with the support agreements. These AVROBIO stockholders have also agreed not to solicit any Acquisition Proposals or Acquisition Inquiries, and agreed to waive any appraisal or dissenters’ rights relating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January 30, 2024, the AVROBIO stockholders that are party to support agreements with AVROBIO owned approximately 10.8% of the outstanding shares of AVROBIO capital stock. These stockholders include executive officers and directors of AVROBIO, as well as certain other stockholders owning a significant portion of the outstanding shares of AVROBIO capital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subject to certain exceptions, such stockholders have also agreed not to sell or transfer their shares of AVROBIO capital stock and securities convertible into shares of AVROBIO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AVROBIO capital stock or securities convertible into shares of AVROBIO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both the support agreements signed by AVROBIO stockholders and the support agreements signed by Tectonic stockholders, the support obligations of such stockholders are released as of the earlier of (a) such date and time as the Merger Agreement shall have been terminated pursuant to the terms thereof or (b)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support agreements do not purport to be complete and are qualified in their entirety by the full text of the forms of support agreements, which are attached hereto as </w:t>
      </w:r>
      <w:r>
        <w:rPr>
          <w:rFonts w:ascii="Times New Roman" w:hAnsi="Times New Roman"/>
          <w:sz w:val="20"/>
          <w:u w:val="single"/>
        </w:rPr>
        <w:t>Annex C</w:t>
      </w:r>
      <w:r>
        <w:rPr>
          <w:rFonts w:ascii="Times New Roman" w:hAnsi="Times New Roman"/>
          <w:sz w:val="20"/>
        </w:rPr>
        <w:t xml:space="preserve"> and </w:t>
      </w:r>
      <w:r>
        <w:rPr>
          <w:rFonts w:ascii="Times New Roman" w:hAnsi="Times New Roman"/>
          <w:sz w:val="20"/>
          <w:u w:val="single"/>
        </w:rPr>
        <w:t>Annex D</w:t>
      </w:r>
      <w:r>
        <w:rPr>
          <w:rFonts w:ascii="Times New Roman" w:hAnsi="Times New Roman"/>
          <w:sz w:val="20"/>
        </w:rPr>
        <w:t xml:space="preserve">, respectively. </w:t>
      </w:r>
    </w:p>
    <w:p>
      <w:pPr>
        <w:pStyle w:val="TextBody"/>
        <w:bidi w:val="0"/>
        <w:spacing w:before="360" w:after="0"/>
        <w:jc w:val="left"/>
        <w:rPr>
          <w:rFonts w:ascii="Times New Roman" w:hAnsi="Times New Roman"/>
          <w:b/>
          <w:sz w:val="20"/>
        </w:rPr>
      </w:pPr>
      <w:bookmarkStart w:id="88" w:name="toc770053_85"/>
      <w:bookmarkEnd w:id="88"/>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Tectonic’s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AVROBIO’s common stock or any securities convertible into or exercisable or exchangeable for AVROBIO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Tectonic stockholders who have executed lock-up agreements as of January 30, 2024 owned, in the aggregate, approximately 88.0% of the outstanding voting power of Tectonic’s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Certain of AVROBIO’s directors have entered into lock-up agreements, pursuant to which such stockholders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AVROBIO’s common stock or any securities convertible into or exercisable or exchangeable for AVROBIO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AVROBIO stockholders who have executed lock-up agreements as of January 30, 2024 owned, in the aggregate, approximately 10.8% of the shares of AVROBIO common stock as of January 30, 2024.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sz w:val="20"/>
          <w:u w:val="single"/>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89" w:name="toc770053_86"/>
      <w:bookmarkEnd w:id="89"/>
      <w:r>
        <w:rPr>
          <w:rFonts w:ascii="Times New Roman" w:hAnsi="Times New Roman"/>
          <w:b/>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and delivery of the Merger Agreement, certain purchasers, including certain existing investors of Tectonic, entered into the Subscription Agreement with Tectonic, pursuant to which such investors have agreed to purchase Tectonic common stock, representing an aggregate commitment of $96.6 million, in the private financings, for an aggregate purchase price among the transactions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Subscription Agreement and the Company SAFEs of approximately $130.7 million. Under the Subscription Agreement, Tectonic agreed to sell an aggregate of 7,790,889 of shares of Tectonic common stock at a purchase price per share equal to $12.39908. The closings of the private financings are conditioned upon the satisfaction or waiver of the conditions to the closing as well as certain other conditions. The closing of the merger is conditioned upon the satisfaction or waiver of the receipt of cash proceeds not less than $114.5 million in connection with the consummation of the transactions contemplated by the private financings. While, as of the date of this proxy statement/prospectus, AVROBIO and Tectonic do not intend to waive this or any other condition to the merger, there can be no assurance that AVROBIO and Tectonic will ultimately determine, in their sole discretion, not to waive such condition.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Agreement contains customary representations and warranties of Tectonic and also contain customary representations and warranties of the purchasers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Tectonic common stock pursuant to the Subscription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representations and warranties in the Subscription Agreement being true and correct in all respects as of the effective date of the Subscription Agreement and true and correct in all material respects as of the closing date for the private financings,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having performed and complied in all material respects with all covenants, agreements, obligations and conditions required to be performed or complied with by it;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the chief executive officer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(other than the condition regarding the private financings) and the closing of the merger being set to occur substantially concurrently with the closings of the private financings;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customary certificate by the secretary of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corporate and other proceedings in connection with the transactions contemplated at the closings of the private financings and all documents incident thereto being reasonably satisfactory in form and substance to each purchaser;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and the closing of the merger being set to occur substantially concurrently with the closings of the private financings.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Tectonic’s obligation to sell shares of its common stock to each purchaser pursuant to the Subscription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effective date of the securities purchase agreement and true and correct in all material respects as of the closing date of the private financings,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with all covenants, agreements, obligations and conditions required to be performed or complied with by each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and the closing of the merger being set to occur substantially concurrently with the closings of the private financings.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consummation of the transactions contemplated thereby, the Subscription Agreement may be changed, waived, amended or modified only by a written instrument executed by Tectonic, the purchasers committed to purchase at least a majority of the shares sold in the private financing and the purchasers who are not existing stockholders in Tectonic, committed to purchase at least a majority of the shares sold in the private financing to such new purchasers. The Subscription Agreement may be terminated upon the earlier to occur of (i) such date and time that the Merger Agreement is terminated in accordance with its terms, (ii) upon the mutual written agreement of Tectonic, the purchasers committed to purchase at least a majority of the shares sold in the private financing and the purchasers who are not existing stockholders in Tectonic committed to purchase at least a majority of the shares sold in the private financing to such new purchasers and (iii) if the closing has not occurred on or before October 31, 2024, other than as a result of a willful breach of a purchaser’s obligations under the Subscription Agreement. </w:t>
      </w:r>
    </w:p>
    <w:p>
      <w:pPr>
        <w:pStyle w:val="TextBody"/>
        <w:bidi w:val="0"/>
        <w:spacing w:before="360" w:after="0"/>
        <w:jc w:val="left"/>
        <w:rPr>
          <w:rFonts w:ascii="Times New Roman" w:hAnsi="Times New Roman"/>
          <w:b/>
          <w:sz w:val="20"/>
        </w:rPr>
      </w:pPr>
      <w:bookmarkStart w:id="90" w:name="toc770053_87"/>
      <w:bookmarkEnd w:id="90"/>
      <w:r>
        <w:rPr>
          <w:rFonts w:ascii="Times New Roman" w:hAnsi="Times New Roman"/>
          <w:b/>
          <w:sz w:val="20"/>
        </w:rPr>
        <w:t xml:space="preserve">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CVRs will be governed by the terms of the CVR Agreement, which will be entered into at or prior to the effective time by AVROBIO and a rights agent to be designated by AVROBIO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Merger Agreement, AVROBIO intends to declare a dividend to its common stockholders of record the right to receive one non-transferable CVR for each outstanding share of AVROBIO common stock held by such stockholder as of such date, each representing the non-transferable contractual right to receive certain contingent payments if any, received by AVROBIO upon the occurrence of certain events within agreed time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Characteristics of the CVRs; Restrictions on Transfer </w:t>
      </w:r>
    </w:p>
    <w:p>
      <w:pPr>
        <w:pStyle w:val="TextBody"/>
        <w:bidi w:val="0"/>
        <w:spacing w:before="120" w:after="0"/>
        <w:jc w:val="left"/>
        <w:rPr>
          <w:rFonts w:ascii="Times New Roman" w:hAnsi="Times New Roman"/>
          <w:sz w:val="20"/>
        </w:rPr>
      </w:pPr>
      <w:r>
        <w:rPr>
          <w:rFonts w:ascii="Times New Roman" w:hAnsi="Times New Roman"/>
          <w:sz w:val="20"/>
        </w:rPr>
        <w:t xml:space="preserve">The CVRs may not be sold, assigned, transferred, pledged, encumbered or otherwise transferred or disposed of, in whole or in part, other than pursuant to any of the following permitted transfers: (i) upon death of a holder thereof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to the extent allowable by DTC; or (v) as the CVRs may be abandoned in accordance with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CVRs will not be evidenced by a certificate or any other instrument. The CVRs will not have any voting or dividend rights, and interest will not accrue on any amounts payable in respect of the CVRs to any holder thereof. The CVRs will not represent any equity or ownership interest in AVROBIO in any constituent company to the merger. The rights agent will maintain an up-to-date register for the purpose of registering the CVRs and permitted transfers thereof. AVROBIO’s obligation to make the CVR payment, if any becomes due, is neither secured nor guaranteed by AVROBIO or any of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CVR Payments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CVR Agreement, each CVR holder is entitled to certain rights to receive a pro rata portion of 80% of the net proceeds, if any, received by AVROBIO as a result of an AVROBIO disposition (including a license) after the effective date and prior to the 18-month anniversary of the closing, received within the 10-year CVR Term following the closing; provided that no contingent payment will be payable to any holder of the CVRs until such time as the then-outstanding and undistributed proceeds exceeds $350,000 in the aggregate. Any such payments will be net of the following permitted deductions (in each case as calculated in accordance with GAAP in a manner consistent with AVROBIO’s accounting practices and the most recently filed annual audited financial statements with the SEC):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applicable tax imposed on the gross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reasonable and documented out-of-pocket costs and expenses following the closing incurred by AVROBIO or its affiliates in respect of its performance of the CVR Agreement, including any costs related to the prosecution, maintenance or enforcement by AVROBIO or any of its subsidiaries of intellectual property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reasonable and documented out-of-pocket costs and expenses incurred or accrued by AVROBIO or its affiliates in respect of the negotiation, entry into and closing of any AVROBIO disposition of any AVROBIO pre-closing asset;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losses actually incurred, and actually paid or actually payable, or reasonably expected to be incurred and subsequently actually paid by AVROBIO or its affiliates arising out of any third-party claims relating to or in connection with any AVROBIO disposition of any AVROBIO pre-closing assets and, without duplication, including indemnification obligations of AVROBIO or any of its affiliates set forth in a definitive written agreement with respect to a AVROBIO disposition;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proceeds in consideration for a AVROBIO disposition pursuant to a definitive written agreement included in the final determination of AVROBIO’s net cash in accordance with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CVR Term, no CVR holders will be entitled to any payments under the CVR Agreement (except to the extent that any payments were earned prior to the end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Obligations of AVROBIO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AVROBIO will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No later than 45 days following the end of each calendar quarter of following the closing, AVROBIO will deliver to the rights agent, or in some cases, to the rights agent or as the rights agent directs, an amount equal to 80% of the net proceeds for the applicable payment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AVROBIO may, at any time and from time to time, enter into one or more amendments to the CVR Agreement for any of the following purposes, without the consent of any of the holders of CVRs: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appointment of another person as a successor rights agent and the assumption by any successor rights agent of the covenants and obligations of the rights agent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AVROBIO and the assumption of any such successor of the covenants of AVROBIO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AVROBIO such further covenants, restrictions, conditions or provisions as AVROBIO and the right agent will consider to be for the protection and benefit of the holders of CVRs, provided that such provisions do not adversely affect the interests of the holders of CVRs;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inconsistency, provided such provisions do not adversely effect interests of the holders of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CVRs are not subject to registration under the Securities Act or the Exchange Act and the rules and regulations made thereunder, or any applicable state securities or “blue sky”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AVROBIO is not required to produce a prospectus or an admission document in order to comply with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cancel CVRs (i) in the event that any holder of CVRs has abandoned its rights to such CVRs, (ii) in order to effect the Intended Tax Treatment (as defined in the CVR Agreement, or (iii) following a transfer of such CVRs to AVROBIO or its affiliates;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AVROBIO complies with applicable law;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adding, eliminating or changing any provisions, provided that, in each case, such additions, eliminations or changes do not adversely affect the interests of the holders of CVRs.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will (or will cause the rights agent to) provide notice in general terms of the substance of any amendment to the CVR Agreement to the holders of the CVRs promptly after execution by AVROBIO and the rights agent, if applicable, of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will terminate and be of no force or effect, the parties will have no liability thereunder, and the CVRs will expire without any consideration or compensation therefore, upon the expiration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also provides, among other things,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duties, responsibilities, rights and immunities of the rights agent, and procedures for the resignation or removal of the rights agent and appointment of a successor;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to use commercially reasonable efforts (as defined in the CVR Agreement) during the 18-month period following the closing to effect dispositions of AVROBIO’s pre-closing assets to a third party that has delivered inbound interest (as defined in the CVR Agreement) with respect to such assets. As a result, AVROBIO will have no obligations to affirmatively sell or market such assets, in the absence of such inbound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AVROBIO granting any lien, security, interest, pledge or similar interest in any AVROBIO pre-closing assets or net proceeds;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laws of the State of Delaware, exclusive jurisdiction over the parties by the Chancery Court of the State of Delaware, County of New Castle, or, if under applicable law exclusive jurisdiction is vested in the Federal courts, the U.S. District Court for the District of Delaware (and appellate courts thereof), and waiver of trial by jury.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the full text of the form of CVR Agreement, which is attached hereto as </w:t>
      </w:r>
      <w:r>
        <w:rPr>
          <w:rFonts w:ascii="Times New Roman" w:hAnsi="Times New Roman"/>
          <w:sz w:val="20"/>
          <w:u w:val="single"/>
        </w:rPr>
        <w:t>Annex F</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CVRs to Holders of AVROBIO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issuance of the CVRs and payments (if any) thereon to AVROBIO stockholders pursuant to the CVR Agreement, but does not purport to be a complete analysis of all potential tax effects. This section applies only to persons that hold their AVROBIO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AVROBIO voting shares or five percent or more of the total value of all classes of shares of AVROBIO;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AVROBIO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AVROBIO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AVROBIO as part of a straddle, constructive sale, hedging, conversion or other integrated or similar transaction;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AVROBIO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AVROBIO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AVROBIO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AVROBIO common stock, you should consult your tax advisors regarding the tax consequences of the issuance of the CVRs and distributions of AVROBIO common stock pursuant to the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consequences of the CVRs under state, local and foreign tax laws. Furthermore, the following discussion does not address any tax consequences of transactions effectuated before, after or at the same time as the issuance of the CVRs, whether or not they are in connection with the issuance of the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CVRs generally may not be transferred or assigned except for certain permitted transfers; accordingly, this discussion assumes the CVRs are not transferable or assignable and does not address any consequences of transferring, assigning or otherwise disposing of the CVRs or any interest therein. No ruling from the IRS,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opinion from counsel, has been or will be requested in connection with the issuance of the CVRs. AVROBIO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ISSUANCE OF THE CVRS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Tax Treatment of the CVRs and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Although the matter is not free from doubt, AVROBIO intends to treat the issuance of the CVRs (together with any payments on the CVRs) and the AVROBIO reverse stock split as separate transactions for U.S. federal income tax purposes, and the following discussion (except as discussed below under “—</w:t>
      </w:r>
      <w:r>
        <w:rPr>
          <w:rFonts w:ascii="Times New Roman" w:hAnsi="Times New Roman"/>
          <w:i/>
          <w:sz w:val="20"/>
        </w:rPr>
        <w:t>Alternative Treatment of the Receipt of CVRs and the AVROBIO Reverse Stock Split as a Single Recapitalization”)</w:t>
      </w:r>
      <w:r>
        <w:rPr>
          <w:rFonts w:ascii="Times New Roman" w:hAnsi="Times New Roman"/>
          <w:sz w:val="20"/>
        </w:rPr>
        <w:t xml:space="preserve"> assumes this treatment will be respected. The IRS could successfully challenge this position, however. AVROBIO urges you to consult your tax advisor with respect to whether the issuance of the CVRs (and any payments on the CVRs), on the one hand, and the proposed reverse stock split, on the other, constitute separate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CVRs by AVROBIO 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a “U.S. Holder” is a beneficial owner of AVROBIO common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“U.S. persons” (within the meaning of Section 7701(a)(30) of the Code) have the authority to control all substantial decisions of the trust or (2) it has a valid election in place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substantial uncertainty as to the tax treatment of CVRs. Specifically, there is no authority addressing whether contingent value rights with characteristics similar to the CVRs should be treated as a current distribution of property with respect to the corporation’s stock, a distribution of equity, a “debt instrument” or an “open transaction,” or in some other manner for U.S. federal income tax purposes. For these reasons, Goodwin and Cooley, the tax counsels for AVROBIO and Tectonic, respectively, cannot express an opinion on the U.S. federal income tax treatment of the issuance of the CVRs or receipt of payments (if any) pursuant to the CVRs. Accordingly, holders are urged to consult with their tax advisors regarding this issue. </w:t>
      </w:r>
    </w:p>
    <w:p>
      <w:pPr>
        <w:pStyle w:val="TextBody"/>
        <w:bidi w:val="0"/>
        <w:spacing w:before="240" w:after="0"/>
        <w:jc w:val="left"/>
        <w:rPr>
          <w:rFonts w:ascii="Times New Roman" w:hAnsi="Times New Roman"/>
          <w:sz w:val="20"/>
        </w:rPr>
      </w:pPr>
      <w:r>
        <w:rPr>
          <w:rFonts w:ascii="Times New Roman" w:hAnsi="Times New Roman"/>
          <w:sz w:val="20"/>
        </w:rPr>
        <w:t xml:space="preserve">However, based on the specific characteristics of the CVRs, AVROBIO intends to take the position that the fair market value of the CVRs cannot be reasonably ascertained on the date of the issuance of the CVRs (the “CVR Distribution Date”), and, accordingly, the issuance of the CVRs constitutes an “open transaction” for U.S. federal income tax purposes. Accordingly, the combined company does not intend to report the issuance of the CVRs as a current distribution of property with respect to its stock and instead intends to report each future cash payment (if any) on the CVRs as a distribution by the combined company for U.S. federal income tax purposes, with each such payment being reported as a dividend to the extent of the combined company’s current and accumulated earnings and profits in the year in which such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AVROBIO’s intended reporting position is correct, a U.S. Holder would generally not recognize income in respect of the CVRs on the CVR Distribution Date and would take no tax basis in the CVRs. Any future cash payments would constitute a dividend to the extent of the combined company’s current and accumulated earnings and profits (as determined for U.S. federal income tax purposes) in the taxable year of such payment, then as a non-taxable return of capital to the extent of such holder’s basis in its AVROBIO common stock, if any, and finally as capital gain from the sale or exchange of AVROBIO common stock. Dividends received by individual U.S. Holders are generally eligible for reduced rates of taxation applicable to long-term capital gains, provided certain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However, the IRS could instead assert that the issuance of the CVRs should be treated as a “closed transaction.” Under “closed transaction” treatment, a U.S. Holder would be treated as receiving a distribution equal to the fair market value (determined on the CVR Distribution Date) of the CVRs issued to such U.S. Holder on the CVR Distribution Date. The amount of this distribution generally would be treated first as a taxable dividend to the extent of the U.S. Holder’s pro rata share of AVROBIO’s current and accumulated earnings and profits (as determined for U.S. federal income tax purposes), then as a non-taxable return of capital to the extent of the U.S. Holder’s basis in its AVROBIO common stock, and finally as capital gain from the sale or exchange of AVROBIO common stock. A U.S. Holder’s tax basis in the CVRs received would equal the fair market value of the CVRs on the CVR Distribution Date and the holding period of the CVRs received would begin on the day following the CVR Distribution Date. Although not free from doubt, a future cash payment under a CVR would likely be treated as a non-taxable return of a U.S. Holder’s adjusted tax basis in the CVR to the extent thereof, although the timing of the recovery of a U.S. Holder’s tax basis is unclear. A payment in excess of such amount may be treated as a payment with respect to a sale of a capital asset, ordinary income or a dividend. Additionally, it is possible that a portion of future cash payments would constitute imputed interest and taxed as such. A U.S. Holder might recognize loss, which might be a capital loss and could be a long-term capital loss, upon the expiration of the CVR to the extent cash payments ultimately received pursuant to such CVR were less than the U.S. Holder’s adjusted tax basis in the CVRs, but whether and when such a loss would be recognized is unclear.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although AVROBIO believes unlikely, that the issuance of the CVRs could be treated as one or more “debt instruments” or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urged to consult their tax advisors with respect to the proper characterization of the CVRs and the tax consequences thereof (including any future cash payments made under the CVRs). </w:t>
      </w:r>
    </w:p>
    <w:p>
      <w:pPr>
        <w:pStyle w:val="TextBody"/>
        <w:bidi w:val="0"/>
        <w:spacing w:before="360" w:after="0"/>
        <w:jc w:val="left"/>
        <w:rPr>
          <w:rFonts w:ascii="Times New Roman" w:hAnsi="Times New Roman"/>
          <w:i/>
          <w:sz w:val="20"/>
        </w:rPr>
      </w:pPr>
      <w:r>
        <w:rPr>
          <w:rFonts w:ascii="Times New Roman" w:hAnsi="Times New Roman"/>
          <w:i/>
          <w:sz w:val="20"/>
        </w:rPr>
        <w:t xml:space="preserve">Receipt of CVRs by AVROBIO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means a beneficial owner of AVROBIO common stock that is neither a U.S. Holder nor a partnership (or other pass-through entity)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there is substantial uncertainty as to the tax treatment of CVRs and payments made thereunder. AVROBIO intends to take the position that any future cash payments on the CVRs are distributions with respect to AVROBIO common stock and that such distributions constitute dividends to the extent payable out of the combined company’s current and accumulated earnings and profits (as determined under U.S. federal income tax principles) in the taxable year of such future cash payment. Assuming such position is correct, amounts not treated as dividends for U.S. federal income tax purposes would constitute a return of capital and first be applied against and reduce a Non-U.S. Holder’s adjusted tax basis in its common stock, but not below zero, and any excess would be treated as capital gain with respect to such Non-U.S. Holder’s AVROBIO common stock. However, this intended position is subject to substantial uncertainty, and, accordingly, Non-U.S. Holders are urged to consult their tax advisors with respect to the proper characterization of the CVRs and the tax consequences thereof (including any future cash payments made under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light of AVROBIO’s intended reporting position, it is expected that Non-U.S. Holders would generally be subject to U.S. federal withholding tax at a rate of 30% on any future cash payments on the CVRs. Such withholding may be reduced or eliminated if the Non-U.S. Holder properly certifies qualification for a lower withholding rate under an applicable tax treaty or an exemption from withholding as a result of dividends on the AVROBIO common stock being effectively connected with the Non-U.S. Holder’s conduct of a trade or business within the United States (and, if required by an applicable tax treaty, the Non-U.S. Holder maintains a permanent establishment in the United States to which such dividends are attributable). A Non-U.S. Holder that is a corporation also could be subject to a branch profits tax at a rate of 30% (or such lower rate specified by an applicable tax treaty) on income attributable to the CVRs.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does not discuss all of the tax considerations that may be applicable to a Non-U.S. Holder of CVRs. Non-U.S. Holders are urged to consult their own tax advisors to determine the U.S. federal, state, local and non-U.S. income and other tax considerations that may be relevant to them in light of their particular circumstances. Non-U.S. Holders should consult their tax advisors regarding the applicability of information reporting and backup withholding and/or withholding under the Foreign Account Tax Compliance Act with respect to the CVRs and any future cash payments under the CVRs, particularly in light of the uncertainty under U.S. federal income tax law relating to the tax treatment of the CVRs. </w:t>
      </w:r>
    </w:p>
    <w:p>
      <w:pPr>
        <w:pStyle w:val="TextBody"/>
        <w:bidi w:val="0"/>
        <w:spacing w:before="360" w:after="0"/>
        <w:jc w:val="left"/>
        <w:rPr>
          <w:rFonts w:ascii="Times New Roman" w:hAnsi="Times New Roman"/>
          <w:i/>
          <w:sz w:val="20"/>
        </w:rPr>
      </w:pPr>
      <w:r>
        <w:rPr>
          <w:rFonts w:ascii="Times New Roman" w:hAnsi="Times New Roman"/>
          <w:i/>
          <w:sz w:val="20"/>
        </w:rPr>
        <w:t xml:space="preserve">Alternative Treatment of the Receipt of CVRs and the AVROBIO Reverse Stock Split as a Single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AVROBIO’s position that the issuance of CVRs and the AVROBIO reverse stock split are appropriately treated as separate transactions, it is possible that the IRS or a court could determine that the issuance of the CVRs (and/or any payments thereon) and the AVROBIO reverse stock split constitute a single “recapitalization” for U.S. federal income tax purposes with the CVRs constituting taxable “boot” received in such recapitalization exchange. In such case, the tax consequences of the CVRs and the AVROBIO reverse stock split would differ from those described above and would depend in part on many of the same considerations described above. </w:t>
      </w:r>
    </w:p>
    <w:p>
      <w:pPr>
        <w:pStyle w:val="TextBody"/>
        <w:bidi w:val="0"/>
        <w:spacing w:before="24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ISSUANCE OF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1" w:name="toc770053_88"/>
      <w:bookmarkEnd w:id="91"/>
      <w:r>
        <w:rPr>
          <w:rFonts w:ascii="Times New Roman" w:hAnsi="Times New Roman"/>
          <w:b/>
          <w:sz w:val="20"/>
        </w:rPr>
        <w:t xml:space="preserve">AVROBIO DIRECTORS, OFFICERS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March 15, 2024, concerning AVROBIO’s directors and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9"/>
        <w:gridCol w:w="120"/>
        <w:gridCol w:w="6955"/>
        <w:gridCol w:w="120"/>
        <w:gridCol w:w="79"/>
        <w:gridCol w:w="346"/>
        <w:gridCol w:w="76"/>
      </w:tblGrid>
      <w:tr>
        <w:trPr/>
        <w:tc>
          <w:tcPr>
            <w:tcW w:w="2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50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 Held with AVROBIO</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Gail Farfel, Ph.D.</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60</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71</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 J. Vickers, Ph.D.</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64</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Clark</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58</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Director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49</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Director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63</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President, Interim Chief Executive Officer, Chief Financial Officer and Treasurer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51</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Avruch</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Chief Legal Officer and Secretary</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63</w:t>
            </w:r>
          </w:p>
        </w:tc>
        <w:tc>
          <w:tcPr>
            <w:tcW w:w="76" w:type="dxa"/>
            <w:tcBorders/>
            <w:shd w:fill="CCEEFF" w:val="clear"/>
            <w:vAlign w:val="center"/>
          </w:tcPr>
          <w:p>
            <w:pPr>
              <w:pStyle w:val="TableContents"/>
              <w:bidi w:val="0"/>
              <w:spacing w:before="0" w:after="283"/>
              <w:jc w:val="left"/>
              <w:rPr/>
            </w:pPr>
            <w:r>
              <w:rPr/>
              <w:t> </w:t>
            </w:r>
          </w:p>
        </w:tc>
      </w:tr>
      <w:tr>
        <w:trPr/>
        <w:tc>
          <w:tcPr>
            <w:tcW w:w="25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 Ph.D.</w:t>
            </w:r>
          </w:p>
        </w:tc>
        <w:tc>
          <w:tcPr>
            <w:tcW w:w="120" w:type="dxa"/>
            <w:tcBorders/>
            <w:vAlign w:val="center"/>
          </w:tcPr>
          <w:p>
            <w:pPr>
              <w:pStyle w:val="TableContents"/>
              <w:bidi w:val="0"/>
              <w:spacing w:before="0" w:after="283"/>
              <w:jc w:val="left"/>
              <w:rPr/>
            </w:pPr>
            <w:r>
              <w:rPr/>
              <w:t>  </w:t>
            </w:r>
          </w:p>
        </w:tc>
        <w:tc>
          <w:tcPr>
            <w:tcW w:w="6955" w:type="dxa"/>
            <w:tcBorders/>
            <w:vAlign w:val="center"/>
          </w:tcPr>
          <w:p>
            <w:pPr>
              <w:pStyle w:val="TableContents"/>
              <w:bidi w:val="0"/>
              <w:spacing w:before="0" w:after="283"/>
              <w:jc w:val="left"/>
              <w:rPr/>
            </w:pPr>
            <w:r>
              <w:rPr/>
              <w:t>Chief Technology Officer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45</w:t>
            </w:r>
          </w:p>
        </w:tc>
        <w:tc>
          <w:tcPr>
            <w:tcW w:w="76" w:type="dxa"/>
            <w:tcBorders/>
            <w:vAlign w:val="center"/>
          </w:tcPr>
          <w:p>
            <w:pPr>
              <w:pStyle w:val="TableContents"/>
              <w:bidi w:val="0"/>
              <w:spacing w:before="0" w:after="283"/>
              <w:jc w:val="left"/>
              <w:rPr/>
            </w:pPr>
            <w:r>
              <w:rPr/>
              <w:t> </w:t>
            </w:r>
          </w:p>
        </w:tc>
      </w:tr>
      <w:tr>
        <w:trPr/>
        <w:tc>
          <w:tcPr>
            <w:tcW w:w="25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Essra Ridha, M.D., MRCP, FFPM</w:t>
            </w:r>
          </w:p>
        </w:tc>
        <w:tc>
          <w:tcPr>
            <w:tcW w:w="120" w:type="dxa"/>
            <w:tcBorders/>
            <w:shd w:fill="CCEEFF" w:val="clear"/>
            <w:vAlign w:val="center"/>
          </w:tcPr>
          <w:p>
            <w:pPr>
              <w:pStyle w:val="TableContents"/>
              <w:bidi w:val="0"/>
              <w:spacing w:before="0" w:after="283"/>
              <w:jc w:val="left"/>
              <w:rPr/>
            </w:pPr>
            <w:r>
              <w:rPr/>
              <w:t>  </w:t>
            </w:r>
          </w:p>
        </w:tc>
        <w:tc>
          <w:tcPr>
            <w:tcW w:w="6955" w:type="dxa"/>
            <w:tcBorders/>
            <w:shd w:fill="CCEEFF" w:val="clear"/>
            <w:vAlign w:val="center"/>
          </w:tcPr>
          <w:p>
            <w:pPr>
              <w:pStyle w:val="TableContents"/>
              <w:bidi w:val="0"/>
              <w:spacing w:before="0" w:after="283"/>
              <w:jc w:val="left"/>
              <w:rPr/>
            </w:pPr>
            <w:r>
              <w:rPr/>
              <w:t>Chief Medical Officer</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i/>
          <w:sz w:val="20"/>
        </w:rPr>
        <w:t>Gail M. Farfel, Ph.D.</w:t>
      </w:r>
      <w:r>
        <w:rPr>
          <w:rFonts w:ascii="Times New Roman" w:hAnsi="Times New Roman"/>
          <w:sz w:val="20"/>
        </w:rPr>
        <w:t xml:space="preserve"> has served as a member of the AVROBIO Board since October 2020. Dr. Farfel served as the chief executive officer of ProMIS Neurosciences, Inc., a biopharmaceutical company, from September 2022 to December 2023. From June 2015 to September 2022, Dr. Farfel was executive vice president and chief development officer of Zogenix Inc., a biopharmaceutical company. Previously, Dr. Farfel was chief clinical and regulatory officer of Marinus Pharmaceuticals (Nasdaq: MRNS), establishing and overseeing clinical, medical and regulatory strategies for adult and pediatric seizure disorders, including a pediatric epileptic orphan disease. She also previously served as vice president, therapeutic area head for neuroscience clinical development and medical affairs at Novartis Pharmaceuticals Corporation, where she oversaw a portfolio of products for multiple sclerosis, Alzheimer’s disease and Parkinson’s disease. Dr. Farfel serves on the board of directors of Durect Corporation (Nasdaq: DRRX). She previously served on the board of directors of Zogenix International Ltd., a wholly owned subsidiary of Zogenix, Inc. (Nasdaq: ZGNX).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AVROBIO believes that Dr. Farfel is qualified to serve on the AVROBIO Board because of her scientific, executive,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Christopher Paige, Ph.D.</w:t>
      </w:r>
      <w:r>
        <w:rPr>
          <w:rFonts w:ascii="Times New Roman" w:hAnsi="Times New Roman"/>
          <w:sz w:val="20"/>
        </w:rPr>
        <w:t xml:space="preserve"> has served as a member of the AVROBIO Board since January 2016. Dr. Paige is a professor in the departments of medical biophysics and immunology at the University of Toronto and has served in that role since 1987. He also holds the position of Emeritus Senior Scientist at UHN after having served as a senior scientist at UHN from 1987 to 2021. From 1997 to October 2016, he served as the vice president, research of UHN.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AVROBIO believes Dr. Paige is qualified to serve on the AVROBIO Board because of his scientific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Philip J. Vickers, Ph.D.</w:t>
      </w:r>
      <w:r>
        <w:rPr>
          <w:rFonts w:ascii="Times New Roman" w:hAnsi="Times New Roman"/>
          <w:sz w:val="20"/>
        </w:rPr>
        <w:t xml:space="preserve"> has served as a member of the AVROBIO Board since January 2019. Dr. Vickers is president and chief executive officer of Solu Therapeutics, a biotechnology company, and has served in this role since September 2023. Dr. Vickers was the chief executive officer of Faze Medicines, a biotechnology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January 2021 to November 2022. From November 2017 until December 2020, Dr. Vickers served as the president and chief executive officer and a member of the 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previously served on the board of directors of Revance Therapeutics, Inc. (Nasdaq: RVNC), a biotechnology company, from February 2015 until May 2023. Dr. Vickers also serves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AVROBIO believes that Dr. Vickers is qualified to serve on the AVROBIO Board because of his scientific, executive, and industry experience in the field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Ian Clark</w:t>
      </w:r>
      <w:r>
        <w:rPr>
          <w:rFonts w:ascii="Times New Roman" w:hAnsi="Times New Roman"/>
          <w:sz w:val="20"/>
        </w:rPr>
        <w:t xml:space="preserve"> has served as a member of the AVROBIO Board since January 2018. From 2010 to 2016, Mr. Clark served as the chief executive officer and 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Corvus Pharmaceuticals, Inc. (Nasdaq: CRVS), Takeda Pharmaceutical Company Limited (NYSE: TAK), Olema Pharmaceuticals, Inc. (Nasdaq: OLMA), where he serves as chairman of the board of directors, Kyverna Therapeutics, Inc. (Nasdaq: KYTX), where he serves as chairman of the board of directors, and Guardant Health, Inc. (Nasdaq: GH), where he also serves as the lead independent director. Mr. Clark serves as an advisor to KKR. Mr. Clark previously served on the board of directors of Agios Pharmaceuticals, Forty Seven, Inc., Shire plc, Kite Pharma, and TerraVia (formerly Solazyme). He also previously served on the board of directors of the Biotechnology Industry Organization (BIO), as a member of the economic advisory council of the Federal Reserve Bank of San Francisco, as an operating partner of Blackstone Life Sciences, a private investment firm focusing on the life sciences sector and an operating unit within The Blackstone Group L.P., and as a member of the strategic priorities board of BioFulcrum, an initiative within the Gladstone Institutes. Mr. Clark received a B.S. and honorary doctorate in biological sciences from Southampton University in the United Kingdom. AVROBIO believes Mr. Clark is qualified to serve on the AVROBIO Board because of his industry experience in the field in which AVROBIO operates and his executive experience with companies in AVROBIO’s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Annalisa Jenkins, M.B.B.S., F.R.C.P. </w:t>
      </w:r>
      <w:r>
        <w:rPr>
          <w:rFonts w:ascii="Times New Roman" w:hAnsi="Times New Roman"/>
          <w:sz w:val="20"/>
        </w:rPr>
        <w:t xml:space="preserve">has served as a member of the AVROBIO Board since April 2018. From November 2017 until April 2019, Dr. Jenkins served as the chief executive officer of PlaqueTec Ltd., a biotechnology company focusing on coronary artery disease treatment and prevention. Previously, Dr. Jenkins served as the president and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currently serves on the board of Genomics England, a UK government entity dedicated to advancing the 100,000 Genomes Project. Dr. Jenkins also serves on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of Affimed N.V. (Nasdaq: AFMD), Compass Pathways (Nasdaq: CMPS), Mereo Biopharma Group plc (Nasdaq: MREO), and a number of privately held biotechnology and life science companies, and serves as a trustee to a number of non-profit organizations. Dr. Jenkins previously served on the board of numerous biotechnology and life science companies, including AgeX Therapeutics, Inc. (NYSE American: AGE), Silence Therapeutics, Ardelyx, Inc., Oncimmune Holdings plc (LSE: ONC), OncoSec Medical Incorporated, and Sensyne Health plc., and she served as a committee member of the science board to the FDA, which advised leadership on complex scientific and technical issues.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AVROBIO believes Dr. Jenkins is qualified to serve on the AVROBIO Board based on her industry experience in the field in which AVROBIO operates and her executive experience with companies in AVROBIO’s industry. </w:t>
      </w:r>
    </w:p>
    <w:p>
      <w:pPr>
        <w:pStyle w:val="TextBody"/>
        <w:bidi w:val="0"/>
        <w:spacing w:before="240" w:after="0"/>
        <w:jc w:val="left"/>
        <w:rPr>
          <w:rFonts w:ascii="Times New Roman" w:hAnsi="Times New Roman"/>
          <w:sz w:val="20"/>
        </w:rPr>
      </w:pPr>
      <w:r>
        <w:rPr>
          <w:rFonts w:ascii="Times New Roman" w:hAnsi="Times New Roman"/>
          <w:b/>
          <w:i/>
          <w:sz w:val="20"/>
        </w:rPr>
        <w:t>Bruce Booth, D.Phil.</w:t>
      </w:r>
      <w:r>
        <w:rPr>
          <w:rFonts w:ascii="Times New Roman" w:hAnsi="Times New Roman"/>
          <w:sz w:val="20"/>
        </w:rPr>
        <w:t xml:space="preserve"> has served as the Chairperson of the AVROBIO Board since February 2016. Dr. Booth joined Atlas Venture in 2005, and currently 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research and development productivity, corporate strategy and business development issues across the biopharmaceutical sector. Dr. Booth is chairman of the board of directors and co-founder of Kymera Therapeutics, Inc. (Nasdaq: KYMR) and chairman of the board of directors of Vigil Neuroscience (Nasdaq: VIGL), which are biotechnology companies. He also serves on the board of several privately held companies. From February 2018 until July 2020, Dr. Booth served as chairperson of the board of directors of Unum Therapeutics Inc. (Nasdaq: UMRX), now called Cogent Biosciences (Nasdaq: COGT); from February 2017 until December 2018, Dr. Booth served as independent chairperson of the board of directors of miRagen Therapeutics, Inc. (Nasdaq: MGEN), now called Viridian Therapeutics, Inc (Nasdaq: VRDN); from August 2006 until June 2018, Dr. Booth served on the board of directors of Zafgen, Inc. (Nasdaq: ZFGN), now called Larimar Therapeutics, Inc. (Nasdaq: LRMR); and from February 2016 until September 2023, Dr. Booth served on the board of directors of Magenta Therapeutics, Inc. (Nasdaq: MGTA), now called Dianthus Therapeutics, Inc. (Nasdaq: DNTH). As a British Marshall Scholar, Dr. Booth holds a D.Phil. in molecular immunology from Oxford University’s Nuffield Department of Medicine and a B.S. in biochemistry, summa cum laude, from Pennsylvania State University. AVROBIO believes Dr. Booth’s extensive leadership, executive, managerial and business experience with life sciences companies, including experience in the formation, development and business strategy of multiple start-up companies in the life sciences sector, qualifies him to serve on the AVROBIO Board. </w:t>
      </w:r>
    </w:p>
    <w:p>
      <w:pPr>
        <w:pStyle w:val="TextBody"/>
        <w:bidi w:val="0"/>
        <w:spacing w:before="240" w:after="0"/>
        <w:jc w:val="left"/>
        <w:rPr>
          <w:rFonts w:ascii="Times New Roman" w:hAnsi="Times New Roman"/>
          <w:sz w:val="20"/>
        </w:rPr>
      </w:pPr>
      <w:r>
        <w:rPr>
          <w:rFonts w:ascii="Times New Roman" w:hAnsi="Times New Roman"/>
          <w:b/>
          <w:i/>
          <w:sz w:val="20"/>
        </w:rPr>
        <w:t>Phillip B. Donenberg</w:t>
      </w:r>
      <w:r>
        <w:rPr>
          <w:rFonts w:ascii="Times New Roman" w:hAnsi="Times New Roman"/>
          <w:sz w:val="20"/>
        </w:rPr>
        <w:t xml:space="preserve"> has served as a member of the AVROBIO Board and Audit Committee chair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Accountant. AVROBIO believes Mr. Donenberg is qualified to serve on the AVROBIO Board because of his financial expertise and his experience as an executive of companies in the industry in which AVROBIO operates. </w:t>
      </w:r>
    </w:p>
    <w:p>
      <w:pPr>
        <w:pStyle w:val="TextBody"/>
        <w:bidi w:val="0"/>
        <w:spacing w:before="240" w:after="0"/>
        <w:jc w:val="left"/>
        <w:rPr>
          <w:rFonts w:ascii="Times New Roman" w:hAnsi="Times New Roman"/>
          <w:sz w:val="20"/>
        </w:rPr>
      </w:pPr>
      <w:r>
        <w:rPr>
          <w:rFonts w:ascii="Times New Roman" w:hAnsi="Times New Roman"/>
          <w:b/>
          <w:i/>
          <w:sz w:val="20"/>
        </w:rPr>
        <w:t>Erik Ostrowski</w:t>
      </w:r>
      <w:r>
        <w:rPr>
          <w:rFonts w:ascii="Times New Roman" w:hAnsi="Times New Roman"/>
          <w:sz w:val="20"/>
        </w:rPr>
        <w:t xml:space="preserve"> has been AVROBIO’s Chief Financial Officer and Treasurer since January 2019 and has also served as AVROBIO’s President and Interim Chief Executive Officer since May 1, 2023. From June 2014 to December 2018, Mr. Ostrowski served as the chief financial officer of Summit Therapeutics plc., a biotechnology company.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He received a B.S. in accounting and economics from Babson College and a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i/>
          <w:sz w:val="20"/>
        </w:rPr>
        <w:t>Steven Avruch</w:t>
      </w:r>
      <w:r>
        <w:rPr>
          <w:rFonts w:ascii="Times New Roman" w:hAnsi="Times New Roman"/>
          <w:sz w:val="20"/>
        </w:rPr>
        <w:t xml:space="preserve"> has been AVROBIO’s Chief Legal Officer and Secretary since March 2020 and previously served as AVROBIO’s Vice President, General Counsel and Secretary from January 2019 to March 2020. Prior to joining AVROBIO,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 </w:t>
      </w:r>
    </w:p>
    <w:p>
      <w:pPr>
        <w:pStyle w:val="TextBody"/>
        <w:bidi w:val="0"/>
        <w:spacing w:before="240" w:after="0"/>
        <w:jc w:val="left"/>
        <w:rPr>
          <w:rFonts w:ascii="Times New Roman" w:hAnsi="Times New Roman"/>
          <w:sz w:val="20"/>
        </w:rPr>
      </w:pPr>
      <w:r>
        <w:rPr>
          <w:rFonts w:ascii="Times New Roman" w:hAnsi="Times New Roman"/>
          <w:b/>
          <w:i/>
          <w:sz w:val="20"/>
        </w:rPr>
        <w:t>Azadeh Golipour, Ph.D.</w:t>
      </w:r>
      <w:r>
        <w:rPr>
          <w:rFonts w:ascii="Times New Roman" w:hAnsi="Times New Roman"/>
          <w:sz w:val="20"/>
        </w:rPr>
        <w:t xml:space="preserve"> has been AVROBIO’s Chief Technology Officer since January 2022. Prior to that she was SVP, Portfolio Planning and Program Management from October 2021 to January 2022. From July 2016 through October 2021 Dr. Golipour held positions of increasing responsibility at AVROBIO, including: SVP, CMC Strategy &amp; Manufacturing; VP, Manufacturing Operations; Senior Director, Manufacturing Operations; and Director, Manufacturing Operations. Dr. Golipour received a Ph.D. in molecular genetics from University of Toronto (Canada) and has published multiple articles, including two first-author articles in the journal Cell, Stem Cell and one article in the journal Nature. Dr. Golipour’s articles on reprogramming stem cells have been cited more than 1,000 times. </w:t>
      </w:r>
    </w:p>
    <w:p>
      <w:pPr>
        <w:pStyle w:val="TextBody"/>
        <w:bidi w:val="0"/>
        <w:spacing w:before="240" w:after="0"/>
        <w:jc w:val="left"/>
        <w:rPr>
          <w:rFonts w:ascii="Times New Roman" w:hAnsi="Times New Roman"/>
          <w:sz w:val="20"/>
        </w:rPr>
      </w:pPr>
      <w:r>
        <w:rPr>
          <w:rFonts w:ascii="Times New Roman" w:hAnsi="Times New Roman"/>
          <w:b/>
          <w:i/>
          <w:sz w:val="20"/>
        </w:rPr>
        <w:t>Essra Ridha, M.D., M.R.C.P., F.F.P.M.</w:t>
      </w:r>
      <w:r>
        <w:rPr>
          <w:rFonts w:ascii="Times New Roman" w:hAnsi="Times New Roman"/>
          <w:sz w:val="20"/>
        </w:rPr>
        <w:t xml:space="preserve"> has been AVROBIO’s Chief Medical Officer since October 2021, and from April 2021 to July 2021, she was AVROBIO’s Vice President, Clinical Development. Prior to joining AVROBIO, from June 2019 to February 2021, Dr. Ridha was senior medical director at Sangamo Therapeutics, a biotechnology company, and before that, from March 2016 to December 2018, she served as clinical development director at GlaxoSmithKline, a pharmaceutical company. From June 2014 to March 2016, Dr. Ridha worked as a medical expert at Bristol Myers Squibb Pharmaceuticals advising on late-stage clinical development, medical affairs, real-world evidence and health economics and outcomes research in cardiovascular medicine. Dr. Ridha is a member of the Royal College of Physicians of London, as well as a Fellow of the Faculty of Pharmaceutical Medicine. She was an expert panel member at the World Health Organization Expert Advisory Committee to develop Global Standards for the Governance and Oversight of Human Genome Editing. She earned her medical degrees from the Royal Free &amp; University College London Medical School and earned her Bachelor of Science Neuroscience with Basic Medical Sciences, with honors, from University College London.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or among any of AVROBIO’s directors or executive officers. The principal occupation and employment during the past five years of each of AVROBIO’s directors and executive officers was carried on, in each case except as specifically identified above, with a corporation or organization that is not a parent, subsidiary or other affiliate of AVROBIO. Other than as described in this proxy statement/prospectus, there is no arrangement or understanding between any of AVROBIO’s directors or executive officers and any other person or persons pursuant to which he or she was or is to be selected as a director or an executive officer,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no material legal proceedings to which any of AVROBIO’s executive officers is a party adverse to AVROBIO or AVROBIO’s subsidiaries or in which any such person has a material interest adverse to AVROBIO or AVROBIO’s subsidiaries. </w:t>
      </w:r>
    </w:p>
    <w:p>
      <w:pPr>
        <w:pStyle w:val="TextBody"/>
        <w:bidi w:val="0"/>
        <w:spacing w:before="360" w:after="0"/>
        <w:jc w:val="left"/>
        <w:rPr>
          <w:rFonts w:ascii="Times New Roman" w:hAnsi="Times New Roman"/>
          <w:b/>
          <w:sz w:val="20"/>
        </w:rPr>
      </w:pPr>
      <w:bookmarkStart w:id="92" w:name="toc770053_89"/>
      <w:bookmarkEnd w:id="92"/>
      <w:r>
        <w:rPr>
          <w:rFonts w:ascii="Times New Roman" w:hAnsi="Times New Roman"/>
          <w:b/>
          <w:sz w:val="20"/>
        </w:rPr>
        <w:t xml:space="preserve">Number and Terms of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consists of seven members. In accordance with the terms of AVROBIO’s charter and bylaws, the AVROBIO Board is divided into three classes, Class I, Class II and Class III, with members of each class serving staggered three-year terms. Upon the expiration of the term of a class of directors, directors in that class will be eligible to be elected for a new three-year term at the annual meeting of stockholders in the year in which their term expires. The directors are divided among the three classes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Gail Farfel, Ph.D., Christopher Paige, Ph.D. and Philip Vickers, Ph.D., and their terms will expire at AVROBIO’s annual meeting of stockholders to be held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Ian Clark and Annalisa Jenkins, M.B.B.S., F.R.C.P., and their terms will expire at AVROBIO’s annual meeting of stockholders to be held in 2026;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Bruce Booth, D.Phil. and Phillip Donenberg, and their terms will expire at the annual meeting of stockholders to be held in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expects that any additional directorships resulting from an increase in the number of directors will be distributed among the three classes so that, as nearly as possible, each class will consist of one-third of the directors. The division of the AVROBIO Board into three classes with staggered three-year terms may delay or prevent a change of AVROBIO’s management or a change in control. </w:t>
      </w:r>
    </w:p>
    <w:p>
      <w:pPr>
        <w:pStyle w:val="TextBody"/>
        <w:bidi w:val="0"/>
        <w:spacing w:before="360" w:after="0"/>
        <w:jc w:val="left"/>
        <w:rPr>
          <w:rFonts w:ascii="Times New Roman" w:hAnsi="Times New Roman"/>
          <w:b/>
          <w:sz w:val="20"/>
        </w:rPr>
      </w:pPr>
      <w:bookmarkStart w:id="93" w:name="toc770053_90"/>
      <w:bookmarkEnd w:id="93"/>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 Corporate Governance section of AVROBIO’s website, www.avrobio.com. The AVROBIO Board may from time to time establish other special or standing committees to facilitate the management of AVROBIO or to discharge specific duties delegated by the full AVROBIO Board. Members will serve on these committees until their resignation or until otherwise determined by the AVROBIO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Phillip Donenberg, Annalisa Jenkins and Christopher Paige serve on the AVROBIO Audit Committee, which is chaired by Mr. Donenberg. The AVROBIO Board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The AVROBIO Board has designated Mr. Donenberg as an “audit committee financial expert,” as defined under the applicable rules of the SEC. The Audit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AVROBIO’s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pre-approving auditing and permissible non-audit services, and the terms of such services, to be provided by AVROBIO’s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overall audit plan with AVROBIO’s independent registered public accounting firm and members of management responsible for preparing AVROBIO’s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AVROBIO’s independent registered public accounting firm AVROBIO’s annual and quarterly financial statements and related disclosures as well as critical accounting policies and practices used by AVROBIO;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coordinating the oversight and reviewing the adequacy of AVROBIO’s internal control over financial reporting;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and procedures for the receipt and retention of accounting-related complaints and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based upon the Audit Committee’s review and discussions with management and AVROBIO’s independent registered public accounting firm whether AVROBIO’s audited financial statements shall be included in AVROBIO’s Annual Report on Form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integrity of AVROBIO’s financial statements and AVROBIO’s compliance with legal and regulatory requirements as they relate to AVROBIO’s financial statements and accounting matters; </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required by SEC rules to be included in AVROBIO’s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all related person transactions for potential conflict of interest situations and approving all such transactions; and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quarterly earnings releases.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Ian Clark, Bruce Booth and Philip Vickers serve on the AVROBIO Compensation Committee, which is chaired by Mr. Clark. The AVROBIO Board has determined that each member of the AVROBIO Compensation Committee is “independent” as defined in the applicable Nasdaq rules. The AVROBIO Compensation Committee’s responsibilities include: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approving corporate goals and objectives relevant to the compensation of AVROBIO’s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AVROBIO’s Chief Executive Officer in light of such corporate goals and objectives, and based on such evaluation, reviewing and approving the proposed compensation for AVROBIO’s Chief Executive Officer, including (i) the cash compensation of AVROBIO’s Chief Executive Officer, (ii) grants and awards to AVROBIO’s Chief Executive Officer under equity-based plans, (iii) amendments to or extensions of AVROBIO’s Chief Executive Officer’s employment agreement or other similar arrangements, (iv) any severance or change in control arrangement, (v) any supplemental or retirement benefits, and (vi) any other compensation matters as may be directed by the AVROBIO Compensation Committee or the AVROBIO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evaluating the performance of, or reviewing AVROBIO’s Chief Executive Officer’s assessment of, AVROBIO’s other executive officers in light of the corporate goals and objectives relevant to their compensation;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cash compensation of AVROBIO’s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periodically reviewing any policies and programs concerning perquisite benefits and non-cash or other benefits for AVROBIO’s executive officers;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AVROBIO’s overall management compensation, philosophy, and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AVROBIO’s overall compensation policies and practices, and assessing whether any risks arising from such policies and practices are reasonably likely to have a material adverse effect on AVROBIO;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AVROBIO’s compensation and similar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assessing potential and current compensation advisors in accordance with the independence standards identified in the applicable Nasdaq rules;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AVROBIO’s policies and procedures for the grant of equity-based awards;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AVROBIO Board the compensation of AVROBIO’s directors;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AVROBIO’s Compensation Committee report if and when required by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AVROBIO Board corporate succession plans for AVROBIO’s Chief Executive Officer and AVROBIO’s other key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annually with management AVROBIO’s “Compensation Discussion and Analysis,” if and when required, to be included in AVROBIO’s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AVROBIO Board management proposals to AVROBIO stockholders as well as proposals received from AVROBIO stockholders that relate to executive compensation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retention or termination of any consulting firm or outside advisor to assist in the evaluation of compensation matters; and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retaining and approving the compensation of any compensation advisors.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Annalisa Jenkins, Phillip Donenberg and Christopher Paige serve on the Nominating and Corporate Governance Committee, which is chaired by Dr. Jenkins. The AVROBIO Board has determined that each member of the Nominating and Corporate Governance Committee is “independent” as defined in the applicable Nasdaq rules. The Nominating and Corporate Governance Committee’s responsibilities include: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AVROBIO Board criteria for board and committee membership;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identifying and evaluating board of director candidates, including nominees recommended by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size and composition of the AVROBIO Board to ensure that it is composed of members containing the appropriate skills and expertise to advise AVROBIO;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AVROBIO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AVROBIO Board the persons to be nominated for election as directors and to each of the AVROBIO Board’s committees;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AVROBIO Board a set of corporate governance guidelines; and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AVROBIO Board. </w:t>
            </w:r>
          </w:p>
        </w:tc>
      </w:tr>
    </w:tbl>
    <w:p>
      <w:pPr>
        <w:pStyle w:val="TextBody"/>
        <w:bidi w:val="0"/>
        <w:spacing w:before="240" w:after="0"/>
        <w:jc w:val="left"/>
        <w:rPr>
          <w:rFonts w:ascii="Times New Roman" w:hAnsi="Times New Roman"/>
          <w:sz w:val="20"/>
        </w:rPr>
      </w:pPr>
      <w:r>
        <w:rPr>
          <w:rFonts w:ascii="Times New Roman" w:hAnsi="Times New Roman"/>
          <w:sz w:val="20"/>
        </w:rPr>
        <w:t>The Nominating and Corporate Governance Committee considers candidates for board of director membership suggested by its members and AVROBIO’s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AVROBIO Board. Any stockholder who wishes to recommend a candidate for consideration by the committee as a nominee for director should follow the procedures described beginning on page 478 of this proxy statement/prospectus under the heading “</w:t>
      </w:r>
      <w:r>
        <w:rPr>
          <w:rFonts w:ascii="Times New Roman" w:hAnsi="Times New Roman"/>
          <w:i/>
          <w:sz w:val="20"/>
        </w:rPr>
        <w:t>Stockholder Proposals</w:t>
      </w:r>
      <w:r>
        <w:rPr>
          <w:rFonts w:ascii="Times New Roman" w:hAnsi="Times New Roman"/>
          <w:sz w:val="20"/>
        </w:rPr>
        <w:t>.” The Nominating and Corporate Governance Committee will also consider whether to nominate any person proposed by a stockholder in accordance with the provisions of AVROBIO’s bylaws relating to stockholder nominations as described beginning on page 478 of this proxy statement/prospectus under the heading “</w:t>
      </w:r>
      <w:r>
        <w:rPr>
          <w:rFonts w:ascii="Times New Roman" w:hAnsi="Times New Roman"/>
          <w:i/>
          <w:sz w:val="20"/>
        </w:rPr>
        <w:t>Stockholder Proposals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Identifying and Evaluating Director Nominees.</w:t>
      </w:r>
      <w:r>
        <w:rPr>
          <w:rFonts w:ascii="Times New Roman" w:hAnsi="Times New Roman"/>
          <w:sz w:val="20"/>
        </w:rPr>
        <w:t xml:space="preserve"> The AVROBIO Board is responsible for filling vacancies on the AVROBIO Board and for nominating candidates for election by AVROBIO’s stockholders each year in the class of directors whose term expires at the relevant annual meeting. The AVROBIO Board delegates the selection and nomination process to the Nominating and Corporate Governance Committee, with the expectation that other members of the AVROBIO Board, and of management, will be requested to take part in the process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AVROBIO Board. Based on the results of the evaluation process, the Nominating and Corporate Governance Committee recommends candidates for the AVROBIO Board’s approval to fill a vacancy or as director nominees for election to the AVROBIO Board by AVROBIO’s stockholders each year in the class of directors whose term expires at the relevant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&amp; Technology Committee </w:t>
      </w:r>
    </w:p>
    <w:p>
      <w:pPr>
        <w:pStyle w:val="TextBody"/>
        <w:bidi w:val="0"/>
        <w:spacing w:before="120" w:after="0"/>
        <w:jc w:val="left"/>
        <w:rPr>
          <w:rFonts w:ascii="Times New Roman" w:hAnsi="Times New Roman"/>
          <w:sz w:val="20"/>
        </w:rPr>
      </w:pPr>
      <w:r>
        <w:rPr>
          <w:rFonts w:ascii="Times New Roman" w:hAnsi="Times New Roman"/>
          <w:sz w:val="20"/>
        </w:rPr>
        <w:t xml:space="preserve">Philip Vickers, Bruce Booth, Gail Farfel, Annalisa Jenkins and Christopher Paige serve on the Science &amp; Technology Committee, which is chaired by Dr. Vickers. The Science &amp; Technology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advising the AVROBIO Board on AVROBIO’s research and development programs and progress in achieving research and development goals and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the AVROBIO Board on the scientific and research and development aspects of licensing, collaboration and acquisition transactions that require approval by the AVROBIO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management’s exercise of its responsibility to assess and manage risks associated with AVROBIO’s research and development activities, clinical development and intellectual property;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any recommendations to the AVROBIO Board that the Science &amp; Technology Committee deems appropriate on any areas within its responsibility, including where action or improvement is needed. </w:t>
            </w:r>
          </w:p>
        </w:tc>
      </w:tr>
    </w:tbl>
    <w:p>
      <w:pPr>
        <w:pStyle w:val="TextBody"/>
        <w:bidi w:val="0"/>
        <w:spacing w:before="360" w:after="0"/>
        <w:jc w:val="left"/>
        <w:rPr>
          <w:rFonts w:ascii="Times New Roman" w:hAnsi="Times New Roman"/>
          <w:b/>
          <w:sz w:val="20"/>
        </w:rPr>
      </w:pPr>
      <w:bookmarkStart w:id="94" w:name="toc770053_91"/>
      <w:bookmarkEnd w:id="94"/>
      <w:r>
        <w:rPr>
          <w:rFonts w:ascii="Times New Roman" w:hAnsi="Times New Roman"/>
          <w:b/>
          <w:sz w:val="20"/>
        </w:rPr>
        <w:t xml:space="preserve">Board and Committee Evaluations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oversees and establishes a periodic board and committee evaluation process. Generally, the AVROBIO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typically on an annual basis, and may determine to use an independent third party evaluation process from time to time in the future. For example, in 2020 AVROBIO engaged an independent third-party consultant to interview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on board performance and then provided feedback to the Nominating and Corporate Governance Committee for review and consideration. </w:t>
      </w:r>
    </w:p>
    <w:p>
      <w:pPr>
        <w:pStyle w:val="TextBody"/>
        <w:bidi w:val="0"/>
        <w:spacing w:before="360" w:after="0"/>
        <w:jc w:val="left"/>
        <w:rPr>
          <w:rFonts w:ascii="Times New Roman" w:hAnsi="Times New Roman"/>
          <w:b/>
          <w:sz w:val="20"/>
        </w:rPr>
      </w:pPr>
      <w:bookmarkStart w:id="95" w:name="toc770053_92"/>
      <w:bookmarkEnd w:id="95"/>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AVROBIO has adopted a written code of business conduct and ethics that applies to AVROBIO’s directors, officers and employees, including AVROBIO’s principal executive officer, principal financial officer, principal accounting officer or controller, or persons performing similar functions. A current copy of the code is posted on the Investors &amp; Media – Corporate Governance section of AVROBIO’s website, which is located at www.avrobio.com. If AVROBIO makes any substantive amendments to, or grants any waivers from, the code of business conduct and ethics for any officer or director, AVROBIO will disclose the nature of such amendment or waiver on AVROBIO’s website or in a Current Report on Form 8-K. </w:t>
      </w:r>
    </w:p>
    <w:p>
      <w:pPr>
        <w:pStyle w:val="TextBody"/>
        <w:bidi w:val="0"/>
        <w:spacing w:before="360" w:after="0"/>
        <w:jc w:val="left"/>
        <w:rPr>
          <w:rFonts w:ascii="Times New Roman" w:hAnsi="Times New Roman"/>
          <w:b/>
          <w:sz w:val="20"/>
        </w:rPr>
      </w:pPr>
      <w:bookmarkStart w:id="96" w:name="toc770053_93"/>
      <w:bookmarkEnd w:id="96"/>
      <w:r>
        <w:rPr>
          <w:rFonts w:ascii="Times New Roman" w:hAnsi="Times New Roman"/>
          <w:b/>
          <w:sz w:val="20"/>
        </w:rPr>
        <w:t xml:space="preserve">Board Leadership Structure and Board’s Role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Currently, the role of Chairperson of the AVROBIO Board is separated from the role of Chief Executive Officer. AVROBIO believes that separating these positions allows AVROBIO’s Chief Executive Officer to focus on the day-to-day business, while allowing the Chairperson of the AVROBIO Board to lead the AVROBIO Board in its fundamental role of providing advice to, and independent oversight, of management. The AVROBIO Board recognizes the time, effort, and energy that the Chief Executive Officer is required to devote to his position in the current business environment, as well as the commitment required by as AVROBIO’s Chairperson, particularly as the AVROBIO Board’s oversight responsibilities continue to grow. While AVROBIO’s bylaws and corporate governance guidelines do not require that AVROBIO’s Chairperson and Chief Executive Officer positions be separate, the AVROBIO Board believes that having separate positions is the appropriate leadership structure for AVROBIO at this time and demonstrates commitment to good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Risk is inherent to every business, and how well a business manages risk can ultimately determine its success. AVROBIO faces a number of risks, including risks relating to AVROBIO’s financial condition, operations, strategic direction, and intellectual property. Management is responsible for the day-to-day management of risks AVROBIO faces, while the AVROBIO Board, as a whole and through its committees, has responsibility for the oversight of risk management. In its risk oversight role, the AVROBIO Board has the responsibility to satisfy itself that the risk management processes designed and implemented by management are adequate and functioning as designed. </w:t>
      </w:r>
    </w:p>
    <w:p>
      <w:pPr>
        <w:pStyle w:val="TextBody"/>
        <w:bidi w:val="0"/>
        <w:spacing w:before="240" w:after="0"/>
        <w:jc w:val="left"/>
        <w:rPr>
          <w:rFonts w:ascii="Times New Roman" w:hAnsi="Times New Roman"/>
          <w:sz w:val="20"/>
        </w:rPr>
      </w:pPr>
      <w:r>
        <w:rPr>
          <w:rFonts w:ascii="Times New Roman" w:hAnsi="Times New Roman"/>
          <w:sz w:val="20"/>
        </w:rPr>
        <w:t xml:space="preserve">Generally, the role of the AVROBIO Board in overseeing the management of AVROBIO’s risks is conducted primarily through committees of the AVROBIO Board, as disclosed in the descriptions of each of the committees above and in the charters of each of the committees. However, at least annually management provides to the full board an overview of potential risks to AVROBIO, which is then updated and presented to the Audit Committee on a periodic (currently quarterly) basis. The full AVROBIO Board (or the appropriate board committee in the case of risks that are under the purview of a particular committee) discusses with management AVROBIO’s major risk exposures, their potential impact on AVROBIO, and the steps AVROBIO takes to manage them. When a board committee is responsible for evaluating and overseeing the management of a particular risk or risks, the chairperson of the relevant committee reports on the discussion to the full AVROBIO Board during the committee reports portion of the next board meeting. This enables the AVROBIO Board and its committees to coordinate the risk oversight role, particularly with respect to risk interrelationships. </w:t>
      </w:r>
    </w:p>
    <w:p>
      <w:pPr>
        <w:pStyle w:val="TextBody"/>
        <w:bidi w:val="0"/>
        <w:spacing w:before="360" w:after="0"/>
        <w:jc w:val="left"/>
        <w:rPr>
          <w:rFonts w:ascii="Times New Roman" w:hAnsi="Times New Roman"/>
          <w:b/>
          <w:sz w:val="20"/>
        </w:rPr>
      </w:pPr>
      <w:bookmarkStart w:id="97" w:name="toc770053_94"/>
      <w:bookmarkEnd w:id="97"/>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The Nasdaq listing requirements require each listed company to have, or explain why it does not have, at least two “Diverse” (as defined in Nasdaq Rule 5605(f)) directors on the board, including at least one Diverse director who self-identifies as female and one Diverse director who self-identifies as part of an underrepresented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minority or LGBTQ+. However, smaller reporting companies, such as AVROBIO, may satisfy this requirement by having two female directors. The current composition of the AVROBIO Board is in compliance with the Nasdaq diversity requirement. The table below provides certain highlights of the composition of the AVROBIO Board members based on their voluntary self-identified demographic characteristics. The categories “Female,” “LGBTQ+,” and “Two or More Races or Ethnicities” as used in the below table have the definitions as provided in Nasdaq Rule 5605(f). </w:t>
      </w:r>
    </w:p>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5420"/>
        <w:gridCol w:w="120"/>
        <w:gridCol w:w="99"/>
        <w:gridCol w:w="431"/>
        <w:gridCol w:w="60"/>
        <w:gridCol w:w="120"/>
        <w:gridCol w:w="141"/>
        <w:gridCol w:w="614"/>
        <w:gridCol w:w="60"/>
        <w:gridCol w:w="120"/>
        <w:gridCol w:w="231"/>
        <w:gridCol w:w="1004"/>
        <w:gridCol w:w="60"/>
        <w:gridCol w:w="120"/>
        <w:gridCol w:w="231"/>
        <w:gridCol w:w="1004"/>
        <w:gridCol w:w="75"/>
      </w:tblGrid>
      <w:tr>
        <w:trPr/>
        <w:tc>
          <w:tcPr>
            <w:tcW w:w="5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35" w:type="dxa"/>
            <w:gridSpan w:val="16"/>
            <w:tcBorders/>
            <w:vAlign w:val="center"/>
          </w:tcPr>
          <w:p>
            <w:pPr>
              <w:pStyle w:val="TableContents"/>
              <w:bidi w:val="0"/>
              <w:spacing w:before="0" w:after="283"/>
              <w:jc w:val="center"/>
              <w:rPr>
                <w:b/>
              </w:rPr>
            </w:pPr>
            <w:r>
              <w:rPr>
                <w:b/>
              </w:rPr>
              <w:t>Board Diversity Matrix (As of March 15, 2024)</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Size:</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sz w:val="4"/>
                <w:szCs w:val="4"/>
              </w:rPr>
            </w:pPr>
            <w:r>
              <w:rPr>
                <w:sz w:val="4"/>
                <w:szCs w:val="4"/>
              </w:rPr>
            </w:r>
          </w:p>
        </w:tc>
        <w:tc>
          <w:tcPr>
            <w:tcW w:w="43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 Directors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283"/>
              <w:jc w:val="left"/>
              <w:rPr>
                <w:b/>
              </w:rPr>
            </w:pPr>
            <w:r>
              <w:rPr>
                <w:b/>
              </w:rPr>
              <w:t>Gender:</w:t>
            </w:r>
          </w:p>
        </w:tc>
        <w:tc>
          <w:tcPr>
            <w:tcW w:w="12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b/>
              </w:rPr>
            </w:pPr>
            <w:r>
              <w:rPr>
                <w:b/>
              </w:rPr>
              <w:t>Male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rPr>
            </w:pPr>
            <w:r>
              <w:rPr>
                <w:b/>
              </w:rPr>
              <w:t>Female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Non-Binary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Gender</w:t>
              <w:br/>
              <w:t>Undisclosed</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directors based on gender identity</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Number of directors who identify in any of the categories below:</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Alaskan Native or American Indian</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Undisclosed</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98" w:name="toc770053_95"/>
      <w:bookmarkEnd w:id="98"/>
      <w:r>
        <w:rPr>
          <w:rFonts w:ascii="Times New Roman" w:hAnsi="Times New Roman"/>
          <w:b/>
          <w:sz w:val="20"/>
        </w:rPr>
        <w:t xml:space="preserve">Communication with the Directors of AVROBIO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AVROBIO may report such concerns to the AVROBIO Board or the chairperson of the AVROBIO Board or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AVROBIO, Inc. </w:t>
      </w:r>
    </w:p>
    <w:p>
      <w:pPr>
        <w:pStyle w:val="TextBody"/>
        <w:bidi w:val="0"/>
        <w:spacing w:before="0" w:after="0"/>
        <w:jc w:val="center"/>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AVROBIO tends to receive repetitive or duplicative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AVROBIO’s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which is (866) 569-1843.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9" w:name="toc770053_96"/>
      <w:bookmarkEnd w:id="99"/>
      <w:r>
        <w:rPr>
          <w:rFonts w:ascii="Times New Roman" w:hAnsi="Times New Roman"/>
          <w:b/>
          <w:sz w:val="20"/>
        </w:rPr>
        <w:t xml:space="preserve">AVROBIO EXECUTIVE COMPENSATION </w:t>
      </w:r>
    </w:p>
    <w:p>
      <w:pPr>
        <w:pStyle w:val="TextBody"/>
        <w:bidi w:val="0"/>
        <w:spacing w:before="240" w:after="0"/>
        <w:jc w:val="left"/>
        <w:rPr>
          <w:rFonts w:ascii="Times New Roman" w:hAnsi="Times New Roman"/>
          <w:b/>
          <w:sz w:val="20"/>
        </w:rPr>
      </w:pPr>
      <w:bookmarkStart w:id="100" w:name="toc770053_97"/>
      <w:bookmarkEnd w:id="100"/>
      <w:r>
        <w:rPr>
          <w:rFonts w:ascii="Times New Roman" w:hAnsi="Times New Roman"/>
          <w:b/>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AVROBIO has opted to comply with the executive compensation disclosure rules applicable to “smaller reporting companies,” as such term is defined in the rules promulgated under the Securities Act. This section provides an overview of the compensation awarded to, earned by, or paid to AVROBIO’s principal executive officer and AVROBIO’s next two most highly compensated executive officers in respect of their service to AVROBIO for the fiscal year ended December 31, 2023 and up to two additional individuals for whom disclosure would have been provided but for the fact that the individual was not serving as an executive officer as of December 31, 2023 (the “AVROBIO 2023 named executive officers”). The AVROBIO 2023 named executive officers are: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Erik Ostrowski, President, Interim Chief Executive Officer, Chief Financial Officer and Treasurer;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Geoff MacKay, former Chief Executive Officer and President;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Azadeh Golipour, Chief Technology Officer; and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110"/>
        <w:gridCol w:w="60"/>
        <w:gridCol w:w="2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Essra Ridha, Chief Medical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AVROBIO’s executive compensation program is based on a pay for performance philosophy. Compensation for AVROBIO’s executive officers is composed primarily of the following main components: base salary; bonus; and equity incentives in the form of options. AVROBIO’s executive officers, like all full-time employees, are eligible to participate in AVROBIO’s health and welfare benefit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awarded to, earned by, or paid to each of AVROBIO’s named executive officers for services rendered to AVROBIO in all capacities during the fiscal year ended December 31, 2023. The following table also presents information regarding the compensation awarded to, and earned by, and paid to each such individual during the fiscal year ended December 31, 2022, to the extent such individual was a named executive officer for such year. </w:t>
      </w:r>
    </w:p>
    <w:p>
      <w:pPr>
        <w:pStyle w:val="TextBody"/>
        <w:bidi w:val="0"/>
        <w:spacing w:before="0" w:after="0"/>
        <w:jc w:val="left"/>
        <w:rPr/>
      </w:pPr>
      <w:r>
        <w:rPr/>
        <w:t> </w:t>
      </w:r>
    </w:p>
    <w:tbl>
      <w:tblPr>
        <w:tblW w:w="10795" w:type="dxa"/>
        <w:jc w:val="left"/>
        <w:tblInd w:w="0" w:type="dxa"/>
        <w:tblLayout w:type="fixed"/>
        <w:tblCellMar>
          <w:top w:w="0" w:type="dxa"/>
          <w:left w:w="0" w:type="dxa"/>
          <w:bottom w:w="0" w:type="dxa"/>
          <w:right w:w="0" w:type="dxa"/>
        </w:tblCellMar>
      </w:tblPr>
      <w:tblGrid>
        <w:gridCol w:w="1445"/>
        <w:gridCol w:w="60"/>
        <w:gridCol w:w="60"/>
        <w:gridCol w:w="500"/>
        <w:gridCol w:w="60"/>
        <w:gridCol w:w="60"/>
        <w:gridCol w:w="60"/>
        <w:gridCol w:w="800"/>
        <w:gridCol w:w="60"/>
        <w:gridCol w:w="60"/>
        <w:gridCol w:w="60"/>
        <w:gridCol w:w="800"/>
        <w:gridCol w:w="215"/>
        <w:gridCol w:w="60"/>
        <w:gridCol w:w="60"/>
        <w:gridCol w:w="800"/>
        <w:gridCol w:w="60"/>
        <w:gridCol w:w="60"/>
        <w:gridCol w:w="60"/>
        <w:gridCol w:w="800"/>
        <w:gridCol w:w="60"/>
        <w:gridCol w:w="60"/>
        <w:gridCol w:w="103"/>
        <w:gridCol w:w="1387"/>
        <w:gridCol w:w="60"/>
        <w:gridCol w:w="60"/>
        <w:gridCol w:w="98"/>
        <w:gridCol w:w="1317"/>
        <w:gridCol w:w="335"/>
        <w:gridCol w:w="60"/>
        <w:gridCol w:w="60"/>
        <w:gridCol w:w="98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Salary</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Bonus</w:t>
            </w:r>
            <w:r>
              <w:rPr/>
              <w:br/>
            </w:r>
            <w:r>
              <w:rPr>
                <w:b/>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pPr>
            <w:r>
              <w:rPr>
                <w:b/>
              </w:rPr>
              <w:t>Non-Equity</w:t>
              <w:br/>
              <w:t>Incentive Plan</w:t>
              <w:br/>
              <w:t>Compensation</w:t>
            </w:r>
            <w:r>
              <w:rPr/>
              <w:br/>
            </w: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732,179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339,878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14,435</w:t>
            </w:r>
          </w:p>
        </w:tc>
        <w:tc>
          <w:tcPr>
            <w:tcW w:w="33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1,590,892</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Interim Chief Executive Officer, Chief Financial Officer and Treasurer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404,806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174,800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13,487</w:t>
            </w:r>
          </w:p>
        </w:tc>
        <w:tc>
          <w:tcPr>
            <w:tcW w:w="33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1,352,093</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Geoff MacKay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508,127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9,636</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726,767</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President and Chief Executive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431,000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710,700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303,050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12,542</w:t>
            </w:r>
          </w:p>
        </w:tc>
        <w:tc>
          <w:tcPr>
            <w:tcW w:w="33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2,037,292</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526,498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252,373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37,302</w:t>
            </w:r>
          </w:p>
        </w:tc>
        <w:tc>
          <w:tcPr>
            <w:tcW w:w="33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1,266,173</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Technology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141,000</w:t>
            </w:r>
          </w:p>
        </w:tc>
        <w:tc>
          <w:tcPr>
            <w:tcW w:w="215"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124,688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109,519</w:t>
            </w:r>
          </w:p>
        </w:tc>
        <w:tc>
          <w:tcPr>
            <w:tcW w:w="335"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1,030,438</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498,020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589,493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221,953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33,448</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1,342,914</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the 2022 amounts reflect discretionary retention bonuses granted in January 2022 and paid in two equal installments in June 2022 and December 2022. In addition, the 2023 amounts reflect a discretionary retention bonus granted to Mr. Ostrowski, Dr. Golipour and Dr. Ridha in June, 2023 in the amount of $582,179, $426,498, and $489,493, respectively, and paid in January 2024. Further, for Mr. Ostrowski, Dr. Golipour and Dr. Ridha, the 2023 amounts reflect a transaction bonus granted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Mr. Ostrowski, Dr. Golipour and Dr. Ridha in the amount of $150,000, $100,000, and $100,000, respectively.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the RSUs granted in 2023 in accordance with Financial Accounting Standards Board’s Accounting Standards Codification Topic 718, or ASC 718. Such grant date fair value does not take into account any estimated forfeitures. See Note 9 of “Notes to Consolidated Financial Statements” in AVROBIO’s Annual Report on Form 10-K filed with the SEC on March 14, 2024 for a discussion of assumptions made by AVROBIO in determining the aggregate grant date fair value of AVROBIO’s RSUs. These amounts do not correspond to the actual value that may be received by the 2023 AVROBIO named executive officers upon vesting and settlement of the shares of RSUs or any sale of the shares.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stock options granted in 2023 and 2022 in accordance with FASB ASC 718. Such grant date fair value does not take into account any estimated forfeitures related to service-vesting conditions. See Note 9 of “Notes to Consolidated Financial Statements” in AVROBIO’s Annual Report on Form 10-K filed with the SEC on March 14, 2024 for a discussion of assumptions made by AVROBIO in determining the aggregate grant date fair value of AVROBIO’s stock options. These amounts do not correspond to the actual value that may be recognized by the 2023 AVROBIO named executive officers upon vesting of applicable awards. Additionally, the 2023 amount for Mr. MacKay includes the incremental fair value related to the extension of the post-termination exercise period of certain stock options (determined as of such extension date in accordance with FASB ASC Topic 718).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bonuses paid with respect to performance during the 2023 fiscal year pursuant to the Senior Executive Cash Incentive Bonus Plan. Such annual bonuses were based on achievement of AVROBIO’s goals related to achievement of clinical program objectives and milestones, regulatory objectives, and manufacturing development objectives.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401(k) contributions and life insurance premiums paid by AVROBIO on behalf of Mr. Ostrowski.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(6)</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401(k) contributions and life insurance premiums paid by AVROBIO on behalf of Mr. MacKay.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life insurance premiums and relocation benefits paid by AVROBIO on behalf of Dr. Golipour. </w:t>
            </w:r>
          </w:p>
        </w:tc>
      </w:tr>
    </w:tbl>
    <w:tbl>
      <w:tblPr>
        <w:tblW w:w="9445" w:type="dxa"/>
        <w:jc w:val="left"/>
        <w:tblInd w:w="0" w:type="dxa"/>
        <w:tblLayout w:type="fixed"/>
        <w:tblCellMar>
          <w:top w:w="0" w:type="dxa"/>
          <w:left w:w="0" w:type="dxa"/>
          <w:bottom w:w="0" w:type="dxa"/>
          <w:right w:w="0" w:type="dxa"/>
        </w:tblCellMar>
      </w:tblPr>
      <w:tblGrid>
        <w:gridCol w:w="305"/>
        <w:gridCol w:w="9140"/>
      </w:tblGrid>
      <w:tr>
        <w:trPr/>
        <w:tc>
          <w:tcPr>
            <w:tcW w:w="305" w:type="dxa"/>
            <w:tcBorders/>
            <w:vAlign w:val="center"/>
          </w:tcPr>
          <w:p>
            <w:pPr>
              <w:pStyle w:val="TableContents"/>
              <w:bidi w:val="0"/>
              <w:spacing w:before="0" w:after="283"/>
              <w:jc w:val="left"/>
              <w:rPr/>
            </w:pPr>
            <w:r>
              <w:rPr/>
              <w:t>(8)</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a $10,000 lump sum payment, paid in accordance with Dr. Golipour’s employment agreement.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life insurance premiums, $90,571 in relocation benefits paid by AVROBIO on behalf of Dr. Golipour pursuant to her employment agreement, and a tax gross-up on such relocation benefits.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(10)</w:t>
            </w:r>
          </w:p>
        </w:tc>
        <w:tc>
          <w:tcPr>
            <w:tcW w:w="9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the Salary, Bonus, and All Other Compensation columns were originally denominated in GBP when paid to Dr. Ridha and have been converted to USD using the average exchange rate for 2023 (1 GBP = 1.2439 USD). </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(11)</w:t>
            </w:r>
          </w:p>
        </w:tc>
        <w:tc>
          <w:tcPr>
            <w:tcW w:w="97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reflects the dollar value of benefits allowance and pension contributions paid by AVROBIO on behalf of Dr. Ridha.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and AVROBIO Compensation Committee review compensation annually for all employees, including AVROBIO’s executives. In setting executive base salaries and bonuses and granting equity incentive awards, AVROBIO considers compensation for comparable positions in the market, the historical compensation levels of AVROBIO’s executives, individual performance as compared to AVROBIO’s expectations and objectives, AVROBIO’s desire to motivate AVROBIO’s employees to achieve short- and long-term results that are in the best interests of AVROBIO stockholders, and a long-term commitment to AVROBIO. AVROBIO targets a generally competitive position, based on independent third-party benchmark analytics to inform the mix of compensation of base salary, bonus or long-term incentives. </w:t>
      </w:r>
    </w:p>
    <w:p>
      <w:pPr>
        <w:pStyle w:val="TextBody"/>
        <w:bidi w:val="0"/>
        <w:spacing w:before="240" w:after="0"/>
        <w:jc w:val="left"/>
        <w:rPr>
          <w:rFonts w:ascii="Times New Roman" w:hAnsi="Times New Roman"/>
          <w:sz w:val="20"/>
        </w:rPr>
      </w:pPr>
      <w:r>
        <w:rPr>
          <w:rFonts w:ascii="Times New Roman" w:hAnsi="Times New Roman"/>
          <w:sz w:val="20"/>
        </w:rPr>
        <w:t xml:space="preserve">The AVROBIO Compensation Committee reviews and approves the compensation to be paid to AVROBIO’s Chief Executive Officer and AVROBIO’s other executive officers. The AVROBIO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typically reviews and discusses management’s proposed compensation with the chief executive officer for all executives other than the chief executive officer. Based on those discussions and its discretion, taking into account the factors noted above, the AVROBIO Compensation Committee then approves the compensation of AVROBIO’s Chief Executive Officer and other executive officers without the chief executive officer or other members of management present. Frederic W. Cook &amp; Co., Inc. (“FW Cook”), advised the AVROBIO Board and the AVROBIO Compensation Committee on certain compensation matters and decisions during fiscal year 2023. FW Cook served at the discretion of the AVROBIO Compensation Committee and did not provide any other services to AVROBIO during fiscal year 2023 other than those for which they were engaged by the AVROBIO Compensation Committee. The AVROBIO Compensation Committee requires that its compensation consultants be independent of AVROBIO management and performs an annual assessment of the compensation consultants’ independence to determine whether the consultants are independent. The AVROBIO Compensation Committee has determined that FW Cook is independent and that its respective work has not raised any conflicts of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AVROBIO uses base salaries to recognize the experience, skills, knowledge and responsibilities required of all AVROBIO’s employees, including AVROBIO 2023 named executive officers. Base salaries for AVROBIO’s named executive officers are reviewed annually by the AVROBIO Compensation Committee, typically in connection with AVROBIO’s annual performance review process, and adjusted from time to time, based on the recommendation of the AVROBIO Compensation Committee, to realign salaries with market levels after taking into account individual responsibilities, performance and experience. AVROBIO increased Mr. Ostrowski’s base salary to $535,000 from $473,800, effective July 1, 2023. None of the AVROBIO 2023 named executive officers are currently party to an employment agreement or other agreement or arrangement that provides for automatic or scheduled increases in base salary. During 2023 the annual base salaries for each of Mr. Ostrowski, Mr. MacKay, Dr. Golipour, and Dr. Ridha were $535,000, $603,000, $450,000, and $498,020,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Annual Bonus </w:t>
      </w:r>
    </w:p>
    <w:p>
      <w:pPr>
        <w:pStyle w:val="TextBody"/>
        <w:bidi w:val="0"/>
        <w:spacing w:before="120" w:after="0"/>
        <w:jc w:val="left"/>
        <w:rPr>
          <w:rFonts w:ascii="Times New Roman" w:hAnsi="Times New Roman"/>
          <w:sz w:val="20"/>
        </w:rPr>
      </w:pPr>
      <w:r>
        <w:rPr>
          <w:rFonts w:ascii="Times New Roman" w:hAnsi="Times New Roman"/>
          <w:sz w:val="20"/>
        </w:rPr>
        <w:t xml:space="preserve">AVROBIO currently has a Senior Executive Cash Incentive Bonus Plan, which is intended to reward AVROBIO’s executive officers, including AVROBIO’s named executive officers, for meeting objective and/or subjective performance goals for a fiscal year. From time to time, the AVROBIO Board or AVROBIO Compensation Committee may approve annual bonuses for AVROBIO’s executive officers, including AVROBIO’s named executive officers, based on individual performance, company performance or as otherwise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Performance goals for each new fiscal year are reviewed by the AVROBIO Compensation Committee and then reviewed and approved by the AVROBIO Board. The AVROBIO Compensation Committee thereafter reviews and determines AVROBIO’s performance and level of attainment of such goals following the completion of the applicable fiscal year. For 2023, the AVROBIO Compensation Committee reviewed and drafted 2023 goals based on achievement of clinical program objectives and milestones, regulatory objectives, manufacturing development objectives and business development and financing objectives. Following the Board’s decision in July 2023 to halt development of AVROBIO’s clinical programs and pursue potential strategic alternatives, the Board opted to forgo annual bonuses based on earlier corporate objectives with respect to fiscal 2023, taking into account previously awarded retention and transaction bonuses for each of the remaining named executive officers with respect to such year. Accordingly, no annual bonus was paid to the named executive officers based on performance objectives in 2023. </w:t>
      </w:r>
    </w:p>
    <w:p>
      <w:pPr>
        <w:pStyle w:val="TextBody"/>
        <w:bidi w:val="0"/>
        <w:spacing w:before="360" w:after="0"/>
        <w:jc w:val="left"/>
        <w:rPr>
          <w:rFonts w:ascii="Times New Roman" w:hAnsi="Times New Roman"/>
          <w:i/>
          <w:sz w:val="20"/>
        </w:rPr>
      </w:pPr>
      <w:r>
        <w:rPr>
          <w:rFonts w:ascii="Times New Roman" w:hAnsi="Times New Roman"/>
          <w:i/>
          <w:sz w:val="20"/>
        </w:rPr>
        <w:t xml:space="preserve">Retention Bonuses </w:t>
      </w:r>
    </w:p>
    <w:p>
      <w:pPr>
        <w:pStyle w:val="TextBody"/>
        <w:bidi w:val="0"/>
        <w:spacing w:before="120" w:after="0"/>
        <w:jc w:val="left"/>
        <w:rPr>
          <w:rFonts w:ascii="Times New Roman" w:hAnsi="Times New Roman"/>
          <w:sz w:val="20"/>
        </w:rPr>
      </w:pPr>
      <w:r>
        <w:rPr>
          <w:rFonts w:ascii="Times New Roman" w:hAnsi="Times New Roman"/>
          <w:sz w:val="20"/>
        </w:rPr>
        <w:t xml:space="preserve">On January 4, 2022, the AVROBIO Compensation Committee approved one-time cash retention payments to all employees remaining with AVROBIO following AVROBIO’s workforce reduction, including AVROBIO’s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officers. Each retention bonus was payable in two equal installments in June 2022 and December 2022, provided that the employee had not resigned or provided notice of intention to resign and AVROBIO had not terminated such employee’s employment for cause or provided notice of intent to terminate such employee’s employment for cause. The aggregate retention bonuses granted to each of Mr. Ostrowski, Mr. MacKay and Dr. Golipour were $299,000, $431,000 and $131,000,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June 9, 2023, the AVROBIO Compensation Committee approved cash retention bonuses for each of Mr. Ostrowski, Dr. Golipour and Dr. Ridha. The Retention Bonuses were payable to each of Mr. Ostrowski, Dr. Golipour and Dr. Ridha, subject to each executive continuing to be employed by AVROBIO as of December 31, 2023. The amount of the retention bonuses payable to each of Mr. Ostrowski, Dr. Golipour and Dr. Ridha equaled (i) 125% of each executive’s base salary for calendar year 2023 as in effect on June 9, 2023 (except that, in the case of Mr. Ostrowski, such calculation was based on his base salary in effect as of July 1, 2023), plus (ii) 125% of each executive’s target 2023 annual bonus as in effect on June 9, 2023 (except that, in the case of Mr. Ostrowski, such calculation was based on his target 2023 annual bonus in effect for the six month period commencing July 1, 2023), in each case pro-rated for the period of time from June 9, 2023 to December 31, 2023. The retention bonus for each of Mr. Ostrowski, Dr. Golipour and Dr. Ridha is reported in the Bonus column in the 2023 Summary Compensation Table, above.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sale of AVROBIO’s cystinosis program, each of Mr. Ostrowski, Dr. Golipour and Dr. Ridha received a transaction bonus in the amount of $150,000, $100,000, and $100,000, respectively, which was payable in three installments in July, August, and September 2023, subject to the executive’s continued employment on the date of each payment.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Although AVROBIO does not have a formal policy with respect to the grant of equity incentive awards to AVROBIO’s executive officers, or any formal equity ownership guidelines applicable to them, AVROBIO believes that equity grants provide AVROBIO’s executives with a strong link to AVROBIO’s long-term performance, create an ownership culture and help to align the interests of AVROBIO’s executives and AVROBIO stockholders. In addition, AVROBIO believes that equity grants with a time-based vesting feature promote executive retention because this feature incentivizes AVROBIO’s executive officers to remain in AVROBIO’s employment during the vesting period. Accordingly, the AVROBIO Board periodically reviews the equity incentive compensation of AVROBIO’s named executive officers and from time to time may grant equity incentive awards to them in the form of stock options or RSUs. </w:t>
      </w:r>
    </w:p>
    <w:p>
      <w:pPr>
        <w:pStyle w:val="TextBody"/>
        <w:bidi w:val="0"/>
        <w:spacing w:before="240" w:after="0"/>
        <w:jc w:val="left"/>
        <w:rPr>
          <w:rFonts w:ascii="Times New Roman" w:hAnsi="Times New Roman"/>
          <w:sz w:val="20"/>
        </w:rPr>
      </w:pPr>
      <w:r>
        <w:rPr>
          <w:rFonts w:ascii="Times New Roman" w:hAnsi="Times New Roman"/>
          <w:sz w:val="20"/>
        </w:rPr>
        <w:t xml:space="preserve">AVROBIO typically grants stock option awards to each of AVROBIO’s executives in connection with their start of employment. Such stock option awards are typically granted on the first trading day of the month after the employees’ start date. AVROBIO sets the option exercise price and grant date fair value based on the value of AVROBIO common stock on the date of grant. For grants in connection with initial employment, vesting begins on the initial date of employment. </w:t>
      </w:r>
    </w:p>
    <w:p>
      <w:pPr>
        <w:pStyle w:val="TextBody"/>
        <w:bidi w:val="0"/>
        <w:spacing w:before="360" w:after="0"/>
        <w:jc w:val="left"/>
        <w:rPr>
          <w:rFonts w:ascii="Times New Roman" w:hAnsi="Times New Roman"/>
          <w:i/>
          <w:sz w:val="20"/>
        </w:rPr>
      </w:pPr>
      <w:r>
        <w:rPr>
          <w:rFonts w:ascii="Times New Roman" w:hAnsi="Times New Roman"/>
          <w:i/>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AVROBIO maintains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the AVROBIO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Outstanding Equity Awards at 2023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outstanding equity awards held by the AVROBIO 2023 named executive officers as of December 31, 2023. All equity awards set forth in the table below were granted under either AVROBIO’s Amended and Restated 2015 Stock Option and Grant Plan (the “2015 Plan”) or AVROBIO’s 2018 Stock Option and Incentive Plan, as amended (the “2018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9"/>
        <w:gridCol w:w="120"/>
        <w:gridCol w:w="88"/>
        <w:gridCol w:w="1177"/>
        <w:gridCol w:w="60"/>
        <w:gridCol w:w="120"/>
        <w:gridCol w:w="100"/>
        <w:gridCol w:w="1345"/>
        <w:gridCol w:w="419"/>
        <w:gridCol w:w="60"/>
        <w:gridCol w:w="84"/>
        <w:gridCol w:w="791"/>
        <w:gridCol w:w="60"/>
        <w:gridCol w:w="120"/>
        <w:gridCol w:w="60"/>
        <w:gridCol w:w="1083"/>
        <w:gridCol w:w="60"/>
        <w:gridCol w:w="120"/>
        <w:gridCol w:w="78"/>
        <w:gridCol w:w="1052"/>
        <w:gridCol w:w="419"/>
        <w:gridCol w:w="60"/>
        <w:gridCol w:w="100"/>
        <w:gridCol w:w="1345"/>
        <w:gridCol w:w="75"/>
      </w:tblGrid>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6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20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 that</w:t>
              <w:br/>
              <w:t>Have Not</w:t>
              <w:br/>
              <w:t>Vested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or</w:t>
              <w:br/>
              <w:t>Units that</w:t>
              <w:br/>
              <w:t>Have Not</w:t>
              <w:br/>
              <w:t>Vested ($)(1)</w:t>
            </w:r>
          </w:p>
        </w:tc>
        <w:tc>
          <w:tcPr>
            <w:tcW w:w="75" w:type="dxa"/>
            <w:tcBorders/>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1/1/2029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94,594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6,306</w:t>
            </w:r>
          </w:p>
        </w:tc>
        <w:tc>
          <w:tcPr>
            <w:tcW w:w="41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21.44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3/3/2030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84,363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34,737</w:t>
            </w:r>
          </w:p>
        </w:tc>
        <w:tc>
          <w:tcPr>
            <w:tcW w:w="419"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2/3/2031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62,500</w:t>
            </w:r>
          </w:p>
        </w:tc>
        <w:tc>
          <w:tcPr>
            <w:tcW w:w="419"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9.63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6/9/2031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144,375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170,625</w:t>
            </w:r>
          </w:p>
        </w:tc>
        <w:tc>
          <w:tcPr>
            <w:tcW w:w="419"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2/1/2032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110,500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110,500</w:t>
            </w:r>
          </w:p>
        </w:tc>
        <w:tc>
          <w:tcPr>
            <w:tcW w:w="419"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12/7/2032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160,333</w:t>
            </w:r>
          </w:p>
        </w:tc>
        <w:tc>
          <w:tcPr>
            <w:tcW w:w="419"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218,053</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70,000</w:t>
            </w:r>
          </w:p>
        </w:tc>
        <w:tc>
          <w:tcPr>
            <w:tcW w:w="419"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95,200</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Geoff MacKay</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213,938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4/30/2024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10/24/2026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6/12/2027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5,908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3/15/2028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2/24/2029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29,531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1,969</w:t>
            </w:r>
          </w:p>
        </w:tc>
        <w:tc>
          <w:tcPr>
            <w:tcW w:w="419"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20.98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3/1/2030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6,771</w:t>
            </w:r>
          </w:p>
        </w:tc>
        <w:tc>
          <w:tcPr>
            <w:tcW w:w="419"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14.57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1/3/2031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32,583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13,417</w:t>
            </w:r>
          </w:p>
        </w:tc>
        <w:tc>
          <w:tcPr>
            <w:tcW w:w="419"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16.02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2/3/2031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105,416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124,584</w:t>
            </w:r>
          </w:p>
        </w:tc>
        <w:tc>
          <w:tcPr>
            <w:tcW w:w="419"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2/1/2032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82,500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82,500</w:t>
            </w:r>
          </w:p>
        </w:tc>
        <w:tc>
          <w:tcPr>
            <w:tcW w:w="419"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12/7/3032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18,172</w:t>
            </w:r>
          </w:p>
        </w:tc>
        <w:tc>
          <w:tcPr>
            <w:tcW w:w="419" w:type="dxa"/>
            <w:tcBorders/>
            <w:shd w:fill="CCEEFF" w:val="clear"/>
            <w:vAlign w:val="center"/>
          </w:tcPr>
          <w:p>
            <w:pPr>
              <w:pStyle w:val="TableContents"/>
              <w:bidi w:val="0"/>
              <w:spacing w:before="0" w:after="283"/>
              <w:jc w:val="left"/>
              <w:rPr/>
            </w:pPr>
            <w:r>
              <w:rPr/>
              <w:t>(11)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24,714</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149,333</w:t>
            </w:r>
          </w:p>
        </w:tc>
        <w:tc>
          <w:tcPr>
            <w:tcW w:w="419" w:type="dxa"/>
            <w:tcBorders/>
            <w:shd w:fill="CCEEFF" w:val="clear"/>
            <w:vAlign w:val="center"/>
          </w:tcPr>
          <w:p>
            <w:pPr>
              <w:pStyle w:val="TableContents"/>
              <w:bidi w:val="0"/>
              <w:spacing w:before="0" w:after="283"/>
              <w:jc w:val="left"/>
              <w:rPr/>
            </w:pPr>
            <w:r>
              <w:rPr/>
              <w:t>(12)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203,093</w:t>
            </w:r>
          </w:p>
        </w:tc>
        <w:tc>
          <w:tcPr>
            <w:tcW w:w="75" w:type="dxa"/>
            <w:tcBorders/>
            <w:shd w:fill="CCEEFF" w:val="clear"/>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55,000</w:t>
            </w:r>
          </w:p>
        </w:tc>
        <w:tc>
          <w:tcPr>
            <w:tcW w:w="419" w:type="dxa"/>
            <w:tcBorders/>
            <w:vAlign w:val="center"/>
          </w:tcPr>
          <w:p>
            <w:pPr>
              <w:pStyle w:val="TableContents"/>
              <w:bidi w:val="0"/>
              <w:spacing w:before="0" w:after="283"/>
              <w:jc w:val="left"/>
              <w:rPr/>
            </w:pPr>
            <w:r>
              <w:rPr/>
              <w:t>(13)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10/31/2023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71,042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83,958</w:t>
            </w:r>
          </w:p>
        </w:tc>
        <w:tc>
          <w:tcPr>
            <w:tcW w:w="419" w:type="dxa"/>
            <w:tcBorders/>
            <w:vAlign w:val="center"/>
          </w:tcPr>
          <w:p>
            <w:pPr>
              <w:pStyle w:val="TableContents"/>
              <w:bidi w:val="0"/>
              <w:spacing w:before="0" w:after="283"/>
              <w:jc w:val="left"/>
              <w:rPr/>
            </w:pPr>
            <w:r>
              <w:rPr/>
              <w:t>(14)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2/1/2032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91,500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91,500</w:t>
            </w:r>
          </w:p>
        </w:tc>
        <w:tc>
          <w:tcPr>
            <w:tcW w:w="419" w:type="dxa"/>
            <w:tcBorders/>
            <w:vAlign w:val="center"/>
          </w:tcPr>
          <w:p>
            <w:pPr>
              <w:pStyle w:val="TableContents"/>
              <w:bidi w:val="0"/>
              <w:spacing w:before="0" w:after="283"/>
              <w:jc w:val="left"/>
              <w:rPr/>
            </w:pPr>
            <w:r>
              <w:rPr/>
              <w:t>(15)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12/7/2032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4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131,333</w:t>
            </w:r>
          </w:p>
        </w:tc>
        <w:tc>
          <w:tcPr>
            <w:tcW w:w="419" w:type="dxa"/>
            <w:tcBorders/>
            <w:vAlign w:val="center"/>
          </w:tcPr>
          <w:p>
            <w:pPr>
              <w:pStyle w:val="TableContents"/>
              <w:bidi w:val="0"/>
              <w:spacing w:before="0" w:after="283"/>
              <w:jc w:val="left"/>
              <w:rPr/>
            </w:pPr>
            <w:r>
              <w:rPr/>
              <w:t>(16)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178,613</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column is based on the fair market value of AVROBIO common stock as of December 29, 2023, the last trading day of 2023, which was $1.36 per share.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March 4, 2021 and the remainder vest in equal monthly installments until the option is fully vested on March 4,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February 4, 2022 and the remainder vest in equal monthly installments until the option is fully vested on February 4, 2025,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50% of the shares vested on June 10, 2023 and the remainder will vest on June 10,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25% of the shares vested on February 2, 2023 and the remainder vest in equal monthly installments until the option is fully vested on February 2, 2026, subject to the continued employment of the executive officer through each such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were scheduled to vest as follows: 50% of the shares vested on December 8, 2023 and the remainder vest in equal monthly installments until the option is fully vested on December 8,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(7)</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160,333 shares, which vests in four equal annual installments commencing on the first anniversary of February 1, 2023,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(8)</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70,000 shares, which vests in four equal annual installments commencing on the first anniversary of July 1, 2023,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(9)</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March 2, 2021 and the remainder vest in equal monthly installments until the option is fully vested on March 2,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(10)</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January 4, 2022 and the remainder vest in equal monthly installments until the option is fully vested on January 4, 2025,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(11)</w:t>
            </w:r>
          </w:p>
        </w:tc>
        <w:tc>
          <w:tcPr>
            <w:tcW w:w="9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36,344 shares, which vests as follows: 50% of the shares vested on June 10, 2023 and the remaining 50% vest on June 10, 2024,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(12)</w:t>
            </w:r>
          </w:p>
        </w:tc>
        <w:tc>
          <w:tcPr>
            <w:tcW w:w="9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149,333 shares, which vests in four equal annual installments commencing on the first anniversary of February 1, 2023,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(13)</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October 19, 2023 and the remainder vest in equal monthly installments until the option is fully vested on October 19, 2026,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(14)</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25% of the shares vested on February 2, 2024 and the remainder vest in equal monthly installments until the option is fully vested on February 2, 2027,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(15)</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this stock option vest as follows: 50% of the shares will vest on December 8, 2024 and the remainder will vest in 12 equal monthly installments until the option is fully vested on December 8, 2025, subject to the continued employment of the executive officer through each such vesting date.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(16)</w:t>
            </w:r>
          </w:p>
        </w:tc>
        <w:tc>
          <w:tcPr>
            <w:tcW w:w="9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an RSU award for 131,333 shares, which vests in four equal annual installments commencing on the first anniversary of February 1, 2023, subject to the continued employment of the executive officer through each such vesting date.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AVROBIO’s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AVROBIO entered into employment agreements with each of Erik Ostrowski, Geoff MacKay, Azadeh Golipour and Essra Ridha which set forth the initial terms and conditions of each executive’s employment with AVROBIO, including base salary, target annual bonus opportunity and standard employee benefit plan participation. These employment agreements provide for “at will” employment. The material terms of the employment agreements with the AVROBIO 2023 named executive officers are described below. The terms “change of control,” “cause” and “good reason” referred to below are defined in the applicable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Erik Ostrowski </w:t>
      </w:r>
    </w:p>
    <w:p>
      <w:pPr>
        <w:pStyle w:val="TextBody"/>
        <w:bidi w:val="0"/>
        <w:spacing w:before="120" w:after="0"/>
        <w:jc w:val="left"/>
        <w:rPr>
          <w:rFonts w:ascii="Times New Roman" w:hAnsi="Times New Roman"/>
          <w:sz w:val="20"/>
        </w:rPr>
      </w:pPr>
      <w:r>
        <w:rPr>
          <w:rFonts w:ascii="Times New Roman" w:hAnsi="Times New Roman"/>
          <w:sz w:val="20"/>
        </w:rPr>
        <w:t xml:space="preserve">On December 17, 2018, AVROBIO entered into an employment agreement with Erik Ostrowski for the position of Chief Financial Officer. Under the terms of the employment agreement, Mr. Ostrowski is entitled to receive an annual base salary of $412,000, subject to annual review by the AVROBIO Board or AVROBIO Compensation Committee. In addition, Mr. Ostrowski is eligible to receive cash incentive compensation as determined by the AVROBIO Board or AVROBIO Compensation Committee from time to time, with an initial target annual bonus of 40% of his annual base salary. Mr. Ostrowski also received a signing bonus in the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 one-time cash bonus of $170,000 and (ii) an RSU for 2,300 shares of AVROBIO common stock (“the Signing Bonus Award”). In addition, pursuant to the terms of the employment agreement, Mr. Ostrowski was granted an option to purchase 186,000 shares of AVROBIO common stock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AVROBIO through the applicable vesting date. Mr. Ostrowski also entered into an Employee Confidentiality, Assignment and Noncompetition Agreement with AVROBIO, the terms of which are incorporated into his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Mr. Ostrowski’s employment agreement provides that, in the event that his employment is terminated by AVROBIO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AVROBIO’s normal payroll cycle,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nine months, and (iii) acceleration of vesting of all stock options and other stock based awards held by Mr. Ostrowski that would have vested if 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AVROBIO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AVROBIO’s group health plan and elects COBRA health continuation, a monthly cash payment equal to the monthly employer contribution that AVROBIO would have made to provide health insurance to Mr. Ostrowski had he remained employed with AVROBIO for up to 12 months, and (iii) full acceleration of vesting of all time-based stock options and other time-based stock-based awards held by Mr. Ostrowski.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Geoff MacKay </w:t>
      </w:r>
    </w:p>
    <w:p>
      <w:pPr>
        <w:pStyle w:val="TextBody"/>
        <w:bidi w:val="0"/>
        <w:spacing w:before="120" w:after="0"/>
        <w:jc w:val="left"/>
        <w:rPr>
          <w:rFonts w:ascii="Times New Roman" w:hAnsi="Times New Roman"/>
          <w:sz w:val="20"/>
        </w:rPr>
      </w:pPr>
      <w:r>
        <w:rPr>
          <w:rFonts w:ascii="Times New Roman" w:hAnsi="Times New Roman"/>
          <w:sz w:val="20"/>
        </w:rPr>
        <w:t xml:space="preserve">Prior to his resignation effective on May 1, 2023, Geoff MacKay, AVROBIO’s former President and Chief Executive Officer, was party to an employment agreement with AVROBIO. Effective upon the closing of AVROBIO’s IPO in June 2018, AVROBIO entered into an amended employment agreement with Mr. MacKay. Under the terms of the employment agreement, Mr. MacKay was entitled to receive an annual base salary of $500,000, subject to annual review by or AVROBIO Compensation Committee. In addition, Mr. MacKay was eligible to receive cash incentive compensation as determined by the AVROBIO Board or AVROBIO Compensation Committee from time to time, with an initial target annual bonus of 50% of his annual base salary. Mr. MacKay also previously entered into a Confidentiality and IP Assignment Agreement with AVROBIO, the terms of which were incorporated into his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Mr. MacKay’s employment agreement provided that, in the event that his employment is terminated by AVROBIO without “cause” or by Mr. MacKay with “good reason” (as each term is defined in his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subject to the execution and effectiveness of a separation agreement and release, he would have been entitled to receive (i) an amount equal to 100% of his base salary, provided that Mr. MacKay hadn’t breached any of the confidentiality, noncompetition or cooperation provisions set forth in, or incorporated into, the new employment agreement, payable in equal installments over 12 months in accordance with AVROBIO’s normal payroll cycle, and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12 months, and (iii) acceleration of vesting of all stock options and other stock based awards held by Mr. MacKay that would have vested if he had remained employed by AVROBIO for an additional 12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in the event of a “change in control” (as defined in his employment agreement) all time-based stock options and other stock-based awards granted to Mr. MacKay at least 12 months prior to the effective date of the employment agreement would have accelerated and become fully exercisable or non-forfeitable immediately prior to the change in control. In addition, in the event that Mr. MacKay’s employment was terminated by AVROBIO without “cause” or by Mr. MacKay for “good reason,” in each case, within three months prior to or 18 months after a “change in control,” subject to the execution and effectiveness of a separation agreement and release, he would have been entitled to receive (i) a lump sum amount equal to 150% of the sum of his current base salary (or his base salary in effect immediately prior to the change in control if higher) plus his target bonus for that year, (ii) if Mr. MacKay was participating in AVROBIO’s group health plan and elects COBRA health continuation, a monthly cash payment equal to the monthly employer contribution that AVROBIO would have made to provide health insurance to Mr. MacKay had he remained employed with AVROBIO for up to 18 months, and (iii) full acceleration of vesting of all time-based stock options and other time-based stock-based awards held by Mr. MacKay.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Azadeh Golipour </w:t>
      </w:r>
    </w:p>
    <w:p>
      <w:pPr>
        <w:pStyle w:val="TextBody"/>
        <w:bidi w:val="0"/>
        <w:spacing w:before="120" w:after="0"/>
        <w:jc w:val="left"/>
        <w:rPr>
          <w:rFonts w:ascii="Times New Roman" w:hAnsi="Times New Roman"/>
          <w:sz w:val="20"/>
        </w:rPr>
      </w:pPr>
      <w:r>
        <w:rPr>
          <w:rFonts w:ascii="Times New Roman" w:hAnsi="Times New Roman"/>
          <w:sz w:val="20"/>
        </w:rPr>
        <w:t xml:space="preserve">Azadeh Golipour was previously employed by AVROBIO pursuant to an offer letter dated December 22, 2021. On January 26, 2022, AVROBIO entered into an employment agreement with Dr. Golipour which sets forth the terms of her employment as AVROBIO’s Chief Technology Officer and supersedes her previous offer letter in the entirety. Under the terms of the employment agreement, Dr. Golipour is entitled to receive an annual base salary of $342,000, subject to annual review by the AVROBIO Board or AVROBIO Compensation Committee. In addition, Dr. Golipour is eligible to receive cash incentive compensation as determined by the AVROBIO Board or AVROBIO Compensation Committee from time to time, with an initial target annual bonus of 35% of her annual base salary. In addition, Dr. Golipour is eligible to receive a reimbursement of relocation costs associated with relocating from Toronto, Ontario to Cambridge, Massachusetts (and tax gross-up on such reimbursements) and additional $10,000 lump sum payment. Until Dr. Golipour is no longer treated as a Canadian tax resident, Dr. Golipour is also eligible to receive a $25,000 annual travel allowance, a $5,000 per month housing allowance for 2022, up to $2,500 per year for tax advice and preparation, and tax gross-up on such payments and benefits. Dr. Golipour also entered into an Employee Confidentiality, Assignment and Noncompetition Agreement with AVROBIO, dated January 24, 2022. </w:t>
      </w:r>
    </w:p>
    <w:p>
      <w:pPr>
        <w:pStyle w:val="TextBody"/>
        <w:bidi w:val="0"/>
        <w:spacing w:before="240" w:after="0"/>
        <w:jc w:val="left"/>
        <w:rPr>
          <w:rFonts w:ascii="Times New Roman" w:hAnsi="Times New Roman"/>
          <w:sz w:val="20"/>
        </w:rPr>
      </w:pPr>
      <w:r>
        <w:rPr>
          <w:rFonts w:ascii="Times New Roman" w:hAnsi="Times New Roman"/>
          <w:sz w:val="20"/>
        </w:rPr>
        <w:t xml:space="preserve">Dr. Golipour’s employment agreement provides that, in the event that her employment is terminated by AVROBIO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AVROBIO’s normal payroll cycle, (ii) if Dr. Golipour was participating in AVROBIO’s group health plan and elects COBRA health continuation, a monthly cash payment equal to the monthly employer contribution that AVROBIO would have made to provide health insurance to Dr. Golipour had she remained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with AVROBIO for up to nine months, and (iii) acceleration of vesting of all stock options and other stock based awards held by Dr. Golipour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Golipour’s employment is terminated by AVROBIO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AVROBIO’s group health plan and elects COBRA health continuation, a monthly cash payment equal to the monthly employer contribution that AVROBIO would have made to provide health insurance to Dr. Golipour had she remained employed with AVROBIO for up to 12 months, and (iii) full acceleration of vesting of all time-based stock options and other time-based stock-based awards held by Dr. Golipour.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Essra Ridha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AVROBIO entered into an employment agreement with Essra Ridha for the position of Chief Medical Officer. Under the terms of the employment agreement, Dr. Ridha is entitled to receive an annual base salary of £310,000. In addition, Dr. Ridha is eligible to receive cash incentive compensation as determined by the AVROBIO Board or AVROBIO Compensation Committee from time to time, with an initial target annual bonus of 40% of her annual base salary. Dr. Ridha also received a signing bonus in the form of a one-time signing bonus of £52,000 and was eligible to receive a one-time discretionary bonus of £60,000 based on the successful completion within the first six (6) months of her employment of key objectives defined by the Chief Executive Officer. In addition, pursuant to the terms of the employment agreement, Dr. Ridha was granted an option to purchase 120,000 shares of AVROBIO’s common stock, which will vest over four years, with 25% of the shares vesting on the one-year anniversary of Dr. Ridha start date and the remaining shares vesting in thirty-six equal monthly installments thereafter, subject to Dr. Ridha’s continued service to AVROBIO through the applicable vesting date. Dr. Ridha is subject to confidentiality, non-solicitation and noncompetition provisions provided in her employment agreement with AVROBIO. </w:t>
      </w:r>
    </w:p>
    <w:p>
      <w:pPr>
        <w:pStyle w:val="TextBody"/>
        <w:bidi w:val="0"/>
        <w:spacing w:before="240" w:after="0"/>
        <w:jc w:val="left"/>
        <w:rPr>
          <w:rFonts w:ascii="Times New Roman" w:hAnsi="Times New Roman"/>
          <w:sz w:val="20"/>
        </w:rPr>
      </w:pPr>
      <w:r>
        <w:rPr>
          <w:rFonts w:ascii="Times New Roman" w:hAnsi="Times New Roman"/>
          <w:sz w:val="20"/>
        </w:rPr>
        <w:t xml:space="preserve">Dr. Ridha’s employment agreement provides that, in the event that her employment is terminated by AVROBIO without “cause” or by Dr. Ridha with “good reason” (as each term is defined in her employment agreement), subject to the execution and effectiveness of a separation agreement and release, she will be entitled to receive (i) an amount equal to 75% of her base salary, (ii) nine (9) months of benefits allowance, which would include medical, dental, vision, and leisure travel insurance benefits, and (iii) acceleration of vesting of all stock options and other stock based awards held by Dr. Ridha that would have vested if she had remained employed by AVROBIO for an additional nine months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event that Dr. Ridha’s employment is terminated by AVROBIO without “cause” or by Dr. Ridha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(ii) 12 months of benefits allowance, which would include medical, dental, vision, and leisure travel insurance benefits, and (iii) full acceleration of vesting of all time-based stock options and other time-based stock-based awards held by Dr. Ridha.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AVROBIO believes that although a portion of the compensation provided to its executive officers and other employees is performance-based, its executive compensation program does not encourage excessive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unnecessary risk taking. AVROBIO’s compensation programs are designed to encourage its executive officers and other employees to remain focused on both short-term and long-term strategic goals, in particular in connection with its pay-for-performance compensation philosophy. As a result, AVROBIO does not believe that AVROBIO’s compensation programs are reasonably likely to have a material adverse effect on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1" w:name="toc770053_98"/>
      <w:bookmarkEnd w:id="101"/>
      <w:r>
        <w:rPr>
          <w:rFonts w:ascii="Times New Roman" w:hAnsi="Times New Roman"/>
          <w:b/>
          <w:sz w:val="20"/>
        </w:rPr>
        <w:t xml:space="preserve">AVROBIO DIRECTOR COMPENSATION </w:t>
      </w:r>
    </w:p>
    <w:p>
      <w:pPr>
        <w:pStyle w:val="TextBody"/>
        <w:bidi w:val="0"/>
        <w:spacing w:before="240" w:after="0"/>
        <w:jc w:val="left"/>
        <w:rPr>
          <w:rFonts w:ascii="Times New Roman" w:hAnsi="Times New Roman"/>
          <w:sz w:val="20"/>
        </w:rPr>
      </w:pPr>
      <w:r>
        <w:rPr>
          <w:rFonts w:ascii="Times New Roman" w:hAnsi="Times New Roman"/>
          <w:sz w:val="20"/>
        </w:rPr>
        <w:t>The following table presents the total compensation for each person who served as a non-employee member of the AVROBIO Board and received compensation for such service during the fiscal year ended December 31, 2023. Other than as set forth in the table and described more fully below, AVROBIO did not pay any compensation, make any equity awards or non-equity awards to, or pay any other compensation to any of the non-employee members of the AVROBIO Board in 2023. AVROBIO reimburses non-employee members of the AVROBIO Board for reasonable travel expenses. Mr. MacKay, AVROBIO’s former President and Chief Executive Officer, did not receive any compensation for his service as a member of the AVROBIO Board in 2023. Mr. MacKay’s compensation for service as an employee for fiscal year 2023 is presented in the section titled “—</w:t>
      </w:r>
      <w:r>
        <w:rPr>
          <w:rFonts w:ascii="Times New Roman" w:hAnsi="Times New Roman"/>
          <w:i/>
          <w:sz w:val="20"/>
        </w:rPr>
        <w:t>Executive Compensation—2023 Summary Compensation Table</w:t>
      </w:r>
      <w:r>
        <w:rPr>
          <w:rFonts w:ascii="Times New Roman" w:hAnsi="Times New Roman"/>
          <w:sz w:val="20"/>
        </w:rPr>
        <w:t xml:space="preserve">” beginning on page 284 of this proxy statement/prospectus. </w:t>
      </w:r>
    </w:p>
    <w:p>
      <w:pPr>
        <w:pStyle w:val="TextBody"/>
        <w:bidi w:val="0"/>
        <w:spacing w:before="0" w:after="0"/>
        <w:jc w:val="left"/>
        <w:rPr/>
      </w:pPr>
      <w:r>
        <w:rPr/>
        <w:t> </w:t>
      </w:r>
    </w:p>
    <w:tbl>
      <w:tblPr>
        <w:tblW w:w="8930" w:type="dxa"/>
        <w:jc w:val="left"/>
        <w:tblInd w:w="0" w:type="dxa"/>
        <w:tblLayout w:type="fixed"/>
        <w:tblCellMar>
          <w:top w:w="0" w:type="dxa"/>
          <w:left w:w="0" w:type="dxa"/>
          <w:bottom w:w="0" w:type="dxa"/>
          <w:right w:w="0" w:type="dxa"/>
        </w:tblCellMar>
      </w:tblPr>
      <w:tblGrid>
        <w:gridCol w:w="3215"/>
        <w:gridCol w:w="120"/>
        <w:gridCol w:w="175"/>
        <w:gridCol w:w="1990"/>
        <w:gridCol w:w="60"/>
        <w:gridCol w:w="120"/>
        <w:gridCol w:w="171"/>
        <w:gridCol w:w="1949"/>
        <w:gridCol w:w="60"/>
        <w:gridCol w:w="120"/>
        <w:gridCol w:w="70"/>
        <w:gridCol w:w="805"/>
        <w:gridCol w:w="7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D.Phil.(2)</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98,968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Clark(3)</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63,968</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Donenberg(4)</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59,000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72,968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Farfel(5)</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47,500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61,468</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F.R.C.P.(6)</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63,000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76,968</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Ph.D.(7)</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990" w:type="dxa"/>
            <w:tcBorders/>
            <w:vAlign w:val="center"/>
          </w:tcPr>
          <w:p>
            <w:pPr>
              <w:pStyle w:val="TableContents"/>
              <w:bidi w:val="0"/>
              <w:spacing w:before="0" w:after="283"/>
              <w:jc w:val="right"/>
              <w:rPr/>
            </w:pPr>
            <w:r>
              <w:rPr/>
              <w:t>59,000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72,968</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 Vickers, Ph.D.(8)</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990"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949" w:type="dxa"/>
            <w:tcBorders/>
            <w:shd w:fill="CCEEFF" w:val="clear"/>
            <w:vAlign w:val="center"/>
          </w:tcPr>
          <w:p>
            <w:pPr>
              <w:pStyle w:val="TableContents"/>
              <w:bidi w:val="0"/>
              <w:spacing w:before="0" w:after="283"/>
              <w:jc w:val="right"/>
              <w:rPr/>
            </w:pPr>
            <w:r>
              <w:rPr/>
              <w:t>13,968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73,968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option awards granted or modified in 2023 in accordance with FASB ASC 718. Such grant date fair value does not take into account any estimated forfeitures related to service-vesting conditions. See Note 9 of “Notes to Consolidated Financial Statements” in AVROBIO’s Annual Report on Form 10-K filed with the SEC on March 14, 2024 for a discussion of assumptions made by AVROBIO in determining the aggregate grant date fair value of AVROBIO’s option awards. These amounts do not correspond to the actual value that may be recognized by the director upon vesting of applicable awards.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Booth held options to purchase a total of 93,712 shares of AVROBIO common stock, of which 76,069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Mr. Clark held options to purchase an aggregate of 172,734 shares of AVROBIO common stock, of which 155,091 shares were vested as of such date.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Mr. Donenberg held options to purchase an aggregate of 112,455 shares of AVROBIO common stock, of which 94,812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(5)</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Farfel held options to purchase an aggregate of 98,037 shares of AVROBIO common stock, of which 80,394 shares were vested as of such date.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Jenkins held options to purchase an aggregate of 133,223 shares of AVROBIO common stock, of which 115,580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Paige held options to purchase an aggregate of 93,712 shares of AVROBIO common stock, of which 76,069 shares were vested as of such date.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(8)</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Dr. Vickers held options to purchase an aggregate of 112,455 shares of AVROBIO common stock, of which 94,812 shares were vested as of such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has adopted a non-employee director compensation policy that is designed to enable AVROBIO to attract and retain, on a long-term basis, highly qualified non-employee directors. Pursuant to AVROBIO’s director compensation policy, each director who is not an employee will be paid cash compensation as set forth below: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4175"/>
        <w:gridCol w:w="120"/>
        <w:gridCol w:w="147"/>
        <w:gridCol w:w="1673"/>
        <w:gridCol w:w="60"/>
        <w:gridCol w:w="120"/>
        <w:gridCol w:w="147"/>
        <w:gridCol w:w="1673"/>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CHAIRPERSON</w:t>
              <w:br/>
              <w:t>MEMBER</w:t>
              <w:br/>
              <w:t>ANNUAL FEE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CHAIRPERSON</w:t>
              <w:br/>
              <w:t>ANNUAL FEE</w:t>
              <w:br/>
              <w:t>($)</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72,500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Committee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8,000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Science and Technology Committee</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AVROBIO’s director compensation policy, each non-employee director first elected or appointed to serve on the AVROBIO Board is granted an option award for a number of shares of AVROBIO common stock equivalent to 0.08% of the total number of common stock shares outstanding on the date of grant, which vests in 36 equal monthly installments over a three-year period, subject to the director’s continued service through such vesting dates. In addition, on the date of each annual meeting of AVROBIO stockholders, each continuing non-employee director is now granted an option award for a number of shares of AVROBIO common stock equivalent to 0.04% of the total number of common stock shares outstanding on the date of grant, which vests in full upon the earlier to occur of the first anniversary of the date of grant or the date of AVROBIO’s following annual meeting of stockholders, subject to continued service as a director through such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and AVROBIO Compensation Committee, in consultation with AVROBIO’s compensation consultant, will continue to review non-employee director compensation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AVROBIO Board approved a special one-time cash payment of $20,000 for each of Bruce Booth, Ian Clark, Phillip Donenberg, Gail Farfel and Philip Vickers in their capacity as members of the Transaction Committee. This payment will be paid to each such member of the Transaction Committee immediately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2" w:name="toc770053_99"/>
      <w:bookmarkEnd w:id="102"/>
      <w:r>
        <w:rPr>
          <w:rFonts w:ascii="Times New Roman" w:hAnsi="Times New Roman"/>
          <w:b/>
          <w:sz w:val="20"/>
        </w:rPr>
        <w:t xml:space="preserve">AVROBIO 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December 31, 2023 regarding shares of AVROBIO common stock that may be issued under AVROBIO’s equity compensation plans, consisting of AVROBIO’s 2018 Plan, AVROBIO’s 2015 Plan, AVROBIO’s 2019 Inducement Plan, AVROBIO’s 2020 Inducement Plan, and AVROBIO’s 2018 ESPP.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22"/>
        <w:gridCol w:w="60"/>
        <w:gridCol w:w="129"/>
        <w:gridCol w:w="2111"/>
        <w:gridCol w:w="291"/>
        <w:gridCol w:w="60"/>
        <w:gridCol w:w="231"/>
        <w:gridCol w:w="1694"/>
        <w:gridCol w:w="60"/>
        <w:gridCol w:w="60"/>
        <w:gridCol w:w="97"/>
        <w:gridCol w:w="1783"/>
        <w:gridCol w:w="307"/>
      </w:tblGrid>
      <w:tr>
        <w:trPr/>
        <w:tc>
          <w:tcPr>
            <w:tcW w:w="3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32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to be Issued</w:t>
              <w:br/>
              <w:t>Upon Exercise</w:t>
              <w:br/>
              <w:t>of Outstanding</w:t>
              <w:br/>
              <w:t>Options and RSUs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w:t>
              <w:br/>
              <w:t>of Outstanding</w:t>
              <w:br/>
              <w:t>Options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Remaining</w:t>
              <w:br/>
              <w:t>Available for</w:t>
              <w:br/>
              <w:t>Future Issuance</w:t>
              <w:br/>
              <w:t>Under Equity</w:t>
              <w:br/>
              <w:t>Compensation</w:t>
              <w:br/>
              <w:t>Plans (Excluding</w:t>
              <w:br/>
              <w:t>Securities</w:t>
              <w:br/>
              <w:t>Reflected in the</w:t>
              <w:br/>
              <w:t>First Column) (#)</w:t>
            </w:r>
          </w:p>
        </w:tc>
        <w:tc>
          <w:tcPr>
            <w:tcW w:w="307" w:type="dxa"/>
            <w:tcBorders/>
            <w:vAlign w:val="center"/>
          </w:tcPr>
          <w:p>
            <w:pPr>
              <w:pStyle w:val="TableContents"/>
              <w:bidi w:val="0"/>
              <w:spacing w:before="0" w:after="283"/>
              <w:jc w:val="left"/>
              <w:rPr/>
            </w:pPr>
            <w:r>
              <w:rPr/>
              <w:t> </w:t>
            </w:r>
          </w:p>
        </w:tc>
      </w:tr>
      <w:tr>
        <w:trPr/>
        <w:tc>
          <w:tcPr>
            <w:tcW w:w="332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11" w:type="dxa"/>
            <w:tcBorders/>
            <w:shd w:fill="CCEEFF" w:val="clear"/>
            <w:vAlign w:val="center"/>
          </w:tcPr>
          <w:p>
            <w:pPr>
              <w:pStyle w:val="TableContents"/>
              <w:bidi w:val="0"/>
              <w:spacing w:before="0" w:after="283"/>
              <w:jc w:val="right"/>
              <w:rPr/>
            </w:pPr>
            <w:r>
              <w:rPr/>
              <w:t>5,111,846</w:t>
            </w:r>
          </w:p>
        </w:tc>
        <w:tc>
          <w:tcPr>
            <w:tcW w:w="291"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9,750,415</w:t>
            </w:r>
          </w:p>
        </w:tc>
        <w:tc>
          <w:tcPr>
            <w:tcW w:w="307" w:type="dxa"/>
            <w:tcBorders/>
            <w:shd w:fill="CCEEFF" w:val="clear"/>
            <w:vAlign w:val="center"/>
          </w:tcPr>
          <w:p>
            <w:pPr>
              <w:pStyle w:val="TableContents"/>
              <w:bidi w:val="0"/>
              <w:spacing w:before="0" w:after="283"/>
              <w:jc w:val="left"/>
              <w:rPr/>
            </w:pPr>
            <w:r>
              <w:rPr/>
              <w:t>(3) </w:t>
            </w:r>
          </w:p>
        </w:tc>
      </w:tr>
      <w:tr>
        <w:trPr/>
        <w:tc>
          <w:tcPr>
            <w:tcW w:w="33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111" w:type="dxa"/>
            <w:tcBorders/>
            <w:vAlign w:val="center"/>
          </w:tcPr>
          <w:p>
            <w:pPr>
              <w:pStyle w:val="TableContents"/>
              <w:bidi w:val="0"/>
              <w:spacing w:before="0" w:after="283"/>
              <w:jc w:val="right"/>
              <w:rPr/>
            </w:pPr>
            <w:r>
              <w:rPr/>
              <w:t>966,784</w:t>
            </w:r>
          </w:p>
        </w:tc>
        <w:tc>
          <w:tcPr>
            <w:tcW w:w="291"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694" w:type="dxa"/>
            <w:tcBorders/>
            <w:vAlign w:val="center"/>
          </w:tcPr>
          <w:p>
            <w:pPr>
              <w:pStyle w:val="TableContents"/>
              <w:bidi w:val="0"/>
              <w:spacing w:before="0" w:after="283"/>
              <w:jc w:val="right"/>
              <w:rPr/>
            </w:pPr>
            <w:r>
              <w:rPr/>
              <w:t>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3,107,211</w:t>
            </w:r>
          </w:p>
        </w:tc>
        <w:tc>
          <w:tcPr>
            <w:tcW w:w="307" w:type="dxa"/>
            <w:tcBorders/>
            <w:vAlign w:val="center"/>
          </w:tcPr>
          <w:p>
            <w:pPr>
              <w:pStyle w:val="TableContents"/>
              <w:bidi w:val="0"/>
              <w:spacing w:before="0" w:after="283"/>
              <w:jc w:val="left"/>
              <w:rPr/>
            </w:pPr>
            <w:r>
              <w:rPr/>
              <w:t>(5) </w:t>
            </w:r>
          </w:p>
        </w:tc>
      </w:tr>
      <w:tr>
        <w:trPr/>
        <w:tc>
          <w:tcPr>
            <w:tcW w:w="3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single" w:sz="2" w:space="1" w:color="000000"/>
              </w:pBdr>
              <w:bidi w:val="0"/>
              <w:spacing w:before="0" w:after="0"/>
              <w:jc w:val="left"/>
              <w:rPr/>
            </w:pPr>
            <w:r>
              <w:rPr/>
              <w:t> </w:t>
            </w:r>
          </w:p>
        </w:tc>
        <w:tc>
          <w:tcPr>
            <w:tcW w:w="2111"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6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307" w:type="dxa"/>
            <w:tcBorders/>
            <w:vAlign w:val="center"/>
          </w:tcPr>
          <w:p>
            <w:pPr>
              <w:pStyle w:val="TableContents"/>
              <w:bidi w:val="0"/>
              <w:spacing w:before="0" w:after="283"/>
              <w:jc w:val="left"/>
              <w:rPr/>
            </w:pPr>
            <w:r>
              <w:rPr/>
              <w:t> </w:t>
            </w:r>
          </w:p>
        </w:tc>
      </w:tr>
      <w:tr>
        <w:trPr/>
        <w:tc>
          <w:tcPr>
            <w:tcW w:w="332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11" w:type="dxa"/>
            <w:tcBorders/>
            <w:shd w:fill="CCEEFF" w:val="clear"/>
            <w:vAlign w:val="center"/>
          </w:tcPr>
          <w:p>
            <w:pPr>
              <w:pStyle w:val="TableContents"/>
              <w:bidi w:val="0"/>
              <w:spacing w:before="0" w:after="283"/>
              <w:jc w:val="right"/>
              <w:rPr/>
            </w:pPr>
            <w:r>
              <w:rPr/>
              <w:t>6,078,630</w:t>
            </w:r>
          </w:p>
        </w:tc>
        <w:tc>
          <w:tcPr>
            <w:tcW w:w="2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12,857,626</w:t>
            </w:r>
          </w:p>
        </w:tc>
        <w:tc>
          <w:tcPr>
            <w:tcW w:w="307" w:type="dxa"/>
            <w:tcBorders/>
            <w:shd w:fill="CCEEFF" w:val="clear"/>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pBdr>
                <w:top w:val="double" w:sz="6" w:space="1" w:color="000000"/>
              </w:pBdr>
              <w:bidi w:val="0"/>
              <w:spacing w:before="0" w:after="0"/>
              <w:jc w:val="left"/>
              <w:rPr/>
            </w:pPr>
            <w:r>
              <w:rPr/>
              <w:t> </w:t>
            </w:r>
          </w:p>
        </w:tc>
        <w:tc>
          <w:tcPr>
            <w:tcW w:w="2111"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6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30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RSUs do not have any exercise price, such units are not included in the weighted average exercise price calculations above.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4,175,488 shares of AVROBIO common stock issuable upon the exercise of outstanding options and (ii) 936,358 shares of AVROBIO common stock issuable upon vesting of RSUs.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AVROBIO Compensation Committee. However, the AVROBIO Compensation Committee opted to reduce the number of shares that would otherwise have automatically been made available for issuance under the 2018 ESPP on January 1, 2024 to zero.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1,407,211 shares of AVROBIO common stock issuable under AVROBIO’s 2019 Inducement Plan and (ii) 1,700,000 issuable under AVROBIO’s 2020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3" w:name="toc770053_100"/>
      <w:bookmarkEnd w:id="103"/>
      <w:r>
        <w:rPr>
          <w:rFonts w:ascii="Times New Roman" w:hAnsi="Times New Roman"/>
          <w:b/>
          <w:sz w:val="20"/>
        </w:rPr>
        <w:t xml:space="preserve">TECTONIC 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Tectonic’s named executive officers for the year ended December 31, 2023 who appear in the Summary Compensation Table below are: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Alise Reicin, M.D., Chief Executive Officer and Director;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Chief Medical Officer; and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Christian Cortis, Ph.D., Chief Operating Officer and Chief Financial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total compensation awarded to, earned by or paid to each of Tectonic’s named executive officers during the year ended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0"/>
        <w:gridCol w:w="120"/>
        <w:gridCol w:w="60"/>
        <w:gridCol w:w="500"/>
        <w:gridCol w:w="60"/>
        <w:gridCol w:w="120"/>
        <w:gridCol w:w="63"/>
        <w:gridCol w:w="845"/>
        <w:gridCol w:w="60"/>
        <w:gridCol w:w="120"/>
        <w:gridCol w:w="60"/>
        <w:gridCol w:w="800"/>
        <w:gridCol w:w="60"/>
        <w:gridCol w:w="120"/>
        <w:gridCol w:w="103"/>
        <w:gridCol w:w="1387"/>
        <w:gridCol w:w="60"/>
        <w:gridCol w:w="120"/>
        <w:gridCol w:w="120"/>
        <w:gridCol w:w="1370"/>
        <w:gridCol w:w="320"/>
        <w:gridCol w:w="60"/>
        <w:gridCol w:w="60"/>
        <w:gridCol w:w="800"/>
        <w:gridCol w:w="77"/>
      </w:tblGrid>
      <w:tr>
        <w:trPr/>
        <w:tc>
          <w:tcPr>
            <w:tcW w:w="2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7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Salary(1)</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7" w:type="dxa"/>
            <w:tcBorders/>
            <w:vAlign w:val="center"/>
          </w:tcPr>
          <w:p>
            <w:pPr>
              <w:pStyle w:val="TableContents"/>
              <w:bidi w:val="0"/>
              <w:spacing w:before="0" w:after="283"/>
              <w:jc w:val="left"/>
              <w:rPr/>
            </w:pPr>
            <w:r>
              <w:rPr/>
              <w:t> </w:t>
            </w:r>
          </w:p>
        </w:tc>
      </w:tr>
      <w:tr>
        <w:trPr/>
        <w:tc>
          <w:tcPr>
            <w:tcW w:w="2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r>
              <w:rPr>
                <w:rFonts w:ascii="Times New Roman" w:hAnsi="Times New Roman"/>
                <w:b/>
                <w:sz w:val="20"/>
              </w:rPr>
              <w:t>(4)</w:t>
            </w:r>
            <w:r>
              <w:rPr>
                <w:rFonts w:ascii="Times New Roman" w:hAnsi="Times New Roman"/>
                <w:sz w:val="20"/>
              </w:rPr>
              <w:t xml:space="preserve"> </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575,050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231,600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12,749</w:t>
            </w:r>
          </w:p>
        </w:tc>
        <w:tc>
          <w:tcPr>
            <w:tcW w:w="320" w:type="dxa"/>
            <w:tcBorders/>
            <w:shd w:fill="CCEEFF" w:val="clear"/>
            <w:vAlign w:val="center"/>
          </w:tcPr>
          <w:p>
            <w:pPr>
              <w:pStyle w:val="TableContents"/>
              <w:bidi w:val="0"/>
              <w:spacing w:before="0" w:after="283"/>
              <w:jc w:val="left"/>
              <w:rPr/>
            </w:pPr>
            <w:r>
              <w:rPr/>
              <w:t>(5) </w:t>
            </w:r>
            <w:r>
              <w:rPr>
                <w:b/>
              </w:rPr>
              <w:br/>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919,213</w:t>
            </w:r>
          </w:p>
        </w:tc>
        <w:tc>
          <w:tcPr>
            <w:tcW w:w="77" w:type="dxa"/>
            <w:tcBorders/>
            <w:shd w:fill="CCEEFF" w:val="clear"/>
            <w:vAlign w:val="center"/>
          </w:tcPr>
          <w:p>
            <w:pPr>
              <w:pStyle w:val="TableContents"/>
              <w:bidi w:val="0"/>
              <w:spacing w:before="0" w:after="283"/>
              <w:jc w:val="left"/>
              <w:rPr/>
            </w:pPr>
            <w:r>
              <w:rPr/>
              <w:t> </w:t>
            </w:r>
          </w:p>
        </w:tc>
      </w:tr>
      <w:tr>
        <w:trPr/>
        <w:tc>
          <w:tcPr>
            <w:tcW w:w="2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Marcella K. Ruddy, M.D. </w:t>
            </w:r>
          </w:p>
          <w:p>
            <w:pPr>
              <w:pStyle w:val="TableContents"/>
              <w:bidi w:val="0"/>
              <w:spacing w:before="0" w:after="20"/>
              <w:jc w:val="left"/>
              <w:rPr>
                <w:rFonts w:ascii="Times New Roman" w:hAnsi="Times New Roman"/>
                <w:i/>
                <w:sz w:val="20"/>
              </w:rPr>
            </w:pPr>
            <w:r>
              <w:rPr>
                <w:rFonts w:ascii="Times New Roman" w:hAnsi="Times New Roman"/>
                <w:i/>
                <w:sz w:val="20"/>
              </w:rPr>
              <w:t>Chief Medical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451,962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78,794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159,341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9,678</w:t>
            </w:r>
          </w:p>
        </w:tc>
        <w:tc>
          <w:tcPr>
            <w:tcW w:w="320" w:type="dxa"/>
            <w:tcBorders/>
            <w:vAlign w:val="center"/>
          </w:tcPr>
          <w:p>
            <w:pPr>
              <w:pStyle w:val="TableContents"/>
              <w:bidi w:val="0"/>
              <w:spacing w:before="0" w:after="283"/>
              <w:jc w:val="left"/>
              <w:rPr/>
            </w:pPr>
            <w:r>
              <w:rPr/>
              <w:t>(6) </w:t>
            </w:r>
            <w:r>
              <w:rPr>
                <w:b/>
              </w:rPr>
              <w:br/>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690,096</w:t>
            </w:r>
          </w:p>
        </w:tc>
        <w:tc>
          <w:tcPr>
            <w:tcW w:w="77" w:type="dxa"/>
            <w:tcBorders/>
            <w:vAlign w:val="center"/>
          </w:tcPr>
          <w:p>
            <w:pPr>
              <w:pStyle w:val="TableContents"/>
              <w:bidi w:val="0"/>
              <w:spacing w:before="0" w:after="283"/>
              <w:jc w:val="left"/>
              <w:rPr/>
            </w:pPr>
            <w:r>
              <w:rPr/>
              <w:t> </w:t>
            </w:r>
          </w:p>
        </w:tc>
      </w:tr>
      <w:tr>
        <w:trPr/>
        <w:tc>
          <w:tcPr>
            <w:tcW w:w="2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Christian Cortis, Ph.D. </w:t>
            </w:r>
          </w:p>
          <w:p>
            <w:pPr>
              <w:pStyle w:val="TableContents"/>
              <w:bidi w:val="0"/>
              <w:spacing w:before="0" w:after="20"/>
              <w:jc w:val="left"/>
              <w:rPr>
                <w:rFonts w:ascii="Times New Roman" w:hAnsi="Times New Roman"/>
                <w:i/>
                <w:sz w:val="20"/>
              </w:rPr>
            </w:pPr>
            <w:r>
              <w:rPr>
                <w:rFonts w:ascii="Times New Roman" w:hAnsi="Times New Roman"/>
                <w:i/>
                <w:sz w:val="20"/>
              </w:rPr>
              <w:t>Chief Operating Officer and Chief Financial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383,356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78,794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115,850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495</w:t>
            </w:r>
          </w:p>
        </w:tc>
        <w:tc>
          <w:tcPr>
            <w:tcW w:w="320"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578,000</w:t>
            </w:r>
          </w:p>
        </w:tc>
        <w:tc>
          <w:tcPr>
            <w:tcW w:w="77"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Salary amounts represent actual amounts paid during 2023 and reflect increases to base salary effective April 1, 2023. See “—</w:t>
            </w:r>
            <w:r>
              <w:rPr>
                <w:rFonts w:ascii="Times New Roman" w:hAnsi="Times New Roman"/>
                <w:i/>
                <w:sz w:val="20"/>
              </w:rPr>
              <w:t>Narrative to the Summary Compensation Table—Annual Base Salary</w:t>
            </w:r>
            <w:r>
              <w:rPr>
                <w:rFonts w:ascii="Times New Roman" w:hAnsi="Times New Roman"/>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value of the stock option awards granted during the year ended December 31, 2023, calculated in accordance with FASB ASC 718 for share-based compensation transactions. The assumptions used in calculating the grant date fair value of the stock options reported in this column are set forth in Note 2 to Tectonic’s consolidated financial statements for each of the years ended December 31, 2022 and 2023 included elsewhere in this proxy statement/prospectus. These amounts do not correspond to the actual economic value that may be received by Tectonic’s named executive officers upon the exercise of the stock options or any sale of the underlying shares of common stock.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disclosed for fiscal year 2023 reflect performance-based cash bonuses earned in 2023 and paid in early 2024. See “—</w:t>
            </w:r>
            <w:r>
              <w:rPr>
                <w:rFonts w:ascii="Times New Roman" w:hAnsi="Times New Roman"/>
                <w:i/>
                <w:sz w:val="20"/>
              </w:rPr>
              <w:t>Non-Equity Incentive Plan Compensation</w:t>
            </w:r>
            <w:r>
              <w:rPr>
                <w:rFonts w:ascii="Times New Roman" w:hAnsi="Times New Roman"/>
                <w:sz w:val="20"/>
              </w:rPr>
              <w:t xml:space="preserve">” below for a description of the material terms of the program pursuant to which this compensation was awarded.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Reicin also serves as a member of the Tectonic Board but does not receive any additional compensation for her service as a director.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(5)</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commuting expenses in the amount of $12,221, and (ii) life insurance premiums in the amount of $528 paid by Tectonic on behalf of Dr. Reicin.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(6)</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$9,150 in matching employer contributions to a 401(k) plan, and (ii) life insurance premiums in the amount of $528 paid by Tectonic on behalf of Dr. Ruddy. </w:t>
            </w:r>
          </w:p>
        </w:tc>
      </w:tr>
    </w:tbl>
    <w:tbl>
      <w:tblPr>
        <w:tblW w:w="6565" w:type="dxa"/>
        <w:jc w:val="left"/>
        <w:tblInd w:w="0" w:type="dxa"/>
        <w:tblLayout w:type="fixed"/>
        <w:tblCellMar>
          <w:top w:w="0" w:type="dxa"/>
          <w:left w:w="0" w:type="dxa"/>
          <w:bottom w:w="0" w:type="dxa"/>
          <w:right w:w="0" w:type="dxa"/>
        </w:tblCellMar>
      </w:tblPr>
      <w:tblGrid>
        <w:gridCol w:w="305"/>
        <w:gridCol w:w="6260"/>
      </w:tblGrid>
      <w:tr>
        <w:trPr/>
        <w:tc>
          <w:tcPr>
            <w:tcW w:w="305" w:type="dxa"/>
            <w:tcBorders/>
            <w:vAlign w:val="center"/>
          </w:tcPr>
          <w:p>
            <w:pPr>
              <w:pStyle w:val="TableContents"/>
              <w:bidi w:val="0"/>
              <w:spacing w:before="0" w:after="283"/>
              <w:jc w:val="left"/>
              <w:rPr/>
            </w:pPr>
            <w:r>
              <w:rPr/>
              <w:t>(7)</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life insurance premiums paid by Tectonic on behalf of Dr. Cortis.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Tectonic Board reviews compensation on a regular basis for all employees, including Tectonic’s named executive officers. In setting executive base salaries and bonuses and granting equity incentive awards,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Board considers compensation for comparable positions in the market, the historical compensation levels of its executives, individual performance as compared to Tectonic’s expectations and objectives, Tectonic’s desire to motivate its employees to achieve short-and long-term results that are in the best interests of its stockholders and a long-term commitment to Tectonic.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named executive officer’s base salary is a fixed component of annual compensation for performing specific duties and functions, and has been established by the Tectonic Board taking into account each individual’s role, responsibilities, skills, and expertise. Base salaries are reviewed annually, typically in connection with Tectonic’s annual performance review process, approved by the Tectonic Board, and adjusted from time to time to realign salaries with market levels and internal benchmarking, after taking into account individual responsibilities, performance and experience. Please see the “Salary” column in the Summary Compensation Table above for the actual base salary amount received by each named executive officer during the year ended December 31, 2023. The annual base salaries for Drs. Reicin, Ruddy and Cortis were $562,380, $442,000 and $374,920, respectively for the period from January 1, 2023 through March 31, 2023, and $579,251, $455,260 and $386,168, respectively, for the period from April 1, 2023 to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April 1, 2024, the annual base salaries for Drs. Reicin, Ruddy and Cortis were increased to $602,160, $473,200 and $401,440, respectively. </w:t>
      </w:r>
    </w:p>
    <w:p>
      <w:pPr>
        <w:pStyle w:val="TextBody"/>
        <w:bidi w:val="0"/>
        <w:spacing w:before="240" w:after="0"/>
        <w:jc w:val="left"/>
        <w:rPr>
          <w:rFonts w:ascii="Times New Roman" w:hAnsi="Times New Roman"/>
          <w:sz w:val="20"/>
        </w:rPr>
      </w:pPr>
      <w:r>
        <w:rPr>
          <w:rFonts w:ascii="Times New Roman" w:hAnsi="Times New Roman"/>
          <w:sz w:val="20"/>
        </w:rPr>
        <w:t xml:space="preserve">Effective immediately prior to, and contingent upon, the completion of the merger, the annual base salaries for Dr. Reicin and Dr. Ruddy will be increased to $620,000 and $486,850,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Non-Equity Incentive Plan Compensation </w:t>
      </w:r>
    </w:p>
    <w:p>
      <w:pPr>
        <w:pStyle w:val="TextBody"/>
        <w:bidi w:val="0"/>
        <w:spacing w:before="120" w:after="0"/>
        <w:jc w:val="left"/>
        <w:rPr>
          <w:rFonts w:ascii="Times New Roman" w:hAnsi="Times New Roman"/>
          <w:sz w:val="20"/>
        </w:rPr>
      </w:pPr>
      <w:r>
        <w:rPr>
          <w:rFonts w:ascii="Times New Roman" w:hAnsi="Times New Roman"/>
          <w:sz w:val="20"/>
        </w:rPr>
        <w:t xml:space="preserve">Tectonic’s annual incentive program is intended to reward its named executive officers for performance during a fiscal year. From time to time, Tectonic’s compensation committee or the Tectonic Board, as applicable, in their discretion may approve annual incentives for Tectonic’s named executive officers based on individual performance, company performance, or as otherwise determined appropriate. Each of Tectonic’s named executive officers was eligible to receive a target bonus at the discretion of the Tectonic Board with respect to the year ended December 31, 2023 (as a percentage of base salary) based upon their performance. </w:t>
      </w:r>
    </w:p>
    <w:p>
      <w:pPr>
        <w:pStyle w:val="TextBody"/>
        <w:bidi w:val="0"/>
        <w:spacing w:before="0" w:after="0"/>
        <w:jc w:val="left"/>
        <w:rPr/>
      </w:pPr>
      <w:r>
        <w:rPr/>
        <w:t> </w:t>
      </w:r>
    </w:p>
    <w:tbl>
      <w:tblPr>
        <w:tblW w:w="3870" w:type="dxa"/>
        <w:jc w:val="left"/>
        <w:tblInd w:w="0" w:type="dxa"/>
        <w:tblLayout w:type="fixed"/>
        <w:tblCellMar>
          <w:top w:w="0" w:type="dxa"/>
          <w:left w:w="0" w:type="dxa"/>
          <w:bottom w:w="0" w:type="dxa"/>
          <w:right w:w="0" w:type="dxa"/>
        </w:tblCellMar>
      </w:tblPr>
      <w:tblGrid>
        <w:gridCol w:w="2075"/>
        <w:gridCol w:w="120"/>
        <w:gridCol w:w="133"/>
        <w:gridCol w:w="577"/>
        <w:gridCol w:w="60"/>
        <w:gridCol w:w="120"/>
        <w:gridCol w:w="133"/>
        <w:gridCol w:w="577"/>
        <w:gridCol w:w="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Name</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br/>
              <w:t>Bonus</w:t>
              <w:br/>
              <w:t>Target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br/>
              <w:t>Bonus</w:t>
              <w:br/>
              <w:t>Target</w:t>
              <w:br/>
              <w:t>(%)</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February 2024, based on the named executive officer’s performance, the Tectonic Board determined that Drs. Reicin, Ruddy and Cortis were eligible to receive 100% of their target annual bonus for the year ended December 31, 2023, and as a result, approved annual performance bonuses for Drs. Reicin, Ruddy, and Cortis in the amounts of $231,600, $159,341 and $115,850, respectively, as reflected in the “Non-Equity Incentive Plan Compensation” column of the Summary Compensation Table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Tectonic’s equity-based incentive awards granted to its named executive officers are designed to align the interests of Tectonic and those of Tectonic stockholders with those of Tectonic employees and consultants, including its executive officers. Tectonic executives generally are awarded an initial equity grant in the form of a stock option, or restricted stock in the case of Drs. Reicin and Cortis, in connection with their commencement of employment with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as disclosed below regarding restricted stock awards granted to Dr. Reicin pursuant to the Reicin Employment Agreement (as defined below), Tectonic has historically used stock options as an incentive for long-term compensation to its executive officers because the option awards allow Tectonic executive officers to profit from this form of equity compensation only if Tectonic’s stock price increases relative to the option’s exercise price, which exercise price is set at the fair market value of Tectonic common stock on the date of grant. Vesting of equity awards is generally tied to each officer’s continuous service with Tectonic and serves as an additional retention measure. Tectonic may grant equity awards at such times as the Tectonic Board or compensation committee determines appropriate. Additional grants may occur periodically in order to specifically incentivize executives with respect to achieving certain corporate goals or to reward executives for exceptional performance. </w:t>
      </w:r>
    </w:p>
    <w:p>
      <w:pPr>
        <w:pStyle w:val="TextBody"/>
        <w:bidi w:val="0"/>
        <w:spacing w:before="240" w:after="0"/>
        <w:jc w:val="left"/>
        <w:rPr>
          <w:rFonts w:ascii="Times New Roman" w:hAnsi="Times New Roman"/>
          <w:sz w:val="20"/>
        </w:rPr>
      </w:pPr>
      <w:r>
        <w:rPr>
          <w:rFonts w:ascii="Times New Roman" w:hAnsi="Times New Roman"/>
          <w:sz w:val="20"/>
        </w:rPr>
        <w:t>In the year ended December 31, 2023, Tectonic granted each of Drs. Reicin, Ruddy and Cortis options to purchase shares of Tectonic common stock. Dr. Reicin was granted an option covering 50,000 shares, Dr. Ruddy was granted an option covering 35,000 shares and Dr. Cortis was granted an option covering 35,000 shares. Each of these option awards have an exercise price of $2.87, and vest in 48 equal monthly installments beginning on January 1, 2024. See the section titled “—</w:t>
      </w:r>
      <w:r>
        <w:rPr>
          <w:rFonts w:ascii="Times New Roman" w:hAnsi="Times New Roman"/>
          <w:i/>
          <w:sz w:val="20"/>
        </w:rPr>
        <w:t>Outstanding Equity Awards at Fiscal 2023 Year-End</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outstanding equity awards held by Tectonic’s named executive officers as of December 31, 2023. All awards were granted pursuant to the Tectonic 2019 Plan. See “ —</w:t>
      </w:r>
      <w:r>
        <w:rPr>
          <w:rFonts w:ascii="Times New Roman" w:hAnsi="Times New Roman"/>
          <w:i/>
          <w:sz w:val="20"/>
        </w:rPr>
        <w:t xml:space="preserve">Equity Incentive Plans– Tectonic 2019 Plan” </w:t>
      </w:r>
      <w:r>
        <w:rPr>
          <w:rFonts w:ascii="Times New Roman" w:hAnsi="Times New Roman"/>
          <w:sz w:val="20"/>
        </w:rPr>
        <w:t xml:space="preserve">below for additional information. </w:t>
      </w:r>
    </w:p>
    <w:p>
      <w:pPr>
        <w:pStyle w:val="TextBody"/>
        <w:bidi w:val="0"/>
        <w:spacing w:before="0" w:after="0"/>
        <w:jc w:val="left"/>
        <w:rPr/>
      </w:pPr>
      <w:r>
        <w:rPr/>
        <w:t> </w:t>
      </w:r>
    </w:p>
    <w:tbl>
      <w:tblPr>
        <w:tblW w:w="11020" w:type="dxa"/>
        <w:jc w:val="left"/>
        <w:tblInd w:w="0" w:type="dxa"/>
        <w:tblLayout w:type="fixed"/>
        <w:tblCellMar>
          <w:top w:w="0" w:type="dxa"/>
          <w:left w:w="0" w:type="dxa"/>
          <w:bottom w:w="0" w:type="dxa"/>
          <w:right w:w="0" w:type="dxa"/>
        </w:tblCellMar>
      </w:tblPr>
      <w:tblGrid>
        <w:gridCol w:w="770"/>
        <w:gridCol w:w="60"/>
        <w:gridCol w:w="60"/>
        <w:gridCol w:w="575"/>
        <w:gridCol w:w="60"/>
        <w:gridCol w:w="60"/>
        <w:gridCol w:w="178"/>
        <w:gridCol w:w="1492"/>
        <w:gridCol w:w="60"/>
        <w:gridCol w:w="60"/>
        <w:gridCol w:w="88"/>
        <w:gridCol w:w="1177"/>
        <w:gridCol w:w="60"/>
        <w:gridCol w:w="60"/>
        <w:gridCol w:w="100"/>
        <w:gridCol w:w="1345"/>
        <w:gridCol w:w="215"/>
        <w:gridCol w:w="60"/>
        <w:gridCol w:w="105"/>
        <w:gridCol w:w="770"/>
        <w:gridCol w:w="60"/>
        <w:gridCol w:w="60"/>
        <w:gridCol w:w="119"/>
        <w:gridCol w:w="996"/>
        <w:gridCol w:w="60"/>
        <w:gridCol w:w="60"/>
        <w:gridCol w:w="79"/>
        <w:gridCol w:w="901"/>
        <w:gridCol w:w="215"/>
        <w:gridCol w:w="60"/>
        <w:gridCol w:w="79"/>
        <w:gridCol w:w="901"/>
        <w:gridCol w:w="7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63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7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and Principal Position</w:t>
            </w:r>
          </w:p>
        </w:tc>
        <w:tc>
          <w:tcPr>
            <w:tcW w:w="60" w:type="dxa"/>
            <w:vMerge w:val="continue"/>
            <w:tcBorders/>
            <w:vAlign w:val="center"/>
          </w:tcPr>
          <w:p>
            <w:pPr>
              <w:pStyle w:val="Normal"/>
              <w:bidi w:val="0"/>
              <w:jc w:val="left"/>
              <w:rPr/>
            </w:pPr>
            <w:r>
              <w:rPr/>
            </w:r>
          </w:p>
        </w:tc>
        <w:tc>
          <w:tcPr>
            <w:tcW w:w="63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7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Unexercisable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w:t>
              <w:br/>
              <w:t>or Units</w:t>
              <w:br/>
              <w:t>of Stock</w:t>
              <w:br/>
              <w:t>That</w:t>
              <w:br/>
              <w:t>Have Not</w:t>
              <w:br/>
              <w:t>Vested</w:t>
              <w:br/>
              <w:t>($)(3)</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Alise Reicin,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17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345"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33,722</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96,926</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i/>
                <w:sz w:val="18"/>
              </w:rPr>
            </w:pPr>
            <w:r>
              <w:rPr>
                <w:rFonts w:ascii="Times New Roman" w:hAnsi="Times New Roman"/>
                <w:i/>
                <w:sz w:val="18"/>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jc w:val="right"/>
              <w:rPr/>
            </w:pPr>
            <w:r>
              <w:rPr/>
              <w:t>6/28/2021</w:t>
            </w:r>
          </w:p>
          <w:p>
            <w:pPr>
              <w:pStyle w:val="TableContents"/>
              <w:bidi w:val="0"/>
              <w:spacing w:before="0" w:after="20"/>
              <w:jc w:val="right"/>
              <w:rPr>
                <w:rFonts w:ascii="Times New Roman" w:hAnsi="Times New Roman"/>
                <w:sz w:val="18"/>
              </w:rPr>
            </w:pPr>
            <w:r>
              <w:rPr>
                <w:rFonts w:ascii="Times New Roman" w:hAnsi="Times New Roman"/>
                <w:sz w:val="18"/>
              </w:rPr>
              <w:t>12/1/2023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jc w:val="right"/>
              <w:rPr/>
            </w:pPr>
            <w:r>
              <w:rPr/>
              <w:t>3/31/2021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144,644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jc w:val="right"/>
              <w:rPr/>
            </w:pPr>
            <w:r>
              <w:rPr/>
              <w:t>114,470</w:t>
            </w:r>
          </w:p>
          <w:p>
            <w:pPr>
              <w:pStyle w:val="TableContents"/>
              <w:bidi w:val="0"/>
              <w:spacing w:before="0" w:after="20"/>
              <w:jc w:val="right"/>
              <w:rPr>
                <w:rFonts w:ascii="Times New Roman" w:hAnsi="Times New Roman"/>
                <w:sz w:val="18"/>
              </w:rPr>
            </w:pPr>
            <w:r>
              <w:rPr>
                <w:rFonts w:ascii="Times New Roman" w:hAnsi="Times New Roman"/>
                <w:sz w:val="18"/>
              </w:rPr>
              <w:t>50,000</w:t>
            </w:r>
          </w:p>
        </w:tc>
        <w:tc>
          <w:tcPr>
            <w:tcW w:w="215" w:type="dxa"/>
            <w:tcBorders/>
            <w:shd w:fill="CCEEFF" w:val="clear"/>
            <w:vAlign w:val="center"/>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jc w:val="right"/>
              <w:rPr/>
            </w:pPr>
            <w:r>
              <w:rPr/>
              <w:t>6/27/2031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12,836</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36,839</w:t>
            </w:r>
          </w:p>
        </w:tc>
        <w:tc>
          <w:tcPr>
            <w:tcW w:w="75" w:type="dxa"/>
            <w:tcBorders/>
            <w:shd w:fill="CCEEFF" w:val="cle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Marcella K. Ruddy, M.D. </w:t>
            </w:r>
          </w:p>
          <w:p>
            <w:pPr>
              <w:pStyle w:val="TableContents"/>
              <w:bidi w:val="0"/>
              <w:spacing w:before="0" w:after="20"/>
              <w:jc w:val="left"/>
              <w:rPr>
                <w:rFonts w:ascii="Times New Roman" w:hAnsi="Times New Roman"/>
                <w:i/>
                <w:sz w:val="18"/>
              </w:rPr>
            </w:pPr>
            <w:r>
              <w:rPr>
                <w:rFonts w:ascii="Times New Roman" w:hAnsi="Times New Roman"/>
                <w:i/>
                <w:sz w:val="18"/>
              </w:rPr>
              <w:t>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right"/>
              <w:rPr/>
            </w:pPr>
            <w:r>
              <w:rPr/>
              <w:t>9/17/2021</w:t>
            </w:r>
          </w:p>
          <w:p>
            <w:pPr>
              <w:pStyle w:val="TableContents"/>
              <w:bidi w:val="0"/>
              <w:spacing w:before="0" w:after="20"/>
              <w:jc w:val="right"/>
              <w:rPr>
                <w:rFonts w:ascii="Times New Roman" w:hAnsi="Times New Roman"/>
                <w:sz w:val="18"/>
              </w:rPr>
            </w:pPr>
            <w:r>
              <w:rPr>
                <w:rFonts w:ascii="Times New Roman" w:hAnsi="Times New Roman"/>
                <w:sz w:val="18"/>
              </w:rPr>
              <w:t>12/1/2023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jc w:val="right"/>
              <w:rPr/>
            </w:pPr>
            <w:r>
              <w:rPr/>
              <w:t>7/19/2021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85,932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jc w:val="right"/>
              <w:rPr/>
            </w:pPr>
            <w:r>
              <w:rPr/>
              <w:t>56,301</w:t>
            </w:r>
          </w:p>
          <w:p>
            <w:pPr>
              <w:pStyle w:val="TableContents"/>
              <w:bidi w:val="0"/>
              <w:spacing w:before="0" w:after="20"/>
              <w:jc w:val="right"/>
              <w:rPr>
                <w:rFonts w:ascii="Times New Roman" w:hAnsi="Times New Roman"/>
                <w:sz w:val="18"/>
              </w:rPr>
            </w:pPr>
            <w:r>
              <w:rPr>
                <w:rFonts w:ascii="Times New Roman" w:hAnsi="Times New Roman"/>
                <w:sz w:val="18"/>
              </w:rPr>
              <w:t>35,000</w:t>
            </w:r>
          </w:p>
        </w:tc>
        <w:tc>
          <w:tcPr>
            <w:tcW w:w="215" w:type="dxa"/>
            <w:tcBorders/>
            <w:vAlign w:val="center"/>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jc w:val="right"/>
              <w:rPr/>
            </w:pPr>
            <w:r>
              <w:rPr/>
              <w:t>9/16/2031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Christian Cortis, Ph.D. </w:t>
            </w:r>
          </w:p>
          <w:p>
            <w:pPr>
              <w:pStyle w:val="TableContents"/>
              <w:bidi w:val="0"/>
              <w:spacing w:before="0" w:after="20"/>
              <w:jc w:val="left"/>
              <w:rPr>
                <w:rFonts w:ascii="Times New Roman" w:hAnsi="Times New Roman"/>
                <w:i/>
                <w:sz w:val="18"/>
              </w:rPr>
            </w:pPr>
            <w:r>
              <w:rPr>
                <w:rFonts w:ascii="Times New Roman" w:hAnsi="Times New Roman"/>
                <w:i/>
                <w:sz w:val="18"/>
              </w:rPr>
              <w:t>Chief Operating Officer and Chief Financial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jc w:val="right"/>
              <w:rPr/>
            </w:pPr>
            <w:r>
              <w:rPr/>
              <w:t>6/28/2021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jc w:val="right"/>
              <w:rPr/>
            </w:pPr>
            <w:r>
              <w:rPr/>
              <w:t>3/31/2021</w:t>
            </w:r>
          </w:p>
          <w:p>
            <w:pPr>
              <w:pStyle w:val="TableContents"/>
              <w:bidi w:val="0"/>
              <w:spacing w:before="0" w:after="20"/>
              <w:jc w:val="right"/>
              <w:rPr>
                <w:rFonts w:ascii="Times New Roman" w:hAnsi="Times New Roman"/>
                <w:sz w:val="18"/>
              </w:rPr>
            </w:pPr>
            <w:r>
              <w:rPr>
                <w:rFonts w:ascii="Times New Roman" w:hAnsi="Times New Roman"/>
                <w:sz w:val="18"/>
              </w:rPr>
              <w:t>12/01/2023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207,184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jc w:val="right"/>
              <w:rPr/>
            </w:pPr>
            <w:r>
              <w:rPr/>
              <w:t>94,175</w:t>
            </w:r>
          </w:p>
          <w:p>
            <w:pPr>
              <w:pStyle w:val="TableContents"/>
              <w:bidi w:val="0"/>
              <w:spacing w:before="0" w:after="20"/>
              <w:jc w:val="right"/>
              <w:rPr>
                <w:rFonts w:ascii="Times New Roman" w:hAnsi="Times New Roman"/>
                <w:sz w:val="18"/>
              </w:rPr>
            </w:pPr>
            <w:r>
              <w:rPr>
                <w:rFonts w:ascii="Times New Roman" w:hAnsi="Times New Roman"/>
                <w:sz w:val="18"/>
              </w:rPr>
              <w:t>35,000</w:t>
            </w:r>
          </w:p>
        </w:tc>
        <w:tc>
          <w:tcPr>
            <w:tcW w:w="215" w:type="dxa"/>
            <w:tcBorders/>
            <w:shd w:fill="CCEEFF" w:val="clear"/>
            <w:vAlign w:val="center"/>
          </w:tcPr>
          <w:p>
            <w:pPr>
              <w:pStyle w:val="TableContents"/>
              <w:bidi w:val="0"/>
              <w:jc w:val="left"/>
              <w:rPr/>
            </w:pPr>
            <w:r>
              <w:rPr/>
              <w:t>(5) </w:t>
            </w:r>
          </w:p>
          <w:p>
            <w:pPr>
              <w:pStyle w:val="TableContents"/>
              <w:bidi w:val="0"/>
              <w:spacing w:before="0" w:after="20"/>
              <w:jc w:val="left"/>
              <w:rPr>
                <w:rFonts w:ascii="Times New Roman" w:hAnsi="Times New Roman"/>
                <w:sz w:val="18"/>
              </w:rPr>
            </w:pPr>
            <w:r>
              <w:rPr>
                <w:rFonts w:ascii="Times New Roman" w:hAnsi="Times New Roman"/>
                <w:sz w:val="18"/>
              </w:rPr>
              <w:t>(7)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jc w:val="right"/>
              <w:rPr/>
            </w:pPr>
            <w:r>
              <w:rPr/>
              <w:t>1.27</w:t>
            </w:r>
          </w:p>
          <w:p>
            <w:pPr>
              <w:pStyle w:val="TableContents"/>
              <w:bidi w:val="0"/>
              <w:spacing w:before="0" w:after="20"/>
              <w:jc w:val="right"/>
              <w:rPr>
                <w:rFonts w:ascii="Times New Roman" w:hAnsi="Times New Roman"/>
                <w:sz w:val="18"/>
              </w:rPr>
            </w:pPr>
            <w:r>
              <w:rPr>
                <w:rFonts w:ascii="Times New Roman" w:hAnsi="Times New Roman"/>
                <w:sz w:val="18"/>
              </w:rPr>
              <w:t>2.87</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jc w:val="right"/>
              <w:rPr/>
            </w:pPr>
            <w:r>
              <w:rPr/>
              <w:t>6/27/2031</w:t>
            </w:r>
          </w:p>
          <w:p>
            <w:pPr>
              <w:pStyle w:val="TableContents"/>
              <w:bidi w:val="0"/>
              <w:spacing w:before="0" w:after="20"/>
              <w:jc w:val="right"/>
              <w:rPr>
                <w:rFonts w:ascii="Times New Roman" w:hAnsi="Times New Roman"/>
                <w:sz w:val="18"/>
              </w:rPr>
            </w:pPr>
            <w:r>
              <w:rPr>
                <w:rFonts w:ascii="Times New Roman" w:hAnsi="Times New Roman"/>
                <w:sz w:val="18"/>
              </w:rPr>
              <w:t>11/30/2033</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option awards have been granted pursuant to the terms of the Tectonic 2019 Plan, the terms of which are described below in the subsection titled “ —</w:t>
            </w:r>
            <w:r>
              <w:rPr>
                <w:rFonts w:ascii="Times New Roman" w:hAnsi="Times New Roman"/>
                <w:i/>
                <w:sz w:val="20"/>
              </w:rPr>
              <w:t>Equity Incentive Plans—Tectonic 2019 Equity Incentive Plan</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option awards listed in the table were granted with an exercise price per share that is no less than the fair market value of Tectonic common stock on the date of grant of such award, as determined in good faith by the Tectonic Board.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reflects $2.87, the fair market value of a share of Tectonic common stock as of September 30, 2023 (the determination of the fair market value by the Tectonic Board as of the most proximate date) multiplied by the amount shown in the column for the number of shares that have not vested.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restricted stock issued to Dr. Reicin that are subject to vesting and a repurchase right in favor of Tectonic, with 25% of the total shares vested on the first anniversary of August 10, 2020, with the remaining shares vesting in 36 equal monthly installments thereafter, subject to Dr. Reicin’s continued service through each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option vested on the first anniversary of the vesting commencement date, with the remaining shares vesting in 36 equal monthly installments thereafter, subject to the officer’s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restricted stock issued to Dr. Reicin upon the early exercise of stock options that are subject to vesting and a repurchase right in favor of Tectonic, with 5,204 shares vesting on November 30, 2024 and the remainder vesting on December 31, 2024, subject to Dr. Reicin’s continued service through each vesting date. </w:t>
            </w:r>
          </w:p>
        </w:tc>
      </w:tr>
    </w:tbl>
    <w:tbl>
      <w:tblPr>
        <w:tblW w:w="8590" w:type="dxa"/>
        <w:jc w:val="left"/>
        <w:tblInd w:w="0" w:type="dxa"/>
        <w:tblLayout w:type="fixed"/>
        <w:tblCellMar>
          <w:top w:w="0" w:type="dxa"/>
          <w:left w:w="0" w:type="dxa"/>
          <w:bottom w:w="0" w:type="dxa"/>
          <w:right w:w="0" w:type="dxa"/>
        </w:tblCellMar>
      </w:tblPr>
      <w:tblGrid>
        <w:gridCol w:w="305"/>
        <w:gridCol w:w="8285"/>
      </w:tblGrid>
      <w:tr>
        <w:trPr/>
        <w:tc>
          <w:tcPr>
            <w:tcW w:w="305" w:type="dxa"/>
            <w:tcBorders/>
            <w:vAlign w:val="center"/>
          </w:tcPr>
          <w:p>
            <w:pPr>
              <w:pStyle w:val="TableContents"/>
              <w:bidi w:val="0"/>
              <w:spacing w:before="0" w:after="283"/>
              <w:jc w:val="left"/>
              <w:rPr/>
            </w:pPr>
            <w:r>
              <w:rPr/>
              <w:t>(7)</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subject to the option vest in 48 equal monthly installments beginning on January 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approval by the board of directors of the combined company, Drs. Reicin and Ruddy will be granted options to purchase a number of shares of common stock of the combined company equal to 1.95% and 0.56%, respectively, of common stock outstanding after the closing. The options will have an exercise price per share equal to 100% of the fair market value of the underlying common stock on the date of grant, as reported at the closing time on Nasdaq. One fourth (25%) of each option will vest on the one-year anniversary of the date of grant, and the remainder will vest in 36 equal monthly installments thereafter, subject to each of Drs. Reicin and Ruddy’s “continuous service” (as defined in the 2024 Plan) through each such date. The specific terms of these options will be governed by the terms of the 2024 Plan and form award agreement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Tectonic’s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Below are descriptions of the material terms of Tectonic’s employment agreement and offer letters with Tectonic’s named executive officers. The agreements set forth the initial terms and conditions of the executive’s employment with Tectonic, including initial base salary, bonus opportunity,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 — </w:t>
      </w:r>
      <w:r>
        <w:rPr>
          <w:rFonts w:ascii="Times New Roman" w:hAnsi="Times New Roman"/>
          <w:i/>
          <w:sz w:val="20"/>
        </w:rPr>
        <w:t>Potential Payments and Benefits upon Termination or Change in Control</w:t>
      </w:r>
      <w:r>
        <w:rPr>
          <w:rFonts w:ascii="Times New Roman" w:hAnsi="Times New Roman"/>
          <w:sz w:val="20"/>
        </w:rPr>
        <w:t xml:space="preserve">.” The employment of each of Tectonic’s named executive officers is “at will” and may be terminated at any time. In addition, each of Tectonic’s named executive officers has executed a form of Tectonic’s standard proprietary information and inventions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Dr. Alise Reicin, M.D.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Tectonic entered into an executive employment agreement with Dr. Reicin (the “Reicin Employment Agreement”) in connection with her appointment as Tectonic’s President and Chief Executive Officer and as a member of the Tectonic Board. In connection with the merger and subject to approval by the board of directors of the combined company, Tectonic expects to enter into an amended and restated executive employment agreement with Dr. Reicin. The material terms of the amendment are as follows: (i) Dr. Reicin shall remain President and Chief Executive Officer and shall continue to serve as an executive director to the board of directors of the combined company; (ii) an annual base salary of $620,000; (iii) eligibility for an annual, performance-based cash bonus with a target bonus percentage of 55% of Dr. Reicin’s base salary; (iv) following the closing of the merger, issuance of an option award to purchase shares of common stock of the combined company, such that when combined with Dr. Reicin’s prior securities holdings or rights to acquire securities in the combined company, Dr. Reicin will hold or have the right to acquire shares representing at least 4.20% of the combined company’s post-merger equity securities, calculated on a fully diluted basis; and (v) eligibility to participate in the combined company’s executive severance plan and other employee benefit, welfare and other plans, as may be maintained by the combined company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Dr. Marcella K. Ruddy, M.D. </w:t>
      </w:r>
    </w:p>
    <w:p>
      <w:pPr>
        <w:pStyle w:val="TextBody"/>
        <w:bidi w:val="0"/>
        <w:spacing w:before="120" w:after="0"/>
        <w:jc w:val="left"/>
        <w:rPr>
          <w:rFonts w:ascii="Times New Roman" w:hAnsi="Times New Roman"/>
          <w:sz w:val="20"/>
        </w:rPr>
      </w:pPr>
      <w:r>
        <w:rPr>
          <w:rFonts w:ascii="Times New Roman" w:hAnsi="Times New Roman"/>
          <w:sz w:val="20"/>
        </w:rPr>
        <w:t xml:space="preserve">Tectonic entered into an offer letter with Dr. Ruddy (the “Ruddy Offer Letter”) in June 2021, in connection with her appointment as Tectonic’s Chief Medical Officer. The Ruddy Offer Letter provides for a base salary and target bonus opportunity, which shall be reviewed and may be adjusted by the Tectonic Board on an annual basis. To qualify for the annual target bonus set at a percentage of her adjusted base salary in respect of any calendar year, Dr. Ruddy must remain employed with Tectonic through the time the bonus payment is paid by Tectonic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year. Under the Ruddy Offer Letter, Tectonic granted Dr. Ruddy an option to purchase 142,233 shares of Tectonic common stock pursuant to the terms of Tectonic’s 2019 Equity Incentive Plan (the “Tectonic 2019 Plan”), at an exercise price of $1.27 per share. The option vests on the following schedule: 25% of the shares vested on the one-year anniversary of July 19, 2021, with the remaining shares vesting in 36 equal monthly installments thereafter such that the options will be fully vested on the four-year anniversary of July 19, 2021, subject to Dr. Ruddy’s continuous service with Tectonic through each vesting date.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Tectonic equity compensation plans, as may be granted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Dr. Christian Cortis, Ph.D. </w:t>
      </w:r>
    </w:p>
    <w:p>
      <w:pPr>
        <w:pStyle w:val="TextBody"/>
        <w:bidi w:val="0"/>
        <w:spacing w:before="120" w:after="0"/>
        <w:jc w:val="left"/>
        <w:rPr>
          <w:rFonts w:ascii="Times New Roman" w:hAnsi="Times New Roman"/>
          <w:sz w:val="20"/>
        </w:rPr>
      </w:pPr>
      <w:r>
        <w:rPr>
          <w:rFonts w:ascii="Times New Roman" w:hAnsi="Times New Roman"/>
          <w:sz w:val="20"/>
        </w:rPr>
        <w:t xml:space="preserve">Tectonic entered into an offer letter with Dr. Cortis (the “Cortis Offer Letter”) in July 2019. Dr. Cortis currently serves as Tectonic’s Chief Operating Officer and Chief Financial Officer. The Cortis Offer Letter provides for a base salary and target bonus opportunity, which shall be reviewed and may be adjusted by the Tectonic Board on an annual basis. To qualify for the annual target bonus set at a percentage of his adjusted base salary in respect of any calendar year, Dr. Cortis must remain employed with Tectonic through the time the bonus payment is paid by Tectonic in the following year. Tectonic granted Dr. Cortis an award of 10,000 restricted shares of Tectonic common stock, which fully vested as of August 2023. The stock award is subject to a double trigger acceleration in the event of a Change in Control (as defined in the Tectonic 2019 Plan) of Tectonic accompanied by Dr. Cortis’s involuntary termination without Cause (as defined in the Tectonic 2019 Plan) within six months before or after such Change in Control other than as a result of death or disability. After the closing of Tectonic’s Series A preferred stock financing, Tectonic granted Dr. Cortis an option to purchase 301,359 shares of Tectonic common stock in June 2021. This option award has an exercise price of $1.27 per share. The option vests on the following schedule: 25% of the shares vested on the one-year anniversary of March 31, 2021, with the remaining shares vesting in 36 equal monthly installments thereafter such that options will be fully vested on the four-year anniversary of March 31, 2021, subject to Dr. Cortis’s continuous service with Tectonic through each vesting date.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and Benefits upon a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merger, Tectonic intends to enter into change in control and severance agreements with each of Drs. Reicin, Ruddy and Dr. Cortis, respectively, which will supersede all previous severance and change in control arrangements Tectonic had entered into with these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On     , 2024, the Tectonic Board adopted the Tectonic Therapeutic, Inc. Severance Plan (the “Severance Plan”) pursuant to which certain employees are eligible to participate, including Alise Reicin, President and Chief Executive Officer of Tectonic, Christian Cortis, Chief Operating Officer and Chief Financial Officer of Tectonic, and Marcella Ruddy, Chief Medical Officer of Tectonic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Tectonic is terminated by Tectonic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with Tectonic is terminated by Tectonic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Severance Plan. </w:t>
      </w:r>
    </w:p>
    <w:p>
      <w:pPr>
        <w:pStyle w:val="TextBody"/>
        <w:bidi w:val="0"/>
        <w:spacing w:before="360" w:after="0"/>
        <w:jc w:val="left"/>
        <w:rPr>
          <w:rFonts w:ascii="Times New Roman" w:hAnsi="Times New Roman"/>
          <w:b/>
          <w:sz w:val="20"/>
        </w:rPr>
      </w:pPr>
      <w:r>
        <w:rPr>
          <w:rFonts w:ascii="Times New Roman" w:hAnsi="Times New Roman"/>
          <w:b/>
          <w:sz w:val="20"/>
        </w:rPr>
        <w:t xml:space="preserve">Health and Welfare and Retirement Benefits; Perquisites </w:t>
      </w:r>
    </w:p>
    <w:p>
      <w:pPr>
        <w:pStyle w:val="TextBody"/>
        <w:bidi w:val="0"/>
        <w:spacing w:before="120" w:after="0"/>
        <w:jc w:val="left"/>
        <w:rPr>
          <w:rFonts w:ascii="Times New Roman" w:hAnsi="Times New Roman"/>
          <w:sz w:val="20"/>
        </w:rPr>
      </w:pPr>
      <w:r>
        <w:rPr>
          <w:rFonts w:ascii="Times New Roman" w:hAnsi="Times New Roman"/>
          <w:sz w:val="20"/>
        </w:rPr>
        <w:t xml:space="preserve">These payments and benefits discussed above are in addition to eligibility to participate in benefits available generally to salaried employees, including medical, vision, dental, and life insurance plans, in each case on the same basis as all of Tectonic’s other employees. Tectonic generally does not provide perquisites or personal benefits to Tectonic’s named executive officers, except in limited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Beginning in 2022, Tectonic maintains a tax-qualified 401(k) retirement plan that provides eligible U.S. employees with an opportunity to save for retirement on a tax-advantaged basis. Pursuant to the terms of such 401(k) plan, depending on facts and circumstances of the employee population in any given year, Tectonic may make a 3% mandatory contribution under and pursuant to the terms of the plan and applicable law. Tectonic does not maintain, and none of the Tectonic named executive officers is eligible to participate in, any defined benefit pension plan or nonqualified deferred compensation plan. </w:t>
      </w:r>
    </w:p>
    <w:p>
      <w:pPr>
        <w:pStyle w:val="TextBody"/>
        <w:bidi w:val="0"/>
        <w:spacing w:before="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Tectonic 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Tectonic Board adopted the Tectonic 2019 Plan and Tectonic stockholders approved the Tectonic 2019 Plan in June 2019. Tectonic will not grant any additional awards under the Tectonic 2019 Plan after the 2024 Plan becomes effective. However, the Tectonic 2019 Plan will continue to govern the terms and conditions of the outstanding awards granted thereunder. The Tectonic 2019 Plan provides for the grant of incentive stock options, non-statutory stock options, restricted stock awards, restricted stock unit awards, and other forms of equity compensation to Tectonic’s employees and consultants and members of the Tectonic Board. Only options and restricted stock awards are outstanding under the Tectonic 2019 Plan. </w:t>
      </w:r>
    </w:p>
    <w:p>
      <w:pPr>
        <w:pStyle w:val="TextBody"/>
        <w:bidi w:val="0"/>
        <w:spacing w:before="240" w:after="0"/>
        <w:jc w:val="left"/>
        <w:rPr>
          <w:rFonts w:ascii="Times New Roman" w:hAnsi="Times New Roman"/>
          <w:sz w:val="20"/>
        </w:rPr>
      </w:pPr>
      <w:r>
        <w:rPr>
          <w:rFonts w:ascii="Times New Roman" w:hAnsi="Times New Roman"/>
          <w:i/>
          <w:sz w:val="20"/>
        </w:rPr>
        <w:t>Stock Awards.</w:t>
      </w:r>
      <w:r>
        <w:rPr>
          <w:rFonts w:ascii="Times New Roman" w:hAnsi="Times New Roman"/>
          <w:sz w:val="20"/>
        </w:rPr>
        <w:t xml:space="preserve"> The Tectonic 2019 Plan provides for the grant of incentive stock options, or ISOs, nonstatutory stock options, or NSOs, stock appreciation rights, restricted stock awards, restricted stock unit awards, and other forms of equity compensation, which are referred to collectively as stock awards, all of which may be granted to employees, including officers, non-employee directors and consultants of Tectonic and its affiliates. ISOs may be granted only to employees. All other awards may be granted to employees, including officers, and to non-employee directors and consultants.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adjustments for certain changes in capitalization, the aggregate number of shares of Tectonic common stock that may be issued under the Tectonic 2019 Plan is 1,991,264 shares. The aggregate number of shares that may be issued upon the exercise of ISOs under the Tectonic 2019 Plan is 5,973,792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portion of a stock award (i) expires or otherwise terminates without the shares covered by such portion of the stock award having been issued or (ii) is settled in cash, such expiration, termination, or settlement will not reduce the number of shares available for issuance under the Tectonic 2019 Plan. Shares forfeited back to or repurchased by Tectonic because of the failure to meet a contingency or condition required to vest will revert to and again become available for issuance under the Tectonic 2019 Plan. Shares reacquired by Tectonic to satisfy the exercise price or purchase price of a stock award and shares withheld to satisfy a tax withholding obligation in connection with a stock award will again become available for issuance under the Tectonic 2019 Plan.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Tectonic Board, or a duly authorized committee thereof, has the authority to administer the Tectonic 2019 Plan. The Tectonic Board may also delegate to one or more officers the authority to (1) designate recipients (other than officers) of stock options or stock appreciation rights and (2) determine the number of shares of common stock to be subject to such stock awards. Subject to the terms of the Tectonic 2019 Plan, the Tectonic Board or the authorized committee, referred to herein as the plan administrator, determines recipients, dates of grant, the numbers and types of stock awards to be granted and the terms and conditions of the stock awards, including the period of their exercisability and vesting schedule applicable to a stock award. Subject to the limitations set forth below, the plan administrator will also determine the exercise price, strike price or purchase price of awards granted and the types of consideration to be paid for the award.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has the authority to modify outstanding awards under the Tectonic 2019 Plan, however, the plan administrator does not have the authority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without the consent of any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plan administrator. The plan administrator determines the exercise price for a stock option, within the terms and conditions of the Tectonic 2019 Plan, provided that the exercise price of a stock option generally cannot be less than 100% of the fair market value of Tectonic common stock on the date of grant. Options granted under the Tectonic 2019 Plan vest at the rate specified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determines the term of stock options granted under the Tectonic 2019 Plan, up to a maximum of 10 years. Unless the terms of an option holder’s stock option agreement provide otherwise, if an option holder’s service relationship with Tectonic or any of its affiliates, ceases for any reason other than disability, death or cause, the option holder may generally exercise any vested options for a period of three months following the cessation of service. The option term may be extended in the event that exercise of the option following such a termination of service is prohibited by applicable securities laws or any applicable insider trading policy. If an optionholder’s service relationship with Tectonic or any of its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the plan administrator and may include (1) cash, check, bank draft or money order, (2) a broker-assisted cashless exercise, (3) the tender of shares of Tectonic common stock previously owned by the optionholder, (4) a net exercise of the option if it is an NSO, and (5) according to a deferred payment or similar arrangement with the optionholder; or (6) other legal consideration approved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Tectonic common stock with respect to ISOs that are exercisable for the first time by an optionholder during any calendar year under all of Tectonic’s stock plans may not exceed $100,000. Options or portions thereof that exceed such limit will generally be treated as NSOs. No ISO may be granted to any person who, at the time of the grant, owns or is deemed to own stock possessing more than 10% of Tectonic’s total combined voting power or that of any of Tectonic’s affiliates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Tectonic or any of its affiliates ceases for any reason, Tectonic may receive any or all of the shares of Tectonic common stock held by the participant that have not vested as of the date the participant terminates service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is a specified type of change in Tectonic’s capital structure, such as a stock split or recapitalization, appropriate adjustments will be made to (1) the class and maximum number of shares reserved for issuance under the Tectonic 2019 Plan (2) the class and maximum number of shares that may be issued upon the exercise of ISOs, and (3)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specified significant corporate transactions, the plan administrator has the discretion to take any of the following actions with respect to stock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assumption, continuation or substitution of a stock award by a surviving or acquiring entity or parent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Tectonic to the surviving or acquiring entity or parent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the stock award and provide for its termination prior to the effective time of the corporate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suspend the exercise of the stock award, prior to the effective time of the corporate transaction, for such period as the Tectonic Board determines is necessary to facilitate the negotiation and consummation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any early exercise rights upon the corporate transaction, such that following the corporate transaction, such stock award may only be exercised to the extent vested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of any reacquisition or repurchase right held by Tectonic;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the stock award in exchange for such cash consideration, if any, as the Tectonic Board may deem appropriate;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equal to the excess of (a) the value of the property the participant would have received upon exercise of the stock award over (b) the exercise price otherwise payable in connection with the stock award.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plan administrator is not obligated to treat all stock awards, even those that are of the same type,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Under the Tectonic 2019 Plan, a corporate transaction is generally the consummation of (1) a sale or other disposition of all or substantially all of Tectonic’s assets, (2) a sale or other disposition of at least 50% of Tectonic’s outstanding securities, (3) a merger, consolidation or similar transaction following which Tectonic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the surviving corporation, or (4) a merger, consolidation or similar transaction following which Tectonic is the surviving corporation but the shares of Tectonic common stock outstanding immediately prior to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of Control.</w:t>
      </w:r>
      <w:r>
        <w:rPr>
          <w:rFonts w:ascii="Times New Roman" w:hAnsi="Times New Roman"/>
          <w:sz w:val="20"/>
        </w:rPr>
        <w:t xml:space="preserve"> The plan administrator may provide, in an individual award agreement or in any other written agreement between a participant and Tectonic that the stock award will be subject to additional acceleration of vesting and exercisability in the event of a change of control. Under the Tectonic 2019 Plan, a change of control is generally (1) the acquisition by a person or entity of more than 50% of Tectonic’s combined voting power other than by merger, consolidation or similar transaction; (2) a consummated merger, consolidation or similar transaction immediately after which Tectonic’s stockholders cease to own more than 50% of the combined voting power of the surviving entity; or (3) a consummated sale, lease or exclusive license or other disposition of all or substantially all of Tectonic’s assets. </w:t>
      </w:r>
    </w:p>
    <w:p>
      <w:pPr>
        <w:pStyle w:val="TextBody"/>
        <w:bidi w:val="0"/>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The Tectonic Board has the authority to amend, suspend or terminate the Tectonic 2019 Plan, provided that such action does not impair the existing rights of any participant without such participant’s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Historically, Tectonic has not had a formal compensation policy with respect to service on the Tectonic Board. Tectonic has reimbursed and will continue to reimburse its non-employee directors for their reasonable out-of-pocket expenses incurred in attending board and committee meetings, and occasionally granted stock options and restricted stock awards as compensation for service. The Tectonic Board will adopt a formal director compensation policy for non-employee directors to be effective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regarding the compensation earned for service on the Tectonic Board and for service as a consultant to Tectonic, if applicable, during the year ended December 31, 2023. Dr. Reicin, Tectonic’s Chief Executive Officer, is also a member of the Tectonic Board, but did not receive any additional compensation for her service as a member of the Tectonic Board. The compensation for Dr. Reicin as an executive officer is set forth above under “—</w:t>
      </w:r>
      <w:r>
        <w:rPr>
          <w:rFonts w:ascii="Times New Roman" w:hAnsi="Times New Roman"/>
          <w:i/>
          <w:sz w:val="20"/>
        </w:rPr>
        <w:t>Summary Compensation Table</w:t>
      </w:r>
      <w:r>
        <w:rPr>
          <w:rFonts w:ascii="Times New Roman" w:hAnsi="Times New Roman"/>
          <w:sz w:val="20"/>
        </w:rPr>
        <w:t xml:space="preserve">.”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2225"/>
        <w:gridCol w:w="120"/>
        <w:gridCol w:w="128"/>
        <w:gridCol w:w="1452"/>
        <w:gridCol w:w="245"/>
        <w:gridCol w:w="60"/>
        <w:gridCol w:w="299"/>
        <w:gridCol w:w="1296"/>
        <w:gridCol w:w="60"/>
        <w:gridCol w:w="120"/>
        <w:gridCol w:w="60"/>
        <w:gridCol w:w="68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80,004</w:t>
            </w:r>
          </w:p>
        </w:tc>
        <w:tc>
          <w:tcPr>
            <w:tcW w:w="245" w:type="dxa"/>
            <w:tcBorders/>
            <w:shd w:fill="CCEEFF" w:val="clear"/>
            <w:vAlign w:val="center"/>
          </w:tcPr>
          <w:p>
            <w:pPr>
              <w:pStyle w:val="TableContents"/>
              <w:bidi w:val="0"/>
              <w:spacing w:before="0" w:after="283"/>
              <w:jc w:val="left"/>
              <w:rPr/>
            </w:pPr>
            <w:r>
              <w:rPr>
                <w:b/>
                <w:sz w:val="13"/>
              </w:rPr>
              <w:t>(1)</w:t>
            </w: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80,004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consulting fees for services provided to Tectonic’s Scientific Advisory Board pursuant to Dr. Kruse’s consulting agreement with Tectonic, dated September 25, 2019.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provides information regarding the number of shares of common stock underlying options and restricted stock held by Tectonic non-employee directors that were outstanding as of December 31, 2023: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225"/>
        <w:gridCol w:w="120"/>
        <w:gridCol w:w="129"/>
        <w:gridCol w:w="1466"/>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Awards</w:t>
              <w:br/>
              <w:t>Outstanding at</w:t>
              <w:br/>
              <w:t>Year-End</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right"/>
              <w:rPr/>
            </w:pPr>
            <w:r>
              <w:rPr/>
              <w:t>22,765</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46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Andrew Kruse, Ph.D. </w:t>
      </w:r>
    </w:p>
    <w:p>
      <w:pPr>
        <w:pStyle w:val="TextBody"/>
        <w:bidi w:val="0"/>
        <w:spacing w:before="120" w:after="0"/>
        <w:jc w:val="left"/>
        <w:rPr>
          <w:rFonts w:ascii="Times New Roman" w:hAnsi="Times New Roman"/>
          <w:sz w:val="20"/>
        </w:rPr>
      </w:pPr>
      <w:r>
        <w:rPr>
          <w:rFonts w:ascii="Times New Roman" w:hAnsi="Times New Roman"/>
          <w:sz w:val="20"/>
        </w:rPr>
        <w:t xml:space="preserve">On September 25, 2019, Tectonic entered into a consulting agreement with Andrew Kruse, Ph.D., pursuant to which Dr. Kruse is entitled to receive $6,667 per month, along with reimbursement of reasonable travel expenses and other reasonable out-of-pocket costs, in consideration for his performance of services provided to Tectonic’s scientific advisory board. The consulting agreement automatically renews in successive one-year terms, until Tectonic provides 15 days’ written notice prior to any such anniversary date that the consulting agreement will not renew. Tectonic may terminate the consulting agreement with or without cause, at any time upon 15 day’s prior written notice to Dr. Kruse. Dr. Kruse may terminate the consulting agreement without cause, at any time when there is no project assignment in effect upon 30 days’ prior written notice to Tectonic. Either party may terminate the agreement immediately upon a material breach of the consulting agreement and a failure to cure by the breaching party within 15 days after notice is given by the non-breaching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4" w:name="toc770053_108"/>
      <w:bookmarkEnd w:id="104"/>
      <w:r>
        <w:rPr>
          <w:rFonts w:ascii="Times New Roman" w:hAnsi="Times New Roman"/>
          <w:b/>
          <w:sz w:val="20"/>
        </w:rPr>
        <w:t xml:space="preserve">MATTERS BEING SUBMITTED TO A VOTE OF AVROBIO STOCKHOLDERS </w:t>
      </w:r>
    </w:p>
    <w:p>
      <w:pPr>
        <w:pStyle w:val="TextBody"/>
        <w:bidi w:val="0"/>
        <w:spacing w:before="240" w:after="0"/>
        <w:jc w:val="center"/>
        <w:rPr>
          <w:rFonts w:ascii="Times New Roman" w:hAnsi="Times New Roman"/>
          <w:b/>
          <w:sz w:val="20"/>
        </w:rPr>
      </w:pPr>
      <w:bookmarkStart w:id="105" w:name="toc770053_109"/>
      <w:bookmarkEnd w:id="105"/>
      <w:r>
        <w:rPr>
          <w:rFonts w:ascii="Times New Roman" w:hAnsi="Times New Roman"/>
          <w:b/>
          <w:sz w:val="20"/>
        </w:rPr>
        <w:t xml:space="preserve">PROPOSAL NO. 1—THE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AVROBIO stockholders will be asked to approve (i) the issuance of shares of AVROBIO common stock to the Tectonic stockholders pursuant to the Merger Agreement, and (ii) the change of control of AVROBIO resulting from the merger, pursuant to Nasdaq Listing Rules 5635(a) and 5635(b).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and after giving effect to the private financings, it is expected that the AVROBIO securityholders will own approximately 22.3% of the capital stock of AVROBIO, the former Tectonic securityholders, will own approximately 39.8% of the capital stock of AVROBIO, and the purchasers in the private financings would own approximately 38.0% of the capital stock of AVROBIO, subject to certain assumptions.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240" w:after="0"/>
        <w:jc w:val="left"/>
        <w:rPr>
          <w:rFonts w:ascii="Times New Roman" w:hAnsi="Times New Roman"/>
          <w:sz w:val="20"/>
        </w:rPr>
      </w:pPr>
      <w:r>
        <w:rPr>
          <w:rFonts w:ascii="Times New Roman" w:hAnsi="Times New Roman"/>
          <w:sz w:val="20"/>
        </w:rPr>
        <w:t xml:space="preserve">The terms of, reasons for and other aspects of the Merger Agreement, the merger and the issuance of AVROBIO common stock in the merger are described in detail in the other sections in this proxy statement/prospectus. A copy of the Merger Agreement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AVROBIO common stock in the merger exceeds the 20% under the Nasdaq Listing Rules and is expected to represent approximately 77.7% of AVROBIO’s outstanding common stock immediately following this transaction (giving effect to, and assuming, a one-for-ten reverse stock split). Accordingly, in order to ensure compliance with Nasdaq Listing Rule 5635(a)(1), AVROBIO must obtain the approval of AVROBIO stockholders for the issuance of these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AVROBIO must obtain the approval of AVROBIO stockholders of the change of control resulting from this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Nasdaq Stock Issuance Proposal. Abstentions and broker non-votes,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(or the waiver thereof in accordance with the terms of the Merger Agreement). Notwithstanding the approval of the Nasdaq Stock Issuance Proposal, if the merger is not consummated for any reason, the actions contemplated by the Nasdaq Stock Issuance Proposal will not be effected.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Certain of AVROBIO and Tectonic stockholders have agreed to vote any shares of common stock owned by them in favor of the Nasdaq Stock Issuance Proposal.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6" w:name="toc770053_110"/>
      <w:bookmarkEnd w:id="106"/>
      <w:r>
        <w:rPr>
          <w:rFonts w:ascii="Times New Roman" w:hAnsi="Times New Roman"/>
          <w:b/>
          <w:sz w:val="20"/>
        </w:rPr>
        <w:t xml:space="preserve">PROPOSAL NO. 2—THE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AVROBIO stockholders will be asked to approve an amendment to AVROBIO’s charter to effect a reverse stock split of AVROBIO’s issued and outstanding common stock at a ratio in the range between 1:3 to 1:30, inclusive. The final ratio and effectiveness of such amendment and the abandonment of such amendment will be mutually agreed by the AVROBIO Board and the Tectonic Board prior to the effective time or, if the Nasdaq Stock Issuance Proposal is not approved by AVROBIO stockholders, determined solely by the AVROBIO Board. Upon the effectiveness of such amendment to effect the reverse stock split (the “reverse stock split effective time”), the issued and outstanding shares of AVROBIO common stock immediately prior to the reverse stock split effective time will automatically without further action on the part of AVROBIO be combined into a smaller number of shares such that a AVROBIO stockholder will own a ratio ranging from one new share of AVROBIO common stock for every 3 to 30 shares of issued AVROBIO common stock held by such stockholder immediately prior to the reverse stock split effective time. Based upon the reverse stock split ratio selected by the AVROBIO Board (or as mutually agreed by the AVROBIO Board and Tectonic Board), proportionate adjustments will be made to the per share exercise price, and/or the number of shares issuable upon the exercise or vesting of all then outstanding AVROBIO stock options and RSUs, which will result in a proportional decrease in the number of shares of AVROBIO common stock reserved for issuance upon exercise or vesting, of such stock options and RSUs, and, in the case of stock options, a proportional increase in the exercise price of all such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AVROBIO’s charter, a copy of which is attached as </w:t>
      </w:r>
      <w:r>
        <w:rPr>
          <w:rFonts w:ascii="Times New Roman" w:hAnsi="Times New Roman"/>
          <w:sz w:val="20"/>
          <w:u w:val="single"/>
        </w:rPr>
        <w:t>Annex G</w:t>
      </w:r>
      <w:r>
        <w:rPr>
          <w:rFonts w:ascii="Times New Roman" w:hAnsi="Times New Roman"/>
          <w:sz w:val="20"/>
        </w:rPr>
        <w:t xml:space="preserve"> to this proxy statement/prospectus, will effect the reverse stock split but </w:t>
      </w:r>
      <w:r>
        <w:rPr>
          <w:rFonts w:ascii="Times New Roman" w:hAnsi="Times New Roman"/>
          <w:b/>
          <w:i/>
          <w:sz w:val="20"/>
        </w:rPr>
        <w:t>will not</w:t>
      </w:r>
      <w:r>
        <w:rPr>
          <w:rFonts w:ascii="Times New Roman" w:hAnsi="Times New Roman"/>
          <w:sz w:val="20"/>
        </w:rPr>
        <w:t xml:space="preserve"> change the number of authorized shares of AVROBIO common stock or AVROBIO preferred stock, or the par value of AVROBIO common stock or AVROBIO preferred stock. The final ratio and effectiveness of such amendment and the abandonment of such amendment will be mutually agreed by the AVROBIO Board and the Tectonic Board prior to the effective time or, if the Nasdaq Stock Issuance Proposal is not approved by AVROBIO stockholders, determined solely by the AVROBIO Board.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approved the proposal approving the amendment to AVROBIO’s charter effecting the reverse stock split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effecting the reverse stock split will result in an increase in the minimum bid price of AVROBIO’s common stock and reduce the risk of a delisting of AVROBIO common stock from Nasdaq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a higher stock price may help generate investor interest in AVROBIO and ultimately the combined company and help AVROBIO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a higher stock price may increase trading volume in AVROBIO common stock and facilitate future financings by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that the resulting increase in the number of authorized and unissued shares available for future issuance will facilitate the issuance of shares to the Tectonic stockholders pursuant to the Merger Agreement, as described in the Nasdaq Stock Issuance Proposal, and ultimately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AVROBIO Board believes that a range of reverse stock split ratios provides it with the most flexibility to achieve the desired results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AVROBIO common stock is currently listed on The Nasdaq Global Select Market under the symbol “AVRO.” AVROBIO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the combined company to, among other things, maintain a minimum bid price of $4.00 per share over a 30-day trading period prior to listing, unless it effects a reverse stock split. Therefore, the reverse stock split may be necessary in order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that the shares of AVROBIO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AVROBIO’s management being able to issue more shares without further stockholder approval. The reverse stock split will not change the number of authorized shares of AVROBIO capital stock, which will continue to be authorized pursuant to AVROBIO’s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 2024, AVROBIO common stock closed at $    per share. An investment in AVROBIO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AVROBIO Board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There are risks associated with the reverse stock split, including that the reverse stock split may not result in an increase in the per share price of AVROBIO common stock. Please see “</w:t>
      </w:r>
      <w:r>
        <w:rPr>
          <w:rFonts w:ascii="Times New Roman" w:hAnsi="Times New Roman"/>
          <w:i/>
          <w:sz w:val="20"/>
        </w:rPr>
        <w:t>Risk Factors–Risks Related to the Proposed Reverse Stock Split</w:t>
      </w:r>
      <w:r>
        <w:rPr>
          <w:rFonts w:ascii="Times New Roman" w:hAnsi="Times New Roman"/>
          <w:sz w:val="20"/>
        </w:rPr>
        <w:t xml:space="preserve">” beginning on page 43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cannot predict whether the reverse stock split will increase the market price for AVROBIO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AVROBIO common stock after the reverse stock split will rise in proportion to the reduction in the number of shares of AVROBIO common stock outstanding before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AVROBIO to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over a 30-day trading period prior to listing, unless it effects a reverse stock split, as required for the combined company’s common stock to be approved for listing by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market price of AVROBIO common stock will also be based on the performance of AVROBIO, and after the merger, on the performance of the combined company, and other factors, some of which are unrelated to the number of shares outstanding. If the reverse stock split is effected and the market price of AVROBIO common stock declines, the percentage decline as an absolute number and as a percentage of the overall market capitalization of AVROBIO may be greater than would occur in the absence of a reverse stock split. Furthermore, the liquidity of AVROBIO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AVROBIO common stock and RSUs, options to purchase shares of AVROBIO common stock outstanding immediately prior to the effective time of the reverse stock split. The reverse stock split will affect all holders of shares of AVROBIO common stock, options to purchase shares of AVROBIO common stock and AVROBIO RSUs outstanding immediately prior to the effective time of the reverse stock split uniformly. Each and each such stockholder will hold the same percentage of AVROBIO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AVROBIO common stock or preferred stock and will not reduce the number of authorized shares of AVROBIO common stock or preferred stock. AVROBIO common stock issued pursuant to the reverse stock split will remain fully paid and nonassessable. The reverse stock split will not affect AVROBIO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AVROBIO stockholders approve the amendments to AVROBIO’s charter effecting the reverse stock split, and if the AVROBIO Board still believes that a reverse stock split is in the best interests of AVROBIO and its stockholders, AVROBIO will file the certificate of amendment to AVROBIO’s charter with the Secretary of State of the State of Delaware at such time as the AVROBIO Board has determined to be the appropriate reverse stock split effective time at a ratio as mutually agreed by the AVROBIO Board and the Tectonic Board prior to the effective time or, if the Nasdaq Stock Issuance Proposal is not approved by AVROBIO stockholders, determined solely by the AVROBIO Board. The AVROBIO Board may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i/>
          <w:sz w:val="20"/>
        </w:rPr>
        <w:t>Beneficial Owners of Common Stock.</w:t>
      </w:r>
      <w:r>
        <w:rPr>
          <w:rFonts w:ascii="Times New Roman" w:hAnsi="Times New Roman"/>
          <w:sz w:val="20"/>
        </w:rPr>
        <w:t xml:space="preserve"> Upon the implementation of the reverse stock split, AVROBIO intends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AVROBIO common stock in street name. However, these banks, brokers, custodians or other nominees may have different procedures than registered stockholders for processing the reverse stock split and making payment for fractional shares. If a stockholder holds shares of AVROBIO common stock with a bank, broker, custodian or other nominee and has any questions in this regard, stockholders are encouraged to contact their bank, broker, custodian or other nominee.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Book-Entry Form</w:t>
      </w:r>
      <w:r>
        <w:rPr>
          <w:rFonts w:ascii="Times New Roman" w:hAnsi="Times New Roman"/>
          <w:sz w:val="20"/>
        </w:rPr>
        <w:t xml:space="preserve">. Certain of AVROBIO’s registered holders of common stock hold some or all of their shares electronically in book-entry form with AVROBIO’s transfer agent, Computershare Trust Company, N.A. These stockholders do not hold physical stock certificates evidencing their ownership of AVROBIO common stock. However, they are provided with a statement reflecting the number of shares of AVROBIO common stock registered in their accounts. If a stockholder holds registered shares in book-entry form with AVROBIO’s transfer agent, no action needs to be taken to receive post-reverse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split shares or payment in lieu of fractional shares, if applicable. If a stockholder is entitled to post-reverse stock split shares, a transaction statement will automatically be sent to the stockholder’s address of record indicating the number of shares of AVROBIO common stock held following the reverse stock split.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Certificate Form</w:t>
      </w:r>
      <w:r>
        <w:rPr>
          <w:rFonts w:ascii="Times New Roman" w:hAnsi="Times New Roman"/>
          <w:sz w:val="20"/>
        </w:rPr>
        <w:t xml:space="preserve">. As soon as practicable after the reverse stock split effective time, AVROBIO stockholders will be notified that the reverse stock Split has been effected. AVROBIO expects that the AVROBIO transfer agent will act as exchange agent for purposes of implementing the exchange of stock certificates. Holders of pre-split shares will be asked to surrender to the exchange agent certificates representing pre-split shares held in certificated form in exchange for certificates representing post-split shares in accordance with the procedures to be set forth in a letter of transmittal to be sent by AVROBIO.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p>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to which the stockholder would otherwise be entitled multiplied by the closing price of the common stock on Nasdaq on the date immediately prior to the filing of the certificate of amendment to AVROBIO’s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AVROBIO is domiciled and where the funds will be deposited, sums due for fractional interests that are not timely claimed after the effective date of the split may be required to be paid to the designated agent for each such jurisdiction, unless correspondence has been received by AVROBIO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AVROBIO Board or contemplating a tender offer or other transaction for the combination of AVROBIO with another company, the reverse stock split proposal is not being proposed in response to any effort of which AVROBIO is aware to accumulate shares of AVROBIO common stock or obtain control of AVROBIO, other than in connection with the merger, nor is it part of a plan by management to recommend a series of similar amendments to the AVROBIO Board and stockholders. Other than the proposals being submitted to the AVROBIO stockholders for their consideration at the special meeting, the AVROBIO Board does not currently contemplate recommending the adoption of any other actions that could be construed to affect the ability of third parties to take over or change control of AVROBIO. For more information, please see the section titled “</w:t>
      </w:r>
      <w:r>
        <w:rPr>
          <w:rFonts w:ascii="Times New Roman" w:hAnsi="Times New Roman"/>
          <w:i/>
          <w:sz w:val="20"/>
        </w:rPr>
        <w:t>Risk Factors—Risks Related to the Combined Company</w:t>
      </w:r>
      <w:r>
        <w:rPr>
          <w:rFonts w:ascii="Times New Roman" w:hAnsi="Times New Roman"/>
          <w:sz w:val="20"/>
        </w:rPr>
        <w:t>” beginning on page 159 of this proxy statement/prospectus.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 U.S. Federal Income Tax Consequences of the Reverse Stock Split to U.S. Holders of AVROBIO Common Stock </w:t>
      </w:r>
    </w:p>
    <w:p>
      <w:pPr>
        <w:pStyle w:val="TextBody"/>
        <w:bidi w:val="0"/>
        <w:spacing w:before="120" w:after="0"/>
        <w:jc w:val="left"/>
        <w:rPr>
          <w:rFonts w:ascii="Times New Roman" w:hAnsi="Times New Roman"/>
          <w:sz w:val="20"/>
        </w:rPr>
      </w:pPr>
      <w:r>
        <w:rPr>
          <w:rFonts w:ascii="Times New Roman" w:hAnsi="Times New Roman"/>
          <w:sz w:val="20"/>
        </w:rPr>
        <w:t>The following discussion is a summary of U.S. federal income tax considerations relating to the reverse stock split that are applicable to U.S. Holders (which, for purposes of this discussion, has the same meaning as set forth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of AVROBIO common stock. This section applies only to persons that hold their AVROBIO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in individual retirement accounts or other tax-deferred accounts;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AVROBIO voting shares or five percent or more of the total value of all classes of shares of AVROBIO;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AVROBIO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AVROBIO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AVROBIO as part of a straddle, constructive sale, hedging, conversion or other integrated or similar transaction;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AVROBIO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AVROBIO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AVROBIO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AVROBIO common stock, you should consult your tax advisors regarding the tax consequences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any tax consequences of transactions effectuated before, after or at the same time as the reverse stock split, whether or not they are in connection with the reverse stock split, except as specifically provided below. No ruling from the IRS, or opinion from counsel, has been or will be requested in connection with the reverse stock split. AVROBIO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Assuming the issuance of the CVRs is respected as separate from the reverse stock split for U.S. federal income tax purposes (see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above beginning on page 268 of this proxy statement/prospectus), the proposed reverse stock split should constitute a “recapitalization” for U.S. federal income tax purposes pursuant to Section 368(a)(1)(E) of the Code. As a result, a U.S. Holder should not recognize gain or loss upon the proposed reverse stock split, except with respect to cash received in lieu of a fractional share of AVROBIO common stock, as discussed below. A U.S. Holder’s aggregate adjusted tax basis in the shares of AVROBIO common stock received pursuant to the proposed reverse stock split should equal such holder’s aggregate adjusted tax basis of the shares of the AVROBIO common stock surrendered (excluding any portion of such basis that is allocated to any fractional share of AVROBIO common stock), and such U.S. Holder’s holding period in the shares of AVROBIO common stock received should include the holding period in the shares of AVROBIO common stock surrendered. U.S. Treasury Regulations provide detailed rules for allocating the tax basis and holding period of the shares of AVROBIO common stock surrendered to the shares of AVROBIO common stock received in a recapitalization pursuant to the proposed reverse stock split. U.S. Holders of shares of AVROBIO common stock acquired on different dates and at different prices should consult their tax advisors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AVROBIO common stock should be treated as first receiving such fractional share and then receiving cash in redemption of such fractional share. A U.S. Holder who receives cash in lieu of a fractional share pursuant to the proposed reverse stock split generally should recognize capital gain or loss in an amount equal to the difference between the amount of cash received and the portion of the U.S. Holder’s tax basis in the shares of AVROBIO common stock surrendered that is allocated to such fractional share of AVROBIO common stock. Such capital gain or loss should be long-term capital gain or loss if the U.S. Holder’s holding period for AVROBIO common stock surrendered exceeded one year at the effective time of the reverse stock split. The deductibility of capital losses is subject to limitations. U.S. Holders should consult their tax advisors regarding the tax effects to them of receiving cash in lieu of fractional shares based on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Possible Alternative Tax Treatment </w:t>
      </w:r>
    </w:p>
    <w:p>
      <w:pPr>
        <w:pStyle w:val="TextBody"/>
        <w:bidi w:val="0"/>
        <w:spacing w:before="120" w:after="0"/>
        <w:jc w:val="left"/>
        <w:rPr>
          <w:rFonts w:ascii="Times New Roman" w:hAnsi="Times New Roman"/>
          <w:sz w:val="20"/>
        </w:rPr>
      </w:pPr>
      <w:r>
        <w:rPr>
          <w:rFonts w:ascii="Times New Roman" w:hAnsi="Times New Roman"/>
          <w:sz w:val="20"/>
        </w:rPr>
        <w:t>As discussed in the section titled “</w:t>
      </w:r>
      <w:r>
        <w:rPr>
          <w:rFonts w:ascii="Times New Roman" w:hAnsi="Times New Roman"/>
          <w:i/>
          <w:sz w:val="20"/>
        </w:rPr>
        <w:t>Agreements Related to the Merger—CVR Agreement—Material U.S. Federal Income Tax Consequences of the CVRs to Holders of AVROBIO Common Stock</w:t>
      </w:r>
      <w:r>
        <w:rPr>
          <w:rFonts w:ascii="Times New Roman" w:hAnsi="Times New Roman"/>
          <w:sz w:val="20"/>
        </w:rPr>
        <w:t xml:space="preserve">” beginning on page 268 of this proxy statement/prospectus, although the matter is not free from doubt, AVROBIO will treat the issuance of the CVRs and the proposed reverse stock split as separate transactions for U.S. federal income tax purposes, and the above discussion assumes that this treatment will be respected. It is possible that the reverse stock split and the issuance of the CVRs could be treated as a single transaction, in which case the material U.S. federal income tax consequences of the reverse stock split to a U.S. Holder may differ from those discussed above. U.S. Holders should consult their tax advisors regarding the tax consequences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AVROBIO common stock may, under certain circumstances, be subject to information reporting and backup withholding. To avoid backup withholding, each holder of AVROBIO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AVROBIO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Reverse Stock Split Proposal. Abstentions and broker non-votes,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(or the waiver thereof in accordance with the terms of the Merger Agreement). If the merger is not consummated for any reason, the actions contemplated by the Reverse Stock Split Proposal may still be effected if the Reverse Stock Split Proposal is approved. </w:t>
      </w:r>
    </w:p>
    <w:p>
      <w:pPr>
        <w:pStyle w:val="TextBody"/>
        <w:bidi w:val="0"/>
        <w:spacing w:before="240" w:after="0"/>
        <w:jc w:val="left"/>
        <w:rPr>
          <w:rFonts w:ascii="Times New Roman" w:hAnsi="Times New Roman"/>
          <w:sz w:val="20"/>
        </w:rPr>
      </w:pPr>
      <w:r>
        <w:rPr>
          <w:rFonts w:ascii="Times New Roman" w:hAnsi="Times New Roman"/>
          <w:sz w:val="20"/>
        </w:rPr>
        <w:t>Certain of AVROBIO and Tectonic stockholders have agreed to vote any shares of common stock owned by them in favor of the Reverse Stock Split Proposal.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7" w:name="toc770053_111"/>
      <w:bookmarkEnd w:id="107"/>
      <w:r>
        <w:rPr>
          <w:rFonts w:ascii="Times New Roman" w:hAnsi="Times New Roman"/>
          <w:b/>
          <w:sz w:val="20"/>
        </w:rPr>
        <w:t xml:space="preserve">PROPOSAL NO. 3—THE OFFICER EXCULPATION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was amended effective August 1, 2022 to authorize exculpation of officers of Delaware corporations (the “Section 102(b)(7) Amendment”). Specifically, the amendments extend the opportunity for Delaware corporations to exculpate their officers, in addition to their directors, for personal liability for breach of the duty of care in certain actions (the “officer exculpation”).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believes it is necessary to provide protection to officers to the fullest extent permitted by law in order to attract and retain top talent. This protection has long been afforded to directors. Accordingly, the Board believes that the proposal to extend exculpation to officers is fair and in the best interests of AVROBIO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form of certificate of amendment to AVROBIO’s charter to effect the officer exculpation is attached as </w:t>
      </w:r>
      <w:r>
        <w:rPr>
          <w:rFonts w:ascii="Times New Roman" w:hAnsi="Times New Roman"/>
          <w:sz w:val="20"/>
          <w:u w:val="single"/>
        </w:rPr>
        <w:t>Annex H</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AVROBIO Board may determine to effect the officer exculpation, if it is approved by the stockholders, even if the other proposals to be acted upon at the meeting are not approved, including the Nasdaq Stock Issuance Proposal and the Reverse Stock Split Proposal. In addition, notwithstanding approval of this proposal by AVROBIO stockholders, the AVROBIO Board may, in its sole discretion, abandon the proposed amendment and determine prior to the effectiveness of any filing with the Secretary of State of the State of Delaware not to effect the officer exculpation, as permitted under Section 242(c)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desires to amend AVROBIO’s charter to maintain provisions consistent with the governing statutes contained in the DCGL. Prior to the Section 102(b)(7) Amendment, Delaware law has permitted Delaware corporations to exculpate directors from personal liability for monetary damages associated with breaches of the duty of care, but that protection did not extend to a Delaware corporation’s officers. Consequently, stockholder plaintiffs have employed a tactic of bringing certain claims that would otherwise be exculpated if brought against directors, against individual officers to avoid dismissal of such claims. The Section 102(b)(7) Amendment was adopted to address inconsistent treatment between officers and directors and address rising litigation and insurance costs for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is currently the case with directors under AVROBIO’s charter,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The AVROBIO Board believes it is necessary to provide protection to officers to the fullest extent permitted by law in order to attract and retain top talent. This protection has long been afforded to directors, and accordingly, the AVROBIO Board believes that this proposal which would extend exculpation to officers, as specifically permitted by the Section 102(b)(7) Amendment, is fair and in the best interests of AVROBIO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The affirmative vote of the holders of a majority of the outstanding shares of AVROBIO capital stock for the Officer Exculpation Proposal is required to approve the Officer Exculpation Proposal. Abstentions and broker non-votes will have the effect of a vote “</w:t>
      </w:r>
      <w:r>
        <w:rPr>
          <w:rFonts w:ascii="Times New Roman" w:hAnsi="Times New Roman"/>
          <w:b/>
          <w:sz w:val="20"/>
        </w:rPr>
        <w:t>AGAINST</w:t>
      </w:r>
      <w:r>
        <w:rPr>
          <w:rFonts w:ascii="Times New Roman" w:hAnsi="Times New Roman"/>
          <w:sz w:val="20"/>
        </w:rPr>
        <w:t xml:space="preserve">”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Officer Exculpation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Officer Exculpation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8" w:name="toc770053_112"/>
      <w:bookmarkEnd w:id="108"/>
      <w:r>
        <w:rPr>
          <w:rFonts w:ascii="Times New Roman" w:hAnsi="Times New Roman"/>
          <w:b/>
          <w:sz w:val="20"/>
        </w:rPr>
        <w:t xml:space="preserve">PROPOSAL NO. 4—THE INCENTIVE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stockholders are also being asked to consider and vote upon the Incentive Plan Proposal to approve the combined company’s 2024 Equity Incentive Plan, which is referred to herein as the “2024 Plan.” The AVROBIO Board approved the 2024 Plan on, subject to stockholder approval at the special meeting. If stockholders approve the Incentive Plan Proposal, the 2024 Plan will become effective on the consummation of the merger. If the 2024 Plan is not approved by the stockholders, it will not become effective and no awards will be granted thereunder. The 2024 Plan is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 the AVROBIO Board adopted and approved the 2024 Plan and is submitting the 2024 Plan to stockholders for their adoption and approval. Pursuant to the Merger Agreement, AVROBIO and Tectonic have each agreed that they will use commercially reasonable efforts to cause AVROBIO stockholders to approve the 2024 Plan. The AVROBIO Board believes the 2024 Plan advances the combined company’s interests by allowing the combined company to attract and retain the best available personnel for positions of substantial responsibility; to provide additional incentive to employees, directors, and consultants; and to promote the success of the combined company’s business. The AVROBIO Board has adopted and approved the 2024 Plan to permit the combined company to continue to use stock-based compensation to align stockholder and participant interests and to motivate participants providing services to the combined company. AVROBIO’s stock-based compensation program is currently operated under AVROBIO’s 2018 Plan. Upon approval of the 2024 Plan by stockholders at the special meeting, no new awards will be granted under the 2018 Plan after the date of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2024 Plan Will Allow the Combined Company to Effectively Recruit and Retain Key Talent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recommends that the AVROBIO stockholders approve the 2024 Plan because it believes the combined company’s ability to grant equity-based awards is crucial in allowing the combined company to effectively compete for and appropriately motivate and reward key talent. It is in the long-term interest of both the combined company and its stockholders to strengthen the combined company’s ability to attract, retain and motivate employees, officers, nonemployee directors and certain other service providers and to provide additional incentive for those persons through stock ownership and other incentives to improve financial performance, increase profits and strengthen the mutuality of interest between those persons and the combined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2024 Plan sets reasonable annual limits on the awards that non-employee directors may receive and updates the combined company’s stock-based compensation program to reflect the current best practices in corporate governance, as further described below. In addition, the 2024 Plan provides for annual automatic share increases that will permit the combined company to continue to meet its equity-based award needs in the future without seeking stockholder approval of share reserve increases.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 Reserve and Annual Increase Will Meet the Combined Company Equity Needs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common stock that AVROBIO is asking stockholders approve be initially reserved for issuance under the 2024 Plan will not exceed a number of shares of combined company common stock equal to 12.5% of the combined company’s fully diluted shares outstanding determined as of immediately after the effective time. Additionally, the 2024 Plan provides for an annual increase in the number of shares reserved for insurance under the 2024 Plan beginning on the first day of each fiscal year beginning with the 2025 fiscal year, in an amount equal to the least of (i) shares of common stock, (ii) 5% of the number of shares of all classes of common stock outstanding as of the last day of the immediately preceding fiscal year and (iii) a lesser number of shares of common stock determined by the administrator of the 2024 Plan. The automatic share reserve increase will operate only until the tenth anniversary of the earlier of the combined company’s board or stockholder approval of the 2024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setting the initial share reserve and annual increase, the AVROBIO Board, with the consultation of Tectonic and Tectonic’s compensation consultant, considered a number of factors, including AVROBIO’s forecasted hiring needs following the merger. The AVROBIO Board believes that the number of shares initially reserved for issuance under the 2024 Plan is sufficient to meet the combined company’s fiscal year 2024 hiring needs. However, the AVROBIO Board believes that the number of shares initially reserved for issuance under the 2024 Plan will be insufficient to accommodate the growing needs of the combined company’s business and to promote the growth of the combined company’s business in the future. The AVROBIO Board believes that the 2024 Plan’s annual share reserve increase will provide sufficient shares to meet the combined company’s future hiring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Promotion of Good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and AVROBIO Compensation Committee believe the use of stock-based incentive awards promotes best practices in corporate governance by maximizing stockholder value. By providing participants in the 2024 Plan with a stake in the combined company’s success, the interests of the participants are aligned with those of the combined company’s stockholders. Specific features of the 2024 Plan that are consistent with good corporate governance practices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AVROBIO Board has delegated primary administration authority to the combined company’s compensation committee, which will consist entirely of independent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Annual Limits on Compensation to Non-Employee Directors</w:t>
            </w:r>
            <w:r>
              <w:rPr>
                <w:rFonts w:ascii="Times New Roman" w:hAnsi="Times New Roman"/>
                <w:sz w:val="20"/>
              </w:rPr>
              <w:t xml:space="preserve">. The 2024 Plan sets reasonable annual limits as to the cash compensation and awards that non-employee directors may receive during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Limited transferability</w:t>
            </w:r>
            <w:r>
              <w:rPr>
                <w:rFonts w:ascii="Times New Roman" w:hAnsi="Times New Roman"/>
                <w:sz w:val="20"/>
              </w:rPr>
              <w:t xml:space="preserve">. Awards under the 2024 Plan generally may not be sold, assigned, transferred, pledged, or otherwise alienated, unless otherwise approved by the administrator.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Forfeiture Events</w:t>
            </w:r>
            <w:r>
              <w:rPr>
                <w:rFonts w:ascii="Times New Roman" w:hAnsi="Times New Roman"/>
                <w:sz w:val="20"/>
              </w:rPr>
              <w:t xml:space="preserve">. Each award under the 2024 Plan will be subject to the clawback policy adopted by the AVROBIO Compensation Committee effective as of October 2, 2023, and any other clawback policy or amendment thereto that, in the future, the combined company may adopt in its discretion or as may be required by applicable stock exchange rules or applicable laws (including any such clawback policy that is adopted after the grant of the award), and the administrator may require a participant to forfeit, return, or reimburse the combined company for all or a portion of the award and any amounts paid under the award in order to comply with the clawback policy or applicable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AVROBIO’s executive officers and directors, to the extent such officers or directors continue service with the combined company following the closing of the merger, have an interest in the approval of the 2024 Plan because they are eligible to receive equity awards under the 2024 Plan.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2024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summarize the key features of the 2024 Plan and its operation. However, this summary is not a complete description of all of the provisions of the 2024 Plan and is qualified in its entirety by the specific language of the 2024 Plan. A copy of the 2024 Plan is provided as </w:t>
      </w:r>
      <w:r>
        <w:rPr>
          <w:rFonts w:ascii="Times New Roman" w:hAnsi="Times New Roman"/>
          <w:sz w:val="20"/>
          <w:u w:val="single"/>
        </w:rPr>
        <w:t>Annex I</w:t>
      </w:r>
      <w:r>
        <w:rPr>
          <w:rFonts w:ascii="Times New Roman" w:hAnsi="Times New Roman"/>
          <w:sz w:val="20"/>
        </w:rPr>
        <w:t xml:space="preserve"> to this proxy statement.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2024 Plan provides for the grant of incentive stock options, or ISOs, within the meaning of Section 422 of the Code to employees, 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the combined company’s affiliates. As of March 15, 2024, AVROBIO had approximately 13 employees, 7 non-employee directors and no consultants. Following the closing of the merger, approximately       employees,       non-employee directors and       consultants of the combined company are expected to be eligible to participate in the 2024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Initially, the maximum number of shares of combined company common stock that may be issued under the 2024 Plan after it becomes effective will not exceed 12.5% of the combined company’s fully diluted shares outstanding determined as of immediately after the effective time (the “2024 Plan’s initial share reserve”). In addition, the number of shares of combined company common stock reserved for issuance under the 2024 Plan will automatically increase on January 1 of each year, starting on January 1, 2025, through and including January 1, 2034, in an amount equal to (1) 5% of the total number of shares of combined company common stock outstanding on the last day of the preceding calendar year, or (2) a lesser number of shares of combined company common stock determined by the combined company’s board of directors prior to the date of the increase. The maximum number of shares of combined company common stock that may be issued on the exercise of ISOs under the 2024 Plan is three multiplied by the 2024 Plan’s initial share reserve.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2024 Plan that expire or terminate without being exercised or otherwise issued in full or that are paid out in cash rather than in shares do not reduce the number of shares available for issuance under the 2024 Plan. Shares withheld under a stock award to satisfy the exercise, strike or purchase price of a stock award or to satisfy a tax withholding obligation do not reduce the number of shares available for issuance under the 2024 Plan. If any shares of combined company common stock issued pursuant to a stock award are forfeited back to or repurchased or reacquired by the combined company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2024 Plan.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thereof, will administer the 2024 Plan and is referred to as the “plan administrator” herein. The combined company’s board of directors may also delegate to one or more persons or bodies the authority to (1) designate recipients (other than officers) to receive specified stock awards; (2) determine the number of shares subject to such stock awards; and (3) determine the terms of such awards. Under the 2024 Plan, the combined company’s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the combined company’s board of directors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plan administrator. The plan administrator determines the exercise price for stock options, within the terms and conditions of the 2024 Plan, provided that the exercise price of a stock option generally cannot be less than 100% of the fair market value of a share of combined company common stock on the date of grant. Options granted under the 2024 Plan vest at the rate specified in the stock option agreement as determined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determines the term of stock options granted under the 2024 Plan, up to a maximum of 10 years. Unless the terms of an optionholder’s stock option agreement provide otherwise, if an optionholder’s service relationship with the combined company or any of the combined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the combined company or any of the combined company’s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combined company or any of the combined company’s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shares of combined company common stock issued upon the exercise of a stock option will be determined by the plan administrator and may include (1) cash, check, bank draft or money order, (2) a broker-assisted cashless exercise, (3) the tender of shares of combined company common stock previously owned by the optionholder, (4) a net exercise of the option if it is an NSO, or (5) other legal consideration approved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combined company common stock with respect to ISOs that are exercisable for the first time by an award 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parent or subsidiary corporations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under restricted stock unit award agreements adopted by the plan administrator. Restricted stock unit awards may be granted in consideration for any form of legal consideration that may be acceptable to the combined company’s board of directors and permissible under applicable law. A restricted stock unit award may be settled by cash, delivery of shares of combined company common stock, a combination of cash and shares of combined company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plan administrator. A restricted stock award may be awarded in consideration for cash, check, bank draft or money order, services to the combined company, or any other form of legal consideration that may be acceptable to the combined company’s board of directors and permissible under applicable law. The plan administrator determines the terms and conditions of restricted stock awards, including vesting and forfeiture terms. If a participant’s service relationship with the combined company ends for any reason, the combined company may receive any or all of the shares of combined company common stock held by the participant under such participant’s restricted stock award that have not vested as of the date the participant terminates service with the combined company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right agreements adopted by the plan administrator. The plan administrator determines the strike price for a stock appreciation right, which generally cannot be less than 100% of the fair market value of combined company common stock on the date of grant. A stock appreciation right granted under the 2024 Plan vests at the rate specified in the stock appreciation right agreement as determined by the plan administrator. Stock appreciation rights may be settled in cash or shares of combined company common stock or in any other form of payment, as determined by the combined company’s board of directors and specified in the stock appreciation right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plan administrator determines the term of stock appreciation rights granted under the 2024 Plan, up to a maximum of 10 years. If a participant’s service relationship with the combined company or any of the combined company’s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the combined company, or any of the combined company’s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2024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any measure of performance selected by the combined company’s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combined company’s board of directors when the performance award is granted, the combined company’s board of directors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portion of the combined company’s business which is divested achieved performance objectives at targeted levels during the balance of a performance period following such divestiture; (8) to exclude the effect of any change in the outstanding shares of combined company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plan administrator may grant other awards based in whole or in part by reference to combined company common stock. The plan administrator will set the number of shares under the stock award (or cash equivalent)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that begins on or after the effective date of the merger, including awards granted and cash fees paid by the combined company to such non-employee director, will not exceed (1) $750,000 in total value or (2) if such non-employee director is first appointed or elected to the combined company’s board of directors during such calendar year, $1,000,000 in total value.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2024 Plan in the event of a corporate transaction (as defined in the 2024 Plan), unless otherwise provided in a participant’s stock award agreement or other written agreement with the combined company or one of the combined company’s affiliates or unless otherwise expressly provided by the plan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2024 Plan may be assumed, continued or substituted for by any surviving or acquiring corporation (or its parent company), and any reacquisition or repurchase rights held by the combined company with respect to the stock award may be assigned to the combined company’s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combined company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the combined company with respect to such stock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any per share exercise price payable by such holder, if applicable. In addition, any escrow, holdback, earn-out or similar provisions in the definitive agreement for the corporate transaction may apply to such payment to the same extent and in the same manner as such provisions apply to the holders of combined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a corporate transaction is generally defined as the consummation of: (1) a sale of all or substantially all of the combined company’s assets, (2) the sale or disposition of at least 50% of the combined company’s outstanding securities, (3) a merger or consolidation where the combined company does not survive the transaction, or (4) a merger or consolidation where the combined company does survive the transaction but the shares of combined company common stock outstanding immediately before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b/>
          <w:i/>
          <w:sz w:val="20"/>
        </w:rPr>
        <w:t>.</w:t>
      </w:r>
      <w:r>
        <w:rPr>
          <w:rFonts w:ascii="Times New Roman" w:hAnsi="Times New Roman"/>
          <w:sz w:val="20"/>
        </w:rPr>
        <w:t xml:space="preserve"> Awards granted under the 2024 Plan may be subject to acceleration of vesting and exercisability upon or after a change in control as may be provided in the applicable stock award agreement or in any other written agreement between the combined company or any of the combined company’s affiliates and the participant, but in the absence of such provision, no such acceleration will automatically occur.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Plan, a change in control is generally defined as: (1) the acquisition by any person or company of more than 50% of the combined voting power of the combined company’s then outstanding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a consummated merger, consolidation or similar transaction in which combined company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the combined company’s assets other than to an entity more than 50% of the combined voting power of which is owned by combined company stockholders in substantially the same proportions as their ownership of the combined company’s outstanding voting securities immediately prior to such transaction; or (4) when a majority of the combined company’s board of directors becomes comprised of individuals who were not serving on the combined company’s board of directors on the date the 2024 Plan was adopted, or the incumbent board, or whose nomination, appointment, or election was not approved by a majority of the incumbent board still in office.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2024 Plan at any time, provided that such action does not materially impair the existing rights of any participant without such participant’s written consent. Certain material amendments also require the approval of combined company stockholders. No ISOs may be granted after the tenth anniversary of the date the board of directors adopts the 2024 Plan. No stock awards may be granted under the 2024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2024 Plan. The summary is based on existing U.S. laws and regulations as of the record date,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A participant recognizes no taxable income for federal income tax purposes as a result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 and the combined company will not be entitled to any deduction for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(referred to as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the combined company for federal income tax purposes, except to the extent such deduction is limited by applicable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alternative minimum tax purposes.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Nonstatutory Stock Options. </w:t>
      </w:r>
      <w:r>
        <w:rPr>
          <w:rFonts w:ascii="Times New Roman" w:hAnsi="Times New Roman"/>
          <w:sz w:val="20"/>
        </w:rPr>
        <w:t xml:space="preserve">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the exercise of a nonstatutory stock option, any gain or loss (based on the difference between the sale price and the fair market value on the exercise date) will be taxed as capital gain or loss. No tax deduction is available to the combined company with respect to the grant of a nonstatutory stock option or the sale of the shares acquired through the exercise of the nonstatutory stock option.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In general, no taxable income is reportable when a stock appreciation right is granted to a participant. Upon exercise, the participant generally will recognize ordinary income in an amount equal to the fair market value of any shares received. If the participant is an employee, such ordinary income generally is subject to withholding of income and employment taxes. Any additional gain or loss recognized upon any later disposition of the shares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RSU Awards</w:t>
      </w:r>
      <w:r>
        <w:rPr>
          <w:rFonts w:ascii="Times New Roman" w:hAnsi="Times New Roman"/>
          <w:sz w:val="20"/>
        </w:rPr>
        <w:t xml:space="preserve">. There are no immediate tax consequences of receiving an award of RSUs. A participant who is awarded RSUs generally will be required to recognize ordinary income in an amount equal to the fair market value of the shares issued to and/or the cash received by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A participant generally will recognize no income upon the grant of a performance share or a performance award. Upon the settlement of such awards, participants normally will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 of the Code</w:t>
      </w:r>
      <w:r>
        <w:rPr>
          <w:rFonts w:ascii="Times New Roman" w:hAnsi="Times New Roman"/>
          <w:sz w:val="20"/>
        </w:rPr>
        <w:t xml:space="preserve">. Section 409A of the Code (referred to as “Section 409A”) provides certain requirements for non-qualified deferred compensation arrangements with respect to an individual’s deferral and distribution elections and permissible distribution events. Awards granted under the 2024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w:t>
      </w:r>
    </w:p>
    <w:p>
      <w:pPr>
        <w:pStyle w:val="TextBody"/>
        <w:bidi w:val="0"/>
        <w:spacing w:before="240" w:after="0"/>
        <w:jc w:val="left"/>
        <w:rPr>
          <w:rFonts w:ascii="Times New Roman" w:hAnsi="Times New Roman"/>
          <w:sz w:val="20"/>
        </w:rPr>
      </w:pPr>
      <w:r>
        <w:rPr>
          <w:rFonts w:ascii="Times New Roman" w:hAnsi="Times New Roman"/>
          <w:i/>
          <w:sz w:val="20"/>
        </w:rPr>
        <w:t>Medicare Surtax</w:t>
      </w:r>
      <w:r>
        <w:rPr>
          <w:rFonts w:ascii="Times New Roman" w:hAnsi="Times New Roman"/>
          <w:sz w:val="20"/>
        </w:rPr>
        <w:t xml:space="preserve">. In addition, a participant’s annual “net investment income,” as defined in Section 1411 of the Code, may be subject to a 3.8% federal surtax. Net investment income may include capital gain and/or loss arising from the disposition of shares issued pursuant to awards granted under the 2024 Plan.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participant’s net investment income will be subject to this surtax will depend on the participant’s level of annual income and other factors. </w:t>
      </w:r>
    </w:p>
    <w:p>
      <w:pPr>
        <w:pStyle w:val="TextBody"/>
        <w:bidi w:val="0"/>
        <w:spacing w:before="240" w:after="0"/>
        <w:jc w:val="left"/>
        <w:rPr>
          <w:rFonts w:ascii="Times New Roman" w:hAnsi="Times New Roman"/>
          <w:sz w:val="20"/>
        </w:rPr>
      </w:pPr>
      <w:r>
        <w:rPr>
          <w:rFonts w:ascii="Times New Roman" w:hAnsi="Times New Roman"/>
          <w:i/>
          <w:sz w:val="20"/>
        </w:rPr>
        <w:t>Company Deduction and Section</w:t>
      </w:r>
      <w:r>
        <w:rPr>
          <w:rFonts w:ascii="Times New Roman" w:hAnsi="Times New Roman"/>
          <w:sz w:val="20"/>
        </w:rPr>
        <w:t> </w:t>
      </w:r>
      <w:r>
        <w:rPr>
          <w:rFonts w:ascii="Times New Roman" w:hAnsi="Times New Roman"/>
          <w:i/>
          <w:sz w:val="20"/>
        </w:rPr>
        <w:t>162(m)</w:t>
      </w:r>
      <w:r>
        <w:rPr>
          <w:rFonts w:ascii="Times New Roman" w:hAnsi="Times New Roman"/>
          <w:sz w:val="20"/>
        </w:rPr>
        <w:t xml:space="preserve">. The combined company generally will be entitled to a tax deduction in connection with an award under the 2024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combined company’s chief executive officer and other “covered employees” as determined under Section 162(m) and applicable guidance. Under Section 162(m), the annual compensation paid to any of these individuals will be deductible only to the extent that it does not exceed $1,000,000.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DESCRIPTION ABOVE IS ONLY A SUMMARY OF THE EFFECT OF U.S. FEDERAL INCOME TAXATION ON PARTICIPANTS AND THE COMBINED COMPANY WITH RESPECT TO AWARDS UNDER THE 2024 PLAN. IT IS NOT COMPLETE AND DOES NOT DISCUSS THE IMPACT OF EMPLOYMENT OR OTHER TAX REQUIREMENTS, THE TAX CONSEQUENCES OF A PARTICIPANT’S DEATH, OR THE PROVISIONS OF THE INCOME TAX LAWS OF ANY MUNICIPALITY, STATE, OR FOREIGN COUNTRY IN WHICH THE PARTICIPANT MAY RESIDE.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an employee, director, or consultant may receive under the 2024 Plan is in the discretion of the administrator and therefore cannot be determined in advance. Consequently, no new plan benefits table is included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as of December 31, 2023 with respect to the shares of AVROBIO common stock that may be issued under AVROBIO’s existing equity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8"/>
        <w:gridCol w:w="60"/>
        <w:gridCol w:w="106"/>
        <w:gridCol w:w="1762"/>
        <w:gridCol w:w="303"/>
        <w:gridCol w:w="60"/>
        <w:gridCol w:w="231"/>
        <w:gridCol w:w="1694"/>
        <w:gridCol w:w="60"/>
        <w:gridCol w:w="60"/>
        <w:gridCol w:w="97"/>
        <w:gridCol w:w="1783"/>
        <w:gridCol w:w="321"/>
      </w:tblGrid>
      <w:tr>
        <w:trPr/>
        <w:tc>
          <w:tcPr>
            <w:tcW w:w="3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66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8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to be Issued</w:t>
              <w:br/>
              <w:t>Upon Exercise</w:t>
              <w:br/>
              <w:t>of Outstanding</w:t>
              <w:br/>
              <w:t>Options and</w:t>
              <w:br/>
              <w:t>RSUs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w:t>
              <w:br/>
              <w:t>of Outstanding</w:t>
              <w:br/>
              <w:t>Options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of Common Stock</w:t>
              <w:br/>
              <w:t>Remaining</w:t>
              <w:br/>
              <w:t>Available for</w:t>
              <w:br/>
              <w:t>Future Issuance</w:t>
              <w:br/>
              <w:t>Under Equity</w:t>
              <w:br/>
              <w:t>Compensation</w:t>
              <w:br/>
              <w:t>Plans (Excluding</w:t>
              <w:br/>
              <w:t>Securities</w:t>
              <w:br/>
              <w:t>Reflected in the</w:t>
              <w:br/>
              <w:t>First Column) (#)</w:t>
            </w:r>
          </w:p>
        </w:tc>
        <w:tc>
          <w:tcPr>
            <w:tcW w:w="321" w:type="dxa"/>
            <w:tcBorders/>
            <w:vAlign w:val="center"/>
          </w:tcPr>
          <w:p>
            <w:pPr>
              <w:pStyle w:val="TableContents"/>
              <w:bidi w:val="0"/>
              <w:spacing w:before="0" w:after="283"/>
              <w:jc w:val="left"/>
              <w:rPr/>
            </w:pPr>
            <w:r>
              <w:rPr/>
              <w:t> </w:t>
            </w:r>
          </w:p>
        </w:tc>
      </w:tr>
      <w:tr>
        <w:trPr/>
        <w:tc>
          <w:tcPr>
            <w:tcW w:w="3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(2)</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5,111,846</w:t>
            </w:r>
          </w:p>
        </w:tc>
        <w:tc>
          <w:tcPr>
            <w:tcW w:w="303"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9,750,415</w:t>
            </w:r>
          </w:p>
        </w:tc>
        <w:tc>
          <w:tcPr>
            <w:tcW w:w="321" w:type="dxa"/>
            <w:tcBorders/>
            <w:shd w:fill="CCEEFF" w:val="clear"/>
            <w:vAlign w:val="center"/>
          </w:tcPr>
          <w:p>
            <w:pPr>
              <w:pStyle w:val="TableContents"/>
              <w:bidi w:val="0"/>
              <w:spacing w:before="0" w:after="283"/>
              <w:jc w:val="left"/>
              <w:rPr/>
            </w:pPr>
            <w:r>
              <w:rPr/>
              <w:t>(3) </w:t>
            </w:r>
          </w:p>
        </w:tc>
      </w:tr>
      <w:tr>
        <w:trPr/>
        <w:tc>
          <w:tcPr>
            <w:tcW w:w="36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62" w:type="dxa"/>
            <w:tcBorders/>
            <w:vAlign w:val="center"/>
          </w:tcPr>
          <w:p>
            <w:pPr>
              <w:pStyle w:val="TableContents"/>
              <w:bidi w:val="0"/>
              <w:spacing w:before="0" w:after="283"/>
              <w:jc w:val="right"/>
              <w:rPr/>
            </w:pPr>
            <w:r>
              <w:rPr/>
              <w:t>966,784</w:t>
            </w:r>
          </w:p>
        </w:tc>
        <w:tc>
          <w:tcPr>
            <w:tcW w:w="303"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694" w:type="dxa"/>
            <w:tcBorders/>
            <w:vAlign w:val="center"/>
          </w:tcPr>
          <w:p>
            <w:pPr>
              <w:pStyle w:val="TableContents"/>
              <w:bidi w:val="0"/>
              <w:spacing w:before="0" w:after="283"/>
              <w:jc w:val="right"/>
              <w:rPr/>
            </w:pPr>
            <w:r>
              <w:rPr/>
              <w:t>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3,107,211</w:t>
            </w:r>
          </w:p>
        </w:tc>
        <w:tc>
          <w:tcPr>
            <w:tcW w:w="321" w:type="dxa"/>
            <w:tcBorders/>
            <w:vAlign w:val="center"/>
          </w:tcPr>
          <w:p>
            <w:pPr>
              <w:pStyle w:val="TableContents"/>
              <w:bidi w:val="0"/>
              <w:spacing w:before="0" w:after="283"/>
              <w:jc w:val="left"/>
              <w:rPr/>
            </w:pPr>
            <w:r>
              <w:rPr/>
              <w:t>(5) </w:t>
            </w:r>
          </w:p>
        </w:tc>
      </w:tr>
      <w:tr>
        <w:trPr/>
        <w:tc>
          <w:tcPr>
            <w:tcW w:w="3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pBdr>
                <w:top w:val="single" w:sz="2" w:space="1" w:color="000000"/>
              </w:pBdr>
              <w:bidi w:val="0"/>
              <w:spacing w:before="0" w:after="0"/>
              <w:jc w:val="left"/>
              <w:rPr/>
            </w:pPr>
            <w:r>
              <w:rPr/>
              <w:t> </w:t>
            </w:r>
          </w:p>
        </w:tc>
        <w:tc>
          <w:tcPr>
            <w:tcW w:w="1762" w:type="dxa"/>
            <w:tcBorders/>
            <w:vAlign w:val="center"/>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6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r>
      <w:tr>
        <w:trPr/>
        <w:tc>
          <w:tcPr>
            <w:tcW w:w="36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2" w:type="dxa"/>
            <w:tcBorders/>
            <w:shd w:fill="CCEEFF" w:val="clear"/>
            <w:vAlign w:val="center"/>
          </w:tcPr>
          <w:p>
            <w:pPr>
              <w:pStyle w:val="TableContents"/>
              <w:bidi w:val="0"/>
              <w:spacing w:before="0" w:after="283"/>
              <w:jc w:val="right"/>
              <w:rPr/>
            </w:pPr>
            <w:r>
              <w:rPr/>
              <w:t>6,078,630</w:t>
            </w:r>
          </w:p>
        </w:tc>
        <w:tc>
          <w:tcPr>
            <w:tcW w:w="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12,857,626</w:t>
            </w:r>
          </w:p>
        </w:tc>
        <w:tc>
          <w:tcPr>
            <w:tcW w:w="321" w:type="dxa"/>
            <w:tcBorders/>
            <w:shd w:fill="CCEEFF" w:val="clear"/>
            <w:vAlign w:val="center"/>
          </w:tcPr>
          <w:p>
            <w:pPr>
              <w:pStyle w:val="TableContents"/>
              <w:bidi w:val="0"/>
              <w:spacing w:before="0" w:after="283"/>
              <w:jc w:val="left"/>
              <w:rPr/>
            </w:pPr>
            <w:r>
              <w:rPr/>
              <w:t> </w:t>
            </w:r>
          </w:p>
        </w:tc>
      </w:tr>
      <w:tr>
        <w:trPr/>
        <w:tc>
          <w:tcPr>
            <w:tcW w:w="3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pBdr>
                <w:top w:val="double" w:sz="6" w:space="1" w:color="000000"/>
              </w:pBdr>
              <w:bidi w:val="0"/>
              <w:spacing w:before="0" w:after="0"/>
              <w:jc w:val="left"/>
              <w:rPr/>
            </w:pPr>
            <w:r>
              <w:rPr/>
              <w:t> </w:t>
            </w:r>
          </w:p>
        </w:tc>
        <w:tc>
          <w:tcPr>
            <w:tcW w:w="1762" w:type="dxa"/>
            <w:tcBorders/>
            <w:vAlign w:val="center"/>
          </w:tcPr>
          <w:p>
            <w:pPr>
              <w:pStyle w:val="TableContents"/>
              <w:pBdr>
                <w:top w:val="double" w:sz="6"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6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RSUs do not have any exercise price, such units are not included in the weighted average exercise price calculations above.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4,175,488 shares of AVROBIO common stock issuable upon the exercise of outstanding options and (ii) 936,358 shares of AVROBIO common stock issuable upon vesting of RSUs.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there were 7,978,667 shares of AVROBIO common stock available for grant under AVROBIO’s 2018 Plan, no shares available for grant under AVROBIO’s 2015 Plan, and 1,771,748 shares of AVROBIO common stock available for grant under AVROBIO’s 2018 ESPP (which number excludes any shares that would have been added to the plan as a result of the automatic annual increase on January 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AVROBIO’s 2018 ESPP provides that the number of shares reserved and available for issuance under the plan automatically increases each January 1 by the least of 1,115,700 shares of AVROBIO common stock, 1% of the outstanding number of shares of AVROBIO common stock on the immediately preceding December 31 or such lesser number of shares as determined by the AVROBIO Compensation Committee. However, the AVROBIO Compensation Committee opted to reduce the number of shares that would otherwise have automatically been made available for issuance under the 2018 ESPP on January 1, 2024 to zero.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484,700 shares of AVROBIO common stock underlying non-qualified stock options that were granted prior to the adoption of AVROBIO’s Inducement Plans as one-time awards to various new employees in accordance with Nasdaq Listing Rule 5635(c)(4) and (ii) 482,084 shares of AVROBIO common stock issuable upon exercise of outstanding options granted under AVROBIO’s 2019 Inducement Plan. There are no shares of AVROBIO common stock issuable upon exercise of outstanding options granted under AVROBIO’s 2020 Inducement Plan.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1,407,211 shares of AVROBIO common stock issuable under AVROBIO’s 2019 Inducement Plan and (ii) 1,700,000 issuable under AVROBIO’s 2020 Inducement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Incentive Plan Proposal. Abstentions and broker non-votes, if any, will have no effect on the Incentive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Incentive Plan Proposal is conditioned on the approval of the Nasdaq Stock Issuance Proposal. Therefore, if approval of the merger is not obtained, the Incentive Plan Proposal will have no effect, even if approved by AVROBIO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INCENTIVE PLAN PROPOSAL.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AVROBIO Board in favor of approval of the 2024 Plan, you should keep in mind that certain of AVROBIO’s directors and officers have interests in the 2024 Plan that are different from, in addition to, or in conflict with your interests as a stockholder, including, among other things, the existence of financial and personal interests, which may result in a conflict of interest on the part of such director(s) between what he, she or they may believe is in the best interests of AVROBIO and its stockholders and what he, she or they may believe is best for himself, herself or themselves in determining to recommend that stockholders vote for the proposals. In addition, AVROBIO’s officers have interests in the merger that may conflict with your interests as a stockholder. See the section titled “</w:t>
      </w:r>
      <w:r>
        <w:rPr>
          <w:rFonts w:ascii="Times New Roman" w:hAnsi="Times New Roman"/>
          <w:i/>
          <w:sz w:val="20"/>
        </w:rPr>
        <w:t>The Merger—Interests of AVROBIO’s Directors and Executive Officers in the Merger</w:t>
      </w:r>
      <w:r>
        <w:rPr>
          <w:rFonts w:ascii="Times New Roman" w:hAnsi="Times New Roman"/>
          <w:sz w:val="20"/>
        </w:rPr>
        <w:t xml:space="preserve">” beginning on page 221 of this proxy statement/prospectus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9" w:name="toc770053_113"/>
      <w:bookmarkEnd w:id="109"/>
      <w:r>
        <w:rPr>
          <w:rFonts w:ascii="Times New Roman" w:hAnsi="Times New Roman"/>
          <w:b/>
          <w:sz w:val="20"/>
        </w:rPr>
        <w:t xml:space="preserve">PROPOSAL NO. 5—THE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AVROBIO stockholders are also being asked to consider and vote upon the ESPP Proposal to approve the combined company’s 2024 Employee Stock Purchase Plan, which is referred to herein as the “2024 ESPP.” The AVROBIO Board approved the 2024 ESPP on, subject to stockholder approval at the special meeting. If the AVROBIO stockholders approve the ESPP Proposal, the 2024 ESPP will become effective on the consummation of the merger. If the 2024 ESPP is not approved by the AVROBIO stockholders, it will not become effective. The 2024 ESPP is described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 the AVROBIO Board adopted and approved the combined company’s 2024 ESPP and is submitting it to stockholders for their adoption and approval. Pursuant to the Merger Agreement, AVROBIO and Tectonic have each agreed that they will use commercially reasonable efforts to cause the AVROBIO stockholders to approve the 2024 ESPP. The AVROBIO Board has adopted and approved the 2024 ESPP to provide the combined company’s eligible employees an opportunity to purchase the combined company’s common stock at a discount through accumulated contributions of their earned compensation. AVROBIO currently operates its 2018 ESPP. Upon approval of the 2024 ESPP by stockholders, the 2018 ESPP will be terminated. While the 2024 ESPP will become effective the later of its approval by stockholders and the consummation of the merger, the first offering period will commence at a later date determined by the administrator of the 2024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2024 ESPP Will Allow the Combined Company to Effectively Recruit and Retain Key Talent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recommends that the AVROBIO stockholders approve the 2024 ESPP because it believes that it is important to the combined company’s ability to compete for talent. The 2024 ESPP may become a significant part of the combined company’s overall equity compensation strategy (especially with respect to the combined company’s nonexecutive employees). If the AVROBIO stockholders do not approve the 2024 ESPP, the combined company may not be able to offer competitive compensation to existing employees and qualified candidates, which could prevent it from successfully attracting and retaining highly skilled employees. The AVROBIO Board believes that the 2024 ESPP will be an important factor in attracting, motivating, and retaining qualified personnel who are essential to the combined company’s success. The 2024 ESPP provides a significant incentive by allowing employees to purchase shares of the combined company’s common stock at a discount.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2024 ESPP’s effectiveness, offering periods will not commence under the 2024 ESPP until determined by the combined company’s board of directors or its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 Reserve and Annual Increase Will Meet the Combined Company Equity Needs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is asking the AVROBIO stockholders to approve an initial share reserve of shares for the 2024 ESPP. Additionally, the 2024 ESPP provides for an annual increase in the number of shares reserved for insurance under the 2024 ESPP on the first day of each fiscal year beginning for the fiscal year following the fiscal year in which the first enrollment date under the 2024 ESPP (if any) occurs, in an amount equal to the least of (i) shares of the combined company’s common stock, (ii) 1% of the outstanding shares of common stock on the last day of the immediately preceding fiscal year, or (iii) an amount determined by the administrator.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2024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features of the 2024 ESPP and its operation. This summary does not contain all of the terms and conditions of the 2024 ESPP and is qualified in its entirety by reference to the 2024 ESPP as set forth in </w:t>
      </w:r>
      <w:r>
        <w:rPr>
          <w:rFonts w:ascii="Times New Roman" w:hAnsi="Times New Roman"/>
          <w:sz w:val="20"/>
          <w:u w:val="single"/>
        </w:rPr>
        <w:t>Annex J</w:t>
      </w:r>
      <w:r>
        <w:rPr>
          <w:rFonts w:ascii="Times New Roman" w:hAnsi="Times New Roman"/>
          <w:sz w:val="20"/>
        </w:rPr>
        <w:t xml:space="preserve"> attached 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Purpose</w:t>
      </w:r>
      <w:r>
        <w:rPr>
          <w:rFonts w:ascii="Times New Roman" w:hAnsi="Times New Roman"/>
          <w:sz w:val="20"/>
        </w:rPr>
        <w:t xml:space="preserve">. The purpose of the 2024 ESPP is to provide eligible employees with an opportunity to purchase shares of the combined company’s common stock through accumulated contributions. The 2024 ESPP will be designed to allow eligible U.S. employees to purchase combined company common stock in a manner that may qualify for favorable tax treatment under Section 423 of the Code.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Following the merger, the 2024 ESPP will authorize the issuance of a number of shares of combined company common stock equal to 1% of the total number of shares of combined company common stock issued and outstanding determined as of immediately after the effective time (the “2024 ESPP’s initial share reserve”), pursuant to purchase rights granted to the combined company’s employees or to employees of any of the combined company’s designated affiliates. The number of shares of combined company common stock reserved for issuance will automatically increase on January 1 of each year, from January 1, 2025 through and including January 1, 2034, by the lesser of (1) 1% of the total number of shares of combined company common stock outstanding on the last day of the preceding calendar year, and (2) a number of shares of combined company common stock equal to three times the 2024 ESPP’s initial share reserve; </w:t>
      </w:r>
      <w:r>
        <w:rPr>
          <w:rFonts w:ascii="Times New Roman" w:hAnsi="Times New Roman"/>
          <w:i/>
          <w:sz w:val="20"/>
        </w:rPr>
        <w:t>provided</w:t>
      </w:r>
      <w:r>
        <w:rPr>
          <w:rFonts w:ascii="Times New Roman" w:hAnsi="Times New Roman"/>
          <w:sz w:val="20"/>
        </w:rPr>
        <w:t xml:space="preserve">, that prior to the date of any such increase, the combined company’s board of directors may determine that such increase will be less than the amount set forth in clauses (1) and (2).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intends to delegate concurrent authority to administer the 2024 ESPP to the combined company’s compensation committee. The 2024 ESPP is implemented through a series of offerings under which eligible employees are granted rights to purchase shares of combined company common stock on specified dates during such offerings. Under the 2024 ESPP, the combined company may specify offerings with durations of not more than 27 months, and may specify shorter purchase periods within each offering. Each offering will have one or more purchase dates on which shares of combined company common stock will be purchased for employees participating in the offering. An offering under the 2024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Deductions</w:t>
      </w:r>
      <w:r>
        <w:rPr>
          <w:rFonts w:ascii="Times New Roman" w:hAnsi="Times New Roman"/>
          <w:sz w:val="20"/>
        </w:rPr>
        <w:t xml:space="preserve">. Generally, all regular employees, including executive officers, employed by the combined company or by any of the combined company’s designated affiliates, may participate in the 2024 ESPP and may contribute, normally through payroll deductions, up to a specified percentage of their earnings (as set forth in, and as defined in, the offering memorandum the combined company’s board of directors or compensation committee may adopt from time to time with respect to offerings under the 2024 ESPP) for the purchase of shares of combined company common stock under the 2024 ESPP. Unless otherwise determined by the combined company’s board of directors, shares of combined company common stock will be purchased for the accounts of employees participating in the 2024 ESPP at a price per share equal to the lower of (a) 85% of the fair market value of a share of combined company common stock on the first trading date of an offering or (b) 85% of the fair market value of a share of combined company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2024 ESPP, as determined by the combined company’s board of directors, including: (1) being customarily employed for more than 20 hours per week; (2) being customarily employed for more than 5 months per calendar year; or (3) continuous employment with the combined company or one of the combined company’s affiliates for a period of time (not to exceed two years). No employee may purchase shares under the 2024 ESPP at a rate in excess of $25,000 worth of combined company common stock based on the fair market value per share of combined company common stock at the beginning of an offering for each year such a purchase right is outstanding. Finally, no employee will be eligible for the grant of any purchase rights under the 2024 ESPP if immediately after such rights are granted, such employee has voting power over 5% or more of the combined company’s outstanding capital stock measured by vote or value pursuant to Section 424(d) of the Code.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liquidating dividend, combination of shares, exchange of shares, change in corporate structure or similar transaction, the combined company’s board of directors will make appropriate adjustments to (1) the number of shares reserved under the 2024 ESPP, (2) the maximum number of shares by which the share reserve may increase automatically each year, (3) the number of shares and purchase price of all outstanding purchase rights and (4)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ESPP), any then-outstanding rights to purchase combined company stock under the 2024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combined company common stock within 10 business days prior to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2024 ESPP, a corporate transaction is generally the consummation of: (1) a sale of all or substantially all of the combined company’s assets; (2) the sale or disposition of more than 50% of the combined company’s outstanding securities; (3) a merger or consolidation where the combined company does not survive the transaction; and (4) a merger or consolidation where the combined company does survive the transaction but the shares of combined company common stock outstanding immediately before such transaction are converted or exchanged into other property by virtue of the transaction. </w:t>
      </w:r>
    </w:p>
    <w:p>
      <w:pPr>
        <w:pStyle w:val="TextBody"/>
        <w:bidi w:val="0"/>
        <w:spacing w:before="240" w:after="0"/>
        <w:jc w:val="left"/>
        <w:rPr>
          <w:rFonts w:ascii="Times New Roman" w:hAnsi="Times New Roman"/>
          <w:sz w:val="20"/>
        </w:rPr>
      </w:pPr>
      <w:r>
        <w:rPr>
          <w:rFonts w:ascii="Times New Roman" w:hAnsi="Times New Roman"/>
          <w:i/>
          <w:sz w:val="20"/>
        </w:rPr>
        <w:t>2024 ESPP Amendments, Termination</w:t>
      </w:r>
      <w:r>
        <w:rPr>
          <w:rFonts w:ascii="Times New Roman" w:hAnsi="Times New Roman"/>
          <w:sz w:val="20"/>
        </w:rPr>
        <w:t xml:space="preserve">. The combined company’s board of directors has the authority to amend or terminate the 2024 ESPP, provided that except in certain circumstances such amendment or termination may not materially impair any outstanding purchase rights without the holder’s consent. The combined company will obtain stockholder approval of any amendment to the 2024 ESPP, as required by applicable law or listing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material U.S. federal income tax consequences of participation in the 2024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2024 ESPP is intended to qualify as an employee stock purchase plan within the meaning of Section 423 of the Code. Under an employee stock purchase plan that so qualifies, no taxable income will be recognized by a participant, and no deductions will be allowable to the combined company, upon either the grant or the exercise of the purchase rights. Taxable income will not be recognized until there is a sale or other disposition of the shares of common stock acquired under the 2024 ESPP or in the event of the participant’s death while still owning the purchased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purchased shares of common stock within two years after the start date of the offering period in which the shares of common stock were acquired or within one year after the actual purchase date of those shares of common stock, then the participant generally will recognize ordinary income in the year of sale or disposition equal to the amount by which the fair market value of the shares of common stock on the purchase date exceeded the purchase price paid for those shares of common stock, and the combined company will be entitled to an income tax deduction equal in amount to such excess, for the taxable year in which such disposition occurs. The amount of this ordinary income will be added to the participant’s basis in the shares of common stock, and any resulting gain or loss recognized upon the sale or disposition will be a capital gain or loss. If the shares of common stock have been held for more than one year since the date of purchase, the gain or loss will be long-term.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participant sells or disposes of the purchased shares of common stock more than two years after the start date of the offering period in which the shares of the combined company’s common stock were acquired and more than one year after the actual purchase date of those shares of common stock, then the participant generally will recognize ordinary income in the year of sale or disposition equal to the lesser of (a) the amount by which the fair market value of the shares of common stock on the sale or disposition date exceeded the purchase price paid for those shares of common stock, or (b) 15% of the fair market value of the shares of common stock on the start date of that offering period. Any additional gain upon the disposition will be taxed as a long-term capital gain. Alternatively, if the fair market value of the shares of common stock on the date of the sale or disposition is less than the purchase price, there will be no ordinary income and any loss recognized will be a long-term capital loss. The combined company will not be entitled to an income tax deduction with respect to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participant’s annual “net investment income,” as defined in Section 1411 of the Code, may be subject to a 3.8% U.S. federal surtax. Net investment income may include capital gain and/or loss arising from the disposition of shares of common stock purchased under the 2024 ESPP. Whether a participant’s net investment income will be subject to this surtax will depend on the participant’s level of annual income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still owns the purchased shares of common stock at the time of death, the lesser of (i) the amount by which the fair market value of the shares of common stock on the date of death exceeds the purchase price or (ii) 15% of the fair market value of the shares of common stock on the start date of the offering period in which those shares of common stock were acquired will constitute ordinary income in the year of death.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Because participation in the 2024 ESPP is voluntary, the benefits or amounts that will be received by or allocated to any individual or group of individuals under the 2024 ESPP in the future are not determinable and no awards have been granted that are contingent on stockholder approval of the 2024 ESPP.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ESPP Proposal. Abstentions and broker non-votes, if any, will have no effect on the ESPP Proposal. </w:t>
      </w:r>
    </w:p>
    <w:p>
      <w:pPr>
        <w:pStyle w:val="TextBody"/>
        <w:bidi w:val="0"/>
        <w:spacing w:before="240" w:after="0"/>
        <w:jc w:val="left"/>
        <w:rPr>
          <w:rFonts w:ascii="Times New Roman" w:hAnsi="Times New Roman"/>
          <w:sz w:val="20"/>
        </w:rPr>
      </w:pPr>
      <w:r>
        <w:rPr>
          <w:rFonts w:ascii="Times New Roman" w:hAnsi="Times New Roman"/>
          <w:sz w:val="20"/>
        </w:rPr>
        <w:t xml:space="preserve">The ESPP Proposal is conditioned on the approval of the Nasdaq Stock Issuance Proposal. Therefore, if approval of the merger is not obtained, the ESPP Proposal will have no effect, even if approved by AVROBIO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ESPP PROPOSAL. </w:t>
      </w:r>
    </w:p>
    <w:p>
      <w:pPr>
        <w:pStyle w:val="TextBody"/>
        <w:bidi w:val="0"/>
        <w:spacing w:before="240" w:after="0"/>
        <w:jc w:val="left"/>
        <w:rPr>
          <w:rFonts w:ascii="Times New Roman" w:hAnsi="Times New Roman"/>
          <w:sz w:val="20"/>
        </w:rPr>
      </w:pPr>
      <w:r>
        <w:rPr>
          <w:rFonts w:ascii="Times New Roman" w:hAnsi="Times New Roman"/>
          <w:sz w:val="20"/>
        </w:rPr>
        <w:t>When you consider the recommendation of the AVROBIO Board in favor of approval of the 2024 ESPP, you should keep in mind that certain of AVROBIO’s directors and officers have interests in the 2024 ESPP that are different from, in addition to, or in conflict with, your interests as a stockholder, including, among other things, the existence of financial and personal interests, which may result in a conflict of interest on the part of such director(s) between what he, she or they may believe is in the best interests of AVROBIO and its stockholders and what he, she or they may believe is best for himself, herself or themselves in determining to recommend that stockholders vote for the proposals. In addition, AVROBIO’s officers have interests in the merger that may conflict with your interests as a stockholder. See the section titled “</w:t>
      </w:r>
      <w:r>
        <w:rPr>
          <w:rFonts w:ascii="Times New Roman" w:hAnsi="Times New Roman"/>
          <w:i/>
          <w:sz w:val="20"/>
        </w:rPr>
        <w:t>The Merger—Interests of AVROBIO’s Directors and Executive Officers in the Merger</w:t>
      </w:r>
      <w:r>
        <w:rPr>
          <w:rFonts w:ascii="Times New Roman" w:hAnsi="Times New Roman"/>
          <w:sz w:val="20"/>
        </w:rPr>
        <w:t xml:space="preserve">” beginning on page 221 of this proxy statement/prospectus for a further discussion of these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0" w:name="toc770053_114"/>
      <w:bookmarkEnd w:id="110"/>
      <w:r>
        <w:rPr>
          <w:rFonts w:ascii="Times New Roman" w:hAnsi="Times New Roman"/>
          <w:b/>
          <w:sz w:val="20"/>
        </w:rPr>
        <w:t xml:space="preserve">PROPOSAL NO. 6—EXECUTIVE COMPENSATION ARRANGEMENTS PROPOSAL </w:t>
      </w:r>
    </w:p>
    <w:p>
      <w:pPr>
        <w:pStyle w:val="TextBody"/>
        <w:bidi w:val="0"/>
        <w:spacing w:before="240" w:after="0"/>
        <w:jc w:val="left"/>
        <w:rPr>
          <w:rFonts w:ascii="Times New Roman" w:hAnsi="Times New Roman"/>
          <w:sz w:val="20"/>
        </w:rPr>
      </w:pPr>
      <w:r>
        <w:rPr>
          <w:rFonts w:ascii="Times New Roman" w:hAnsi="Times New Roman"/>
          <w:sz w:val="20"/>
        </w:rPr>
        <w:t>As required by Item 402(t) of Regulation S-K and Section 14A of the Exchange Act and Rule 14a-21(c) thereunder, AVROBIO is providing AVROBIO stockholders with the opportunity to vote, on a non-binding advisory basis, on the golden parachute compensation that may become payable to the AVROBIO named executive officers in connection with the merger, as disclosed pursuant to Item 402(t) of Regulation S-K in the section titled “</w:t>
      </w:r>
      <w:r>
        <w:rPr>
          <w:rFonts w:ascii="Times New Roman" w:hAnsi="Times New Roman"/>
          <w:i/>
          <w:sz w:val="20"/>
        </w:rPr>
        <w:t>Golden Parachute Compensation</w:t>
      </w:r>
      <w:r>
        <w:rPr>
          <w:rFonts w:ascii="Times New Roman" w:hAnsi="Times New Roman"/>
          <w:sz w:val="20"/>
        </w:rPr>
        <w:t xml:space="preserve">” in this proxy statement/prospectus/information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AVROBIO believes that the information regarding golden parachute compensation that may become payable to its named executive officers in connection with the merger is reasonable and demonstrates that AVROBIO’s executive compensation program was designed appropriately and structured to ensure the retention of talented executives and a strong alignment of the long-term interests of AVROBIO stockholders. Accordingly, AVROBIO is seeking approval of the following resolution at the special meeting: </w:t>
      </w:r>
    </w:p>
    <w:p>
      <w:pPr>
        <w:pStyle w:val="TextBody"/>
        <w:bidi w:val="0"/>
        <w:spacing w:before="120" w:after="0"/>
        <w:jc w:val="left"/>
        <w:rPr/>
      </w:pPr>
      <w:r>
        <w:rPr/>
        <w:t>“</w:t>
      </w:r>
      <w:r>
        <w:rPr>
          <w:rFonts w:ascii="Times New Roman" w:hAnsi="Times New Roman"/>
          <w:sz w:val="20"/>
        </w:rPr>
        <w:t>RESOLVED, that the stockholders of AVROBIO, Inc. approve, on a nonbinding, advisory basis, the compensation that will or may become payable by AVROBIO to its named executive officers that is based on or otherwise relates to the transactions as disclosed pursuant to Item 402(t) of Regulation S-K in the section titled “</w:t>
      </w:r>
      <w:r>
        <w:rPr>
          <w:rFonts w:ascii="Times New Roman" w:hAnsi="Times New Roman"/>
          <w:i/>
          <w:sz w:val="20"/>
        </w:rPr>
        <w:t>Golden Parachute Compensation.”</w:t>
      </w:r>
    </w:p>
    <w:p>
      <w:pPr>
        <w:pStyle w:val="TextBody"/>
        <w:bidi w:val="0"/>
        <w:spacing w:before="240" w:after="0"/>
        <w:jc w:val="left"/>
        <w:rPr>
          <w:rFonts w:ascii="Times New Roman" w:hAnsi="Times New Roman"/>
          <w:sz w:val="20"/>
        </w:rPr>
      </w:pPr>
      <w:r>
        <w:rPr>
          <w:rFonts w:ascii="Times New Roman" w:hAnsi="Times New Roman"/>
          <w:sz w:val="20"/>
        </w:rPr>
        <w:t>Stockholders of AVROBIO should note that this proposal is not a condition to the completion of the merger, and as an advisory vote, the result will not be binding on AVROBIO, the AVROBIO Board or the named executive officers. Further, the underlying employment agreements, equity awards and other arrangements are contractual in nature and not, by their terms, subject to stockholder approval. Accordingly, regardless of the outcome of the advisory vote, the named executive officers will be eligible to receive the compensation that is based on or otherwise relates to the merger in accordance with the terms and conditions applicable to the underlying employment agreements, equity awards and other arrangements AVROBIO entered into with these named executive officers, as described in the section titled “</w:t>
      </w:r>
      <w:r>
        <w:rPr>
          <w:rFonts w:ascii="Times New Roman" w:hAnsi="Times New Roman"/>
          <w:i/>
          <w:sz w:val="20"/>
        </w:rPr>
        <w:t>Golden Parachute Compensation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Executive Compensation Arrangements Proposal on a non-binding advisory basis Abstentions and broker non-votes, if any, will have no effect on the Executive Compensation Arrangements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EXECUTIVE COMPENSATION ARRANGEMENTS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1" w:name="toc770053_115"/>
      <w:bookmarkEnd w:id="111"/>
      <w:r>
        <w:rPr>
          <w:rFonts w:ascii="Times New Roman" w:hAnsi="Times New Roman"/>
          <w:b/>
          <w:sz w:val="20"/>
        </w:rPr>
        <w:t xml:space="preserve">PROPOSAL NO. 7—THE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receive a sufficient number of votes to approve the Nasdaq Stock Issuance Proposal and/or the Reverse Stock Split Proposal, AVROBIO may propose to adjourn the special meeting, for a period of not more than 60 days, for the purpose of soliciting additional proxies to approve the Nasdaq Stock Issuance Proposal and/or the Reverse Stock Split Proposal. AVROBIO currently does not intend to propose adjournment at the special meeting if there are sufficient votes to approve the Nasdaq Stock Issuance Proposal and/or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special meeting, under AVROBIO’s bylaws, the chair of the special meeting will have the power to adjourn the Special Meeting until a quorum is present or represented.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AVROBIO common stock entitled to vote at the special meeting is required to approve the Adjournment Proposal. Abstentions and broker non-votes,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AVROBIO BOARD UNANIMOUSLY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2" w:name="toc770053_116"/>
      <w:bookmarkEnd w:id="112"/>
      <w:r>
        <w:rPr>
          <w:rFonts w:ascii="Times New Roman" w:hAnsi="Times New Roman"/>
          <w:b/>
          <w:sz w:val="20"/>
        </w:rPr>
        <w:t xml:space="preserve">AVROBIO’S BUSINESS </w:t>
      </w:r>
    </w:p>
    <w:p>
      <w:pPr>
        <w:pStyle w:val="TextBody"/>
        <w:bidi w:val="0"/>
        <w:spacing w:before="240" w:after="0"/>
        <w:jc w:val="left"/>
        <w:rPr>
          <w:rFonts w:ascii="Times New Roman" w:hAnsi="Times New Roman"/>
          <w:b/>
          <w:sz w:val="20"/>
        </w:rPr>
      </w:pPr>
      <w:bookmarkStart w:id="113" w:name="toc770053_117"/>
      <w:bookmarkEnd w:id="113"/>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had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ERTs.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is not limited to, an acquisition, a merger, business combination or divestiture.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as part of the private financings,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among the private financings contemplated by the Subscription Agreement and such Company SAFEs of approximately $130.7 million. At the 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360" w:after="0"/>
        <w:jc w:val="left"/>
        <w:rPr>
          <w:rFonts w:ascii="Times New Roman" w:hAnsi="Times New Roman"/>
          <w:b/>
          <w:sz w:val="20"/>
        </w:rPr>
      </w:pPr>
      <w:bookmarkStart w:id="114" w:name="toc770053_118"/>
      <w:bookmarkEnd w:id="114"/>
      <w:r>
        <w:rPr>
          <w:rFonts w:ascii="Times New Roman" w:hAnsi="Times New Roman"/>
          <w:b/>
          <w:sz w:val="20"/>
        </w:rPr>
        <w:t xml:space="preserve">AVROBIO’s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AVROBIO’s pipeline included three HSC gene therapy programs, none of which are in active clinical development, each targeting rare lysosomal disorders: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AVR-RD-02 has been studied for the treatment of Gaucher disease type 1 in an AVROBIO-sponsored Phase 1/2 clinical trial, which AVROBIO refers to as the Guard1 clinical trial. Five patients were dosed in the Guard1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AVR-RD-01 was AVROBIO’s investigational gene therapy program for Fabry disease, which was deprioritized in January 2022. This decision was made due to several factors, including new clinical data showing variable engraftment patterns from the five most recently dosed patients in AVROBIO’s Phase 2 clinical trial of AVR-RD-01 for the treatment of Fabry disease, which AVROBIO refers to as its FAB-GT clinical trial. The emergence of such new data would have significantly extended the program’s development timeline. That development, coupled with an increasingly challenging market and regulatory environment for Fabry disease, were among the primary factors leading to AVROBIO’s deprioritization of its Fabry program. As a result of the deprioritization, AVROBIO stopped enrollment of its FAB-GT clinical trial and focused on its other pipeline programs. A total of 14 patients had been dosed in AVROBIO’s Fabry program, including nine patients in AVROBIO’s FAB-GT clinical trial and five patients in a collaborator-sponsored Phase 1 clinical study of AVR-RD-01 for Fabry disease. </w:t>
      </w:r>
    </w:p>
    <w:p>
      <w:pPr>
        <w:pStyle w:val="TextBody"/>
        <w:bidi w:val="0"/>
        <w:spacing w:before="240" w:after="0"/>
        <w:jc w:val="left"/>
        <w:rPr>
          <w:rFonts w:ascii="Times New Roman" w:hAnsi="Times New Roman"/>
          <w:sz w:val="20"/>
        </w:rPr>
      </w:pPr>
      <w:r>
        <w:rPr>
          <w:rFonts w:ascii="Times New Roman" w:hAnsi="Times New Roman"/>
          <w:sz w:val="20"/>
        </w:rPr>
        <w:t xml:space="preserve">Resumption of the development of these product candidates, if that were to occur, would require the expenditure of significant resources to advance these candidates. Thereafter, if development of such product candidates were to be resumed and successfully advanced (of which there can be no assurance), it would be necessary to seek and obtain marketing approval to commercialize such product candidates, which could be expected to require the expenditure of significant additional resources and expenses related to regulatory, product sales, medical affairs, marketing,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Tectonic will assume AVROBIO’s product candidates and related intellectual property rights as part of the merger. </w:t>
      </w:r>
    </w:p>
    <w:p>
      <w:pPr>
        <w:pStyle w:val="TextBody"/>
        <w:bidi w:val="0"/>
        <w:spacing w:before="360" w:after="0"/>
        <w:jc w:val="left"/>
        <w:rPr>
          <w:rFonts w:ascii="Times New Roman" w:hAnsi="Times New Roman"/>
          <w:b/>
          <w:sz w:val="20"/>
        </w:rPr>
      </w:pPr>
      <w:bookmarkStart w:id="115" w:name="toc770053_119"/>
      <w:bookmarkEnd w:id="115"/>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To support its HSC gene therapy programs, AVROBIO developed its plato® HSC gene therapy platform, incorporating multiple upgrades including a four-plasmid lentiviral vector designed to optimize vector copy number; transduction efficiency and resulting enzyme activity; a closed, automated manufacturing system designed to improve consistency and predictability of the drug product; and a personalized approach to conditioning. Six patients in AVROBIO’s FAB-GT clinical trial of AVR-RD-01, for which enrollment was halted, and five patients in AVROBIO’s Guard1 clinical trial of AVR-RD-02, were dosed with drug product manufactured utilizing the plato platform. </w:t>
      </w:r>
    </w:p>
    <w:p>
      <w:pPr>
        <w:pStyle w:val="TextBody"/>
        <w:bidi w:val="0"/>
        <w:spacing w:before="240" w:after="0"/>
        <w:jc w:val="left"/>
        <w:rPr>
          <w:rFonts w:ascii="Times New Roman" w:hAnsi="Times New Roman"/>
          <w:sz w:val="20"/>
        </w:rPr>
      </w:pPr>
      <w:r>
        <w:rPr>
          <w:rFonts w:ascii="Times New Roman" w:hAnsi="Times New Roman"/>
          <w:sz w:val="20"/>
        </w:rPr>
        <w:t xml:space="preserve">AVROBIO established manufacturing relationships that AVROBIO believes would provide AVROBIO with drug product manufacturing capabilities to support all aspects of the development and eventual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AVROBIO’s gene therapies. AVROBIO’s team leveraged their broad expertise in the manufacturing of gene and cellular therapies to build a network of contract manufacturing organizations (“CMO”) partners for the development and manufacture of drug products and outsourced suppliers for the supply of vectors and plasmids. AVROBIO relies on sole source suppliers for drug product manufacturing, vector supply, plasmid supply and cell culture media. </w:t>
      </w:r>
    </w:p>
    <w:p>
      <w:pPr>
        <w:pStyle w:val="TextBody"/>
        <w:bidi w:val="0"/>
        <w:spacing w:before="240" w:after="0"/>
        <w:jc w:val="left"/>
        <w:rPr>
          <w:rFonts w:ascii="Times New Roman" w:hAnsi="Times New Roman"/>
          <w:sz w:val="20"/>
        </w:rPr>
      </w:pPr>
      <w:r>
        <w:rPr>
          <w:rFonts w:ascii="Times New Roman" w:hAnsi="Times New Roman"/>
          <w:sz w:val="20"/>
        </w:rPr>
        <w:t xml:space="preserve">To optimize production of AVROBIO’s gene therapies, AVROBIO moved cell processing to an automated, closed system using disposable supplies, believing this industrialized manufacturing process facilitated a repeatable approach through which AVROBIO could design and manufacture commercially viable HSC gene therapies to potentially treat a large variety of genetic disorders. </w:t>
      </w:r>
    </w:p>
    <w:p>
      <w:pPr>
        <w:pStyle w:val="TextBody"/>
        <w:bidi w:val="0"/>
        <w:spacing w:before="360" w:after="0"/>
        <w:jc w:val="left"/>
        <w:rPr>
          <w:rFonts w:ascii="Times New Roman" w:hAnsi="Times New Roman"/>
          <w:b/>
          <w:sz w:val="20"/>
        </w:rPr>
      </w:pPr>
      <w:bookmarkStart w:id="116" w:name="toc770053_120"/>
      <w:bookmarkEnd w:id="116"/>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AVROBIO’s industry is highly competitive and subject to rapid and significant technological change. Potential competitors for AVROBIO’s HSC gene therapy candidates include larger pharmaceutical, specialty pharmaceutical and biotechnology companies, as well as academic institutions, government agencies and private and public research institutions. Key competitive factors affecting the commercial success of AVROBIO’s gene therapies would likely include efficacy, safety and tolerability profile, reliability, convenience, price and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treatment of lysosomal disorders is especially large and competitive. The gene therapies AVROBIO was developing, if approved, would have faced competition.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 number of AVROBIO’s competitors. Accordingly, AVROBIO’s competitors may be more successful than AVROBIO would have been in obtaining approval by the FDA for drugs and achieving widespread market acceptance. AVROBIO’s competitors’ products may be more effective, or more effectively marketed and sold, than any product AVROBIO would have commercialized and may have rendered AVROBIO’s gene therapies obsolete or non-competitive before AVROBIO could recover the expenses of developing and commercializing any of AVROBIO’s gene therapies. AVROBIO’s competitors may also obtain FDA or other regulatory approval for their products more rapidly than AVROBIO may have obtained approval for its products. AVROBIO anticipates that biotechnology companies will face intense and increasing competition as new drugs enter the market and advanced technologies become available. Finally, the development of new treatment methods for the diseases targeted by AVROBIO’s gene therapies could render AVROBIO’s gene therapies non-competitive or obsolete. </w:t>
      </w:r>
    </w:p>
    <w:p>
      <w:pPr>
        <w:pStyle w:val="TextBody"/>
        <w:bidi w:val="0"/>
        <w:spacing w:before="360" w:after="0"/>
        <w:jc w:val="left"/>
        <w:rPr>
          <w:rFonts w:ascii="Times New Roman" w:hAnsi="Times New Roman"/>
          <w:b/>
          <w:sz w:val="20"/>
        </w:rPr>
      </w:pPr>
      <w:bookmarkStart w:id="117" w:name="toc770053_121"/>
      <w:bookmarkEnd w:id="117"/>
      <w:r>
        <w:rPr>
          <w:rFonts w:ascii="Times New Roman" w:hAnsi="Times New Roman"/>
          <w:b/>
          <w:sz w:val="20"/>
        </w:rPr>
        <w:t xml:space="preserve">Licenses and Collaborations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 with Lund University Rights Holders </w:t>
      </w:r>
    </w:p>
    <w:p>
      <w:pPr>
        <w:pStyle w:val="TextBody"/>
        <w:bidi w:val="0"/>
        <w:spacing w:before="120" w:after="0"/>
        <w:jc w:val="left"/>
        <w:rPr>
          <w:rFonts w:ascii="Times New Roman" w:hAnsi="Times New Roman"/>
          <w:sz w:val="20"/>
        </w:rPr>
      </w:pPr>
      <w:r>
        <w:rPr>
          <w:rFonts w:ascii="Times New Roman" w:hAnsi="Times New Roman"/>
          <w:sz w:val="20"/>
        </w:rPr>
        <w:t xml:space="preserve">In January 2017, AVROBIO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AVROBIO funded with Lund University, granted to AVROBIO an exclusive worldwide license, subject to certain retained rights, under certain intellectual property rights to develop, commercialize and sell products in any and all uses relevant to Gaucher disease. Intellectual property licensed to AVROBIO under this agreement relates to AVROBIO’s Gaucher program.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AVROBIO is required to make payments in connection with the achievement of certain milestones up to an aggregate of $0.55 million. </w:t>
      </w:r>
    </w:p>
    <w:p>
      <w:pPr>
        <w:pStyle w:val="TextBody"/>
        <w:bidi w:val="0"/>
        <w:spacing w:before="240" w:after="0"/>
        <w:jc w:val="left"/>
        <w:rPr>
          <w:rFonts w:ascii="Times New Roman" w:hAnsi="Times New Roman"/>
          <w:sz w:val="20"/>
        </w:rPr>
      </w:pPr>
      <w:r>
        <w:rPr>
          <w:rFonts w:ascii="Times New Roman" w:hAnsi="Times New Roman"/>
          <w:sz w:val="20"/>
        </w:rPr>
        <w:t xml:space="preserve">AVROBIO’s license agreement with the rights holders expires on the latest of (i) the twentieth anniversary of the end of a certain research project AVROBIO has funded pursuant to an agreement with Lund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expiration of the term of any patent filed on the licensed rights that covers a licensed product, (iii) the expiration of any applicable marketing exclusivity right and (iv) such time that neither AVROBIO nor any of AVROBIO’s sublicensees or partners or contractors are commercializing a licensed product. Either AVROBIO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with BioMarin Pharmaceutical Inc. </w:t>
      </w:r>
    </w:p>
    <w:p>
      <w:pPr>
        <w:pStyle w:val="TextBody"/>
        <w:bidi w:val="0"/>
        <w:spacing w:before="120" w:after="0"/>
        <w:jc w:val="left"/>
        <w:rPr>
          <w:rFonts w:ascii="Times New Roman" w:hAnsi="Times New Roman"/>
          <w:sz w:val="20"/>
        </w:rPr>
      </w:pPr>
      <w:r>
        <w:rPr>
          <w:rFonts w:ascii="Times New Roman" w:hAnsi="Times New Roman"/>
          <w:sz w:val="20"/>
        </w:rPr>
        <w:t xml:space="preserve">In August 2017, AVROBIO entered into a license agreement with BioMarin pursuant to which BioMarin granted AVROBIO an exclusive worldwide license under certain intellectual property rights related to GILT tags owned or controlled by BioMarin to develop, commercialize and sell retroviridae-based gene therapy products for use in the treatment of Pompe disease. This agreement was amended in February 2018 and again in January 2020 to, among things, provide that BioMarin would supply AVROBIO with certain materials related to the GILT tags technology. Under the terms of the agreement, AVROBIO must use commercially reasonable efforts to develop and commercialize one or more licensed products in the United States and certain European countries. In addition, AVROBIO is required to initiate an IND-enabling pharmacology/toxicology study of a licensed product within a specified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AVROBIO paid an initial license fee in the amount of $0.5 million and issued 233,765 shares of AVROBIO’s Series B preferred stock to BioMarin at the time of AVROBIO’s Series B financing. AVROBIO is also obligated to make payments to BioMarin upon achievement of certain milestones up to an aggregate of $13.0 million and pay to BioMarin a low single digit royalty percentage on net sales of licensed products covered by patent rights in a relevant country. AVROBIO’s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Unless terminated earlier, AVROBIO’s license agreement with BioMarin will expire upon the expiration of AVROBIO’s royalty obligation for all licensed products throughout the world. Either AVROBIO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AVROBIO or AVROBIO’s affiliates or sublicensees, or if AVROBIO, AVROBIO’s affiliates or sublicensees knowingly assist a third party in challenging or otherwise opposing the licensed patent rights, except as required under a court order or subpoena. In addition, BioMarin may terminate the agreement upon AVROBIO’s bankruptcy or insolvency. AVROBIO may terminate the agreement for any reason upon notice to BioMarin. </w:t>
      </w:r>
    </w:p>
    <w:p>
      <w:pPr>
        <w:pStyle w:val="TextBody"/>
        <w:bidi w:val="0"/>
        <w:spacing w:before="360" w:after="0"/>
        <w:jc w:val="left"/>
        <w:rPr>
          <w:rFonts w:ascii="Times New Roman" w:hAnsi="Times New Roman"/>
          <w:b/>
          <w:sz w:val="20"/>
        </w:rPr>
      </w:pPr>
      <w:bookmarkStart w:id="118" w:name="toc770053_122"/>
      <w:bookmarkEnd w:id="118"/>
      <w:r>
        <w:rPr>
          <w:rFonts w:ascii="Times New Roman" w:hAnsi="Times New Roman"/>
          <w:b/>
          <w:sz w:val="20"/>
        </w:rPr>
        <w:t xml:space="preserve">Governmental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including gene therapy products, are subject to regulation under the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AVROBIO may not be able to obtain the required regulatory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the FDA, the CBER regulates gene therapy products. The FDA and the NIH have published guidance documents with respect to the development and submission of gene therapy protocols. The FDA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 </w:t>
      </w:r>
    </w:p>
    <w:p>
      <w:pPr>
        <w:pStyle w:val="TextBody"/>
        <w:bidi w:val="0"/>
        <w:spacing w:before="240" w:after="0"/>
        <w:jc w:val="left"/>
        <w:rPr>
          <w:rFonts w:ascii="Times New Roman" w:hAnsi="Times New Roman"/>
          <w:sz w:val="20"/>
        </w:rPr>
      </w:pPr>
      <w:r>
        <w:rPr>
          <w:rFonts w:ascii="Times New Roman" w:hAnsi="Times New Roman"/>
          <w:sz w:val="20"/>
        </w:rPr>
        <w:t xml:space="preserve">Ethical, social and legal concerns about gene therapy, genetic testing and genetic research could result in additional regulations restricting or prohibiting the processes AVROBIO may use. Federal and state agencies, congressional committees and foreign governments have expressed interest in further regulating biotechnology. More restrictive regulations or claims that AVROBIO’s products are unsafe or pose a hazard could prevent AVROBIO from commercializing any products. New government requirements may be established that could delay or prevent regulatory approval of AVROBIO’s product candidates under development. It is impossible to predict whether legislative changes will be enacted, regulations, policies or guidance changed, or interpretations by agencies or courts changed, or what the impact of such changes, if any, may be.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Biological Products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The process required by the FDA before a biological product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and animal studies according to GLPs and applicable requirements for the humane use of laboratory animals or other applicable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application for an IND, which must become effective before human clinical studies may begin;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IRB or ethics committee at each clinical study site before each study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studies according to the FDA’s regulations commonly referred to as GCPs and any additional requirements for the protection of human research subjects and their health information, to establish the safety and efficacy of the proposed biological product for its intended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 BLA for marketing approval that includes substantive evidence of safety, purity, and potency from results of nonclinical testing and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(“GTPs”) for the use of human cellular and tissue products; </w:t>
            </w:r>
          </w:p>
        </w:tc>
      </w:tr>
    </w:tbl>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75"/>
        <w:gridCol w:w="110"/>
        <w:gridCol w:w="6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nonclinical and clinical study sites that generated the data in support of the BLA;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for FDA review of the BLA (unless a fee waiver applies); and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or licensure, of the BLA.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In addition to the submission of an IND to the FDA before initiation of a clinical trial in the United States, certain human clinical trials involving recombinant or synthetic nucleic acid molecules are subject to oversight of institutional biosafety committees (“IBCs”) as set forth in the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w:t>
      </w:r>
    </w:p>
    <w:p>
      <w:pPr>
        <w:pStyle w:val="TextBody"/>
        <w:bidi w:val="0"/>
        <w:spacing w:before="240" w:after="0"/>
        <w:jc w:val="left"/>
        <w:rPr>
          <w:rFonts w:ascii="Times New Roman" w:hAnsi="Times New Roman"/>
          <w:sz w:val="20"/>
        </w:rPr>
      </w:pPr>
      <w:r>
        <w:rPr>
          <w:rFonts w:ascii="Times New Roman" w:hAnsi="Times New Roman"/>
          <w:sz w:val="20"/>
        </w:rPr>
        <w:t xml:space="preserve">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AVROBIO cannot be sure that submission of an IND will result in the FDA allowing clinical studies to begin, or that, once begun, issues will not arise that suspend or terminate such studies.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Clinical studies typically are conducted in three sequential phases that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The biological product is evaluated in a limited patient population to identify possible adverse effects and safety risks, to preliminarily evaluate the efficacy of the product for specific targeted diseases and to determine dosage tolerance, optimal dosage and dosing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approval and product labeling.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unless otherwise agreed by the FDA, observe subjects for potential gene therapy-related delayed adverse events for a 15-year period, including a minimum of five years of annual examinations followed by ten years of annual queries, either in person or by questionnaire, of study subjects. </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 </w:t>
      </w:r>
    </w:p>
    <w:p>
      <w:pPr>
        <w:pStyle w:val="TextBody"/>
        <w:bidi w:val="0"/>
        <w:spacing w:before="240" w:after="0"/>
        <w:jc w:val="left"/>
        <w:rPr>
          <w:rFonts w:ascii="Times New Roman" w:hAnsi="Times New Roman"/>
          <w:sz w:val="20"/>
        </w:rPr>
      </w:pPr>
      <w:r>
        <w:rPr>
          <w:rFonts w:ascii="Times New Roman" w:hAnsi="Times New Roman"/>
          <w:sz w:val="20"/>
        </w:rPr>
        <w:t xml:space="preserve">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 </w:t>
      </w:r>
    </w:p>
    <w:p>
      <w:pPr>
        <w:pStyle w:val="TextBody"/>
        <w:bidi w:val="0"/>
        <w:spacing w:before="240" w:after="0"/>
        <w:jc w:val="left"/>
        <w:rPr>
          <w:rFonts w:ascii="Times New Roman" w:hAnsi="Times New Roman"/>
          <w:sz w:val="20"/>
        </w:rPr>
      </w:pPr>
      <w:r>
        <w:rPr>
          <w:rFonts w:ascii="Times New Roman" w:hAnsi="Times New Roman"/>
          <w:sz w:val="20"/>
        </w:rPr>
        <w:t xml:space="preserve">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AVROBIO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Orphan Drug Designation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AVROBIO’s products for seven years if a competitor obtains approval of the same biological product as defined by the FDA or if AVROBIO’s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 </w:t>
      </w:r>
    </w:p>
    <w:p>
      <w:pPr>
        <w:pStyle w:val="TextBody"/>
        <w:bidi w:val="0"/>
        <w:spacing w:before="240" w:after="0"/>
        <w:jc w:val="left"/>
        <w:rPr>
          <w:rFonts w:ascii="Times New Roman" w:hAnsi="Times New Roman"/>
          <w:sz w:val="20"/>
        </w:rPr>
      </w:pPr>
      <w:r>
        <w:rPr>
          <w:rFonts w:ascii="Times New Roman" w:hAnsi="Times New Roman"/>
          <w:sz w:val="20"/>
        </w:rPr>
        <w:t xml:space="preserve">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w:t>
      </w:r>
    </w:p>
    <w:p>
      <w:pPr>
        <w:pStyle w:val="TextBody"/>
        <w:bidi w:val="0"/>
        <w:spacing w:before="240" w:after="0"/>
        <w:jc w:val="left"/>
        <w:rPr>
          <w:rFonts w:ascii="Times New Roman" w:hAnsi="Times New Roman"/>
          <w:sz w:val="20"/>
        </w:rPr>
      </w:pPr>
      <w:r>
        <w:rPr>
          <w:rFonts w:ascii="Times New Roman" w:hAnsi="Times New Roman"/>
          <w:sz w:val="20"/>
        </w:rPr>
        <w:t xml:space="preserve">Under the Food and Drug Omnibus Reform Act of 2022 (“FDORA”), a platform technology incorporated within or utilized by a biological product is eligible for designation as a designated platform technology if (1) the platform technology is incorporated in, or utilized by, a drug approved under a BLA; (2) preliminary evidence submitted by the sponsor of the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BLA for a drug that uses or incorporates the platform technology. Designated platform technology status does not ensure that a drug will be developed more quickly or receive FDA approval. In addition, the FDA may revoke a designation if the FDA determines that a designated platform technology no longer meets the criteria for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Under the Food and Drug Omnibus Reform Act of 2022 (“FDORA”),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of publication within 120 days of marketing approval be submitted to the agency for review during the pre-approval review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Regenerative Medicine Advanced Therapies Designation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21st Century Cures Act, enacted in December 2016, Congress amended the FD&amp;C Act to facilitate an efficient development program for, and expedite review of RMATs, which include cell and gene therapies, therapeutic tissue engineering products, human cell and tissue products, and combination products using any such therapies or products. RMATs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the FDA designate a drug as a RMAT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the FDA’s other expedited development programs, RMAT designation does not change the standards for approval but may expedite the development or approval process.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AVROBIO has relied, and expects to continue to rely, should it resume development of its product candidates, on third parties for the production of clinical and commercial quantities of any products that AVROBIO may commercialize. Manufacturers of AVROBIO’s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AVROBIO also must, if it were to resume development of its product candidates,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AVROBIO. </w:t>
      </w:r>
    </w:p>
    <w:p>
      <w:pPr>
        <w:pStyle w:val="TextBody"/>
        <w:bidi w:val="0"/>
        <w:spacing w:before="240" w:after="0"/>
        <w:jc w:val="left"/>
        <w:rPr>
          <w:rFonts w:ascii="Times New Roman" w:hAnsi="Times New Roman"/>
          <w:sz w:val="20"/>
        </w:rPr>
      </w:pPr>
      <w:r>
        <w:rPr>
          <w:rFonts w:ascii="Times New Roman" w:hAnsi="Times New Roman"/>
          <w:sz w:val="20"/>
        </w:rPr>
        <w:t xml:space="preserve">Biological product manufacturers and other entities involved in the manufacture and distribution of approved biological products, and those supplying products, ingredients, and components of them, are required to register their establishments with the FDA and certain state agencies, and are subject to periodic unannounced inspections by the FDA and certain state agencies for compliance with cGMPs and other laws. Manufacturers and other parties involved in the drug supply chain for prescription drug products must also comply with product tracking and tracing requirements and notify the FDA of counterfeit, diverted, stolen and intentionally adulterate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Patent Term Restoration and Marketing Exclusivity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the FDA approval of the use of AVROBIO’s product candidates, if AVROBIO were to resume development of its product candidates, some of AVROBIO’s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should AVROBIO resume development of its product candidates, AVROBIO may intend to apply for restoration of patent term for one of its patents, if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add patent life beyond its current expiration date, depending on the expected length of the clinical studies and other factors involved in the filing of the relevant BLA.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 </w:t>
      </w:r>
    </w:p>
    <w:p>
      <w:pPr>
        <w:pStyle w:val="TextBody"/>
        <w:bidi w:val="0"/>
        <w:spacing w:before="240" w:after="0"/>
        <w:jc w:val="left"/>
        <w:rPr>
          <w:rFonts w:ascii="Times New Roman" w:hAnsi="Times New Roman"/>
          <w:sz w:val="20"/>
        </w:rPr>
      </w:pPr>
      <w:r>
        <w:rPr>
          <w:rFonts w:ascii="Times New Roman" w:hAnsi="Times New Roman"/>
          <w:sz w:val="20"/>
        </w:rPr>
        <w:t xml:space="preserve">The 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 </w:t>
      </w:r>
    </w:p>
    <w:p>
      <w:pPr>
        <w:pStyle w:val="TextBody"/>
        <w:bidi w:val="0"/>
        <w:spacing w:before="240" w:after="0"/>
        <w:jc w:val="left"/>
        <w:rPr>
          <w:rFonts w:ascii="Times New Roman" w:hAnsi="Times New Roman"/>
          <w:sz w:val="20"/>
        </w:rPr>
      </w:pPr>
      <w:r>
        <w:rPr>
          <w:rFonts w:ascii="Times New Roman" w:hAnsi="Times New Roman"/>
          <w:sz w:val="20"/>
        </w:rPr>
        <w:t xml:space="preserve">A reference biological product is granted four- and 12-year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 </w:t>
      </w:r>
    </w:p>
    <w:p>
      <w:pPr>
        <w:pStyle w:val="TextBody"/>
        <w:bidi w:val="0"/>
        <w:spacing w:before="240" w:after="0"/>
        <w:jc w:val="left"/>
        <w:rPr>
          <w:rFonts w:ascii="Times New Roman" w:hAnsi="Times New Roman"/>
          <w:sz w:val="20"/>
        </w:rPr>
      </w:pPr>
      <w:r>
        <w:rPr>
          <w:rFonts w:ascii="Times New Roman" w:hAnsi="Times New Roman"/>
          <w:sz w:val="20"/>
        </w:rPr>
        <w:t xml:space="preserve">The first biological product determined to be interchangeable with a branded reference product for any condition of use is also eligible for a period of exclusivity,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until the earlier of: (1) one year after the first commercial marketing of the first interchangeable product; (2) 18 months after resolution of a patent infringement suit instituted under 42 U.S.C. § 262(l)(6)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instituted under 42 U.S.C. § 262(l)(6)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the applicant that submitted the application for the first interchangeable product is still ongoing; or (4) 18 months after approval of the first interchangeable product if the applicant that submitted the application for the first interchangeable product has not been sued under 42 U.S.C. § 262(l)(6).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state and federal laws regarding environmental protection and hazardous substances, including the Occupational Safety and Health Act, the Resource Conservancy and Recovery Act and the Toxic Substances Control Act, affect AVROBIO’s business. These and other laws govern AVROBIO’s use, handling and disposal of various biological, chemical and radioactive substances used in, and wastes generated by, AVROBIO’s operations. If AVROBIO’s operations result in contamination of the environment or expose individuals to hazardous substances, AVROBIO could be liable for damages and governmental fines. AVROBIO believes that it is in material compliance with applicable environmental laws and that continued compliance therewith will not have a material adverse effect on AVROBIO’s business. AVROBIO cannot predict, however, how changes in these laws may affect its future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Foreign Corrupt Practices Act </w:t>
      </w:r>
    </w:p>
    <w:p>
      <w:pPr>
        <w:pStyle w:val="TextBody"/>
        <w:bidi w:val="0"/>
        <w:spacing w:before="120" w:after="0"/>
        <w:jc w:val="left"/>
        <w:rPr>
          <w:rFonts w:ascii="Times New Roman" w:hAnsi="Times New Roman"/>
          <w:sz w:val="20"/>
        </w:rPr>
      </w:pPr>
      <w:r>
        <w:rPr>
          <w:rFonts w:ascii="Times New Roman" w:hAnsi="Times New Roman"/>
          <w:sz w:val="20"/>
        </w:rPr>
        <w:t xml:space="preserve">The U.S. Foreign Corrupt Practices Act, to which AVROBIO is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AVROBIO obtains FDA approval for a product, AVROBIO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trial application much like the IND prior to the commencement of human clinical studies. In the European Union, for example, a CTA must be submitted for each clinical trial to each participating country’s national competent authority and an independent ethics committee, much like the FDA and an IRB, respectively. Under the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 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of a product in the European Union, AVROBIO must submit a marketing authorization application. The centralized procedure for obtaining a marketing authorization in the European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Union is mandatory for certain types of products, such as products produced by biotechnological processes,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 centralized marketing authorization is issued by the European Commission through the centralized procedure, based on the opinion of the Committee for Medicinal Products for Human Use (CHMP) of the EMA, and is valid throughout the entire territory of the European Union and in the additional Member States of the EEA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also provides opportunities for market exclusivity. For example, in the European Union, upon receiving a marketing authorization, innovative medicinal products approved on the basis of a complete and independent data package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European Union, for a period of eight years from the date on which the reference product was first authorized in the European Union.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Even if an innovative medicinal product gains the prescribed period of data exclusivity, another company could nevertheless also market another version of the product if such company obtained a marketing authorization based on an application with a complete and independent data package of pharmaceutical tests, preclinical tests and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is unlikely to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during which a marketing authorization may not be granted in the European Union for a “similar medicinal product” to the authorized orphan product. A “similar medicinal product” is defined as a medicinal product containing a similar active substance or substances as contained in an authorized orphan medicinal product, and which is intended for the same therapeutic indication. </w:t>
      </w:r>
    </w:p>
    <w:p>
      <w:pPr>
        <w:pStyle w:val="TextBody"/>
        <w:bidi w:val="0"/>
        <w:spacing w:before="240" w:after="0"/>
        <w:jc w:val="left"/>
        <w:rPr>
          <w:rFonts w:ascii="Times New Roman" w:hAnsi="Times New Roman"/>
          <w:sz w:val="20"/>
        </w:rPr>
      </w:pPr>
      <w:r>
        <w:rPr>
          <w:rFonts w:ascii="Times New Roman" w:hAnsi="Times New Roman"/>
          <w:sz w:val="20"/>
        </w:rPr>
        <w:t xml:space="preserve">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indication as an authorized orphan product at any time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second applicant can establish that its product, although similar to the authorized orphan product, is safer, more effective or otherwise clinically superior;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authorization holder for the authorized orphan product consents to a second orphan medicinal product application;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045" w:type="dxa"/>
        <w:jc w:val="left"/>
        <w:tblInd w:w="0" w:type="dxa"/>
        <w:tblLayout w:type="fixed"/>
        <w:tblCellMar>
          <w:top w:w="0" w:type="dxa"/>
          <w:left w:w="0" w:type="dxa"/>
          <w:bottom w:w="0" w:type="dxa"/>
          <w:right w:w="0" w:type="dxa"/>
        </w:tblCellMar>
      </w:tblPr>
      <w:tblGrid>
        <w:gridCol w:w="75"/>
        <w:gridCol w:w="110"/>
        <w:gridCol w:w="60"/>
        <w:gridCol w:w="9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authorization holder for the authorized orphan product cannot supply enough orphan medicinal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European Union rules are generally applicable in the EEA. </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European Union law. </w:t>
      </w:r>
    </w:p>
    <w:p>
      <w:pPr>
        <w:pStyle w:val="TextBody"/>
        <w:bidi w:val="0"/>
        <w:spacing w:before="240" w:after="0"/>
        <w:jc w:val="left"/>
        <w:rPr>
          <w:rFonts w:ascii="Times New Roman" w:hAnsi="Times New Roman"/>
          <w:sz w:val="20"/>
        </w:rPr>
      </w:pPr>
      <w:r>
        <w:rPr>
          <w:rFonts w:ascii="Times New Roman" w:hAnsi="Times New Roman"/>
          <w:sz w:val="20"/>
        </w:rPr>
        <w:t xml:space="preserve">The UK officially withdrew from the European Union on January 31, 2020 and the European Union and the UK signed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currently continues to apply in Northern Ireland). The regulatory regime in Great Britain therefore aligns in many ways with current European Union regulations, however it is possible that these regimes will diverge more significantly in the future now that Great Britain’s regulatory system is independent from the European Union. For example, the UK has implemented the now repealed Clinical Trials Directive 2001/20/EC into national law through the Medicines for Human Use (Clinical Trials) Regulations 2004 (as amended). However the Medicines and Healthcare products Regulatory Agency, or MHRA, the UK’s medicines regulator, published details of its legislative proposals designed to improve and strengthen the UK clinical trials legislation on March 21, 2023. The legislative proposals were published in response to a consultation which ran from January 17, 2022 to March 14, 2022. The MHRA will now work with lawyers to draft such new legislation. Great Britain is no longer covered by the European Union’s procedures for the grant of marketing authorizations (Northern Ireland is covered by the centralized authorization procedure for the time being) and a separate marketing authorization is therefore required to market drugs in Great Britain. On January 1, 2024, a new international recognition framework was put in place by the MHRA, under which the MHRA may have regard to decisions on the approval of marketing authorizations made by the EMA and certain other regulators. The MHRA also has the power to have regard to marketing authorizations approved in EU Member States through decentralized or mutual recognition procedures with a view to more quickly granting a marketing authorization in the United Kingdom or Great Britain. </w:t>
      </w:r>
    </w:p>
    <w:p>
      <w:pPr>
        <w:pStyle w:val="TextBody"/>
        <w:bidi w:val="0"/>
        <w:spacing w:before="240" w:after="0"/>
        <w:jc w:val="left"/>
        <w:rPr>
          <w:rFonts w:ascii="Times New Roman" w:hAnsi="Times New Roman"/>
          <w:sz w:val="20"/>
        </w:rPr>
      </w:pPr>
      <w:r>
        <w:rPr>
          <w:rFonts w:ascii="Times New Roman" w:hAnsi="Times New Roman"/>
          <w:sz w:val="20"/>
        </w:rPr>
        <w:t xml:space="preserve">Since January 1, 2021, a separate process for orphan designation has applied in Great Britain. There is now no pre-marketing authorization orphan designation (as there is in the European Union) in Great Britain and the application for orphan designation will be reviewed by the MHRA at the time of a marketing authorization application for a UK or Great Britain marketing authorization. The criteria for orphan designation are the same as in the European Union, save that they apply to Great Britain only (e.g., there must be no satisfactory method of diagnosis, prevention or treatment of the condition concerned in Great Britain, as opposed to the European Union, and the prevalence of the condition must be no more than 5 in 10,000 persons in Great Britain).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enact it into law. On June 9, 2023, the MHRA announced that the medicines aspects of the Windsor Framework will apply from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AVROBIO fails to comply with applicable foreign regulatory requirements, AVROBIO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FDA restrictions on the marketing of pharmaceutical products, AVROBIO may be subject to various federal and state laws targeting fraud and abuse in the healthcare industry. These laws may impact, among other things, AVROBIO’s business or financial arrangements and relationships through which AVROBIO markets, sells and distributes the gene therapies for which AVROBIO obtains approval. In addition, AVROBIO may be subject to patient privacy regulation by both the federal government and the states in which AVROBIO conducts its business. The laws that may affect AVROBIO’s ability to operate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HHS information related to payments or other transfers of value made to physicians (currently defined to include doctors, dentists, optometrists, podiatrists and chiropractors), certain other licensed health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Tectonic to calculate and report complex pricing metrics in an accurate and timely manner to government programs;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AVROBIO is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state requirements and if AVROBIO fails to comply with an applicable state law requirement AVROBIO could be subject to penalties. Finally, there are state and foreign laws governing the privacy and security of health information, many of which differ from each other in significant ways and often are not preempted by HIPAA,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it is possible that some of AVROBIO’s business activities could be subject to challenge under one or more of such laws. </w:t>
      </w:r>
    </w:p>
    <w:p>
      <w:pPr>
        <w:pStyle w:val="TextBody"/>
        <w:bidi w:val="0"/>
        <w:spacing w:before="240" w:after="0"/>
        <w:jc w:val="left"/>
        <w:rPr>
          <w:rFonts w:ascii="Times New Roman" w:hAnsi="Times New Roman"/>
          <w:sz w:val="20"/>
        </w:rPr>
      </w:pPr>
      <w:r>
        <w:rPr>
          <w:rFonts w:ascii="Times New Roman" w:hAnsi="Times New Roman"/>
          <w:sz w:val="20"/>
        </w:rPr>
        <w:t xml:space="preserve">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 </w:t>
      </w:r>
    </w:p>
    <w:p>
      <w:pPr>
        <w:pStyle w:val="TextBody"/>
        <w:bidi w:val="0"/>
        <w:spacing w:before="240" w:after="0"/>
        <w:jc w:val="left"/>
        <w:rPr>
          <w:rFonts w:ascii="Times New Roman" w:hAnsi="Times New Roman"/>
          <w:sz w:val="20"/>
        </w:rPr>
      </w:pPr>
      <w:r>
        <w:rPr>
          <w:rFonts w:ascii="Times New Roman" w:hAnsi="Times New Roman"/>
          <w:sz w:val="20"/>
        </w:rPr>
        <w:t xml:space="preserve">Law enforcement authorities are increasingly focused on enforcing fraud and abuse laws, and it is possible that some of AVROBIO’s practices may be challenged under these laws. Efforts to ensure that AVROBIO’s current and future business arrangements with third parties, and AVROBIO’s business generally, will comply with applicable healthcare laws and regulations will involve substantial costs. It is possible that governmental authorities will conclude that AVROBIO’s business practices, including AVROBIO’s arrangements with physicians and other healthcare providers, some of whom may receive stock options as compensation for services provided, may not comply with current or future statutes, regulations, agency guidance or case law involving applicable fraud and abuse or other healthcare laws and regulations. If any such actions are instituted against AVROBIO, and AVROBIO is not successful in defending itself or asserting AVROBIO’s rights, those actions could have a significant impact on AVROBIO’s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AVROBIO’s operations, any of which could adversely affect AVROBIO’s ability to operate AVROBIO’s business and AVROBIO’s results of operations. In addition, the approval and commercialization of any of AVROBIO’s gene therapies outside the United States will also likely subject AVROBIO to foreign equivalents of the healthcare laws mentioned above, among other foreign laws.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physicians or other healthcare providers or entities with whom AVROBIO does business are found to be not in compliance with applicable laws, they may be subject to criminal, civil or administrative sanctions, including exclusions from government funded healthcare programs, which may also adversely affect AVROBIO’s business. </w:t>
      </w:r>
    </w:p>
    <w:p>
      <w:pPr>
        <w:pStyle w:val="TextBody"/>
        <w:bidi w:val="0"/>
        <w:spacing w:before="240" w:after="0"/>
        <w:jc w:val="left"/>
        <w:rPr>
          <w:rFonts w:ascii="Times New Roman" w:hAnsi="Times New Roman"/>
          <w:sz w:val="20"/>
        </w:rPr>
      </w:pPr>
      <w:r>
        <w:rPr>
          <w:rFonts w:ascii="Times New Roman" w:hAnsi="Times New Roman"/>
          <w:sz w:val="20"/>
        </w:rPr>
        <w:t xml:space="preserve">Regulators globally are also imposing greater monetary fines for privacy violations. For example, non-compliance with the EU GDPR may result in monetary penalties of up to €20 million or 4% of worldwide revenue, whichever is higher.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and UK Personal Data Collection </w:t>
      </w:r>
    </w:p>
    <w:p>
      <w:pPr>
        <w:pStyle w:val="TextBody"/>
        <w:bidi w:val="0"/>
        <w:spacing w:before="120" w:after="0"/>
        <w:jc w:val="left"/>
        <w:rPr>
          <w:rFonts w:ascii="Times New Roman" w:hAnsi="Times New Roman"/>
          <w:sz w:val="20"/>
        </w:rPr>
      </w:pPr>
      <w:r>
        <w:rPr>
          <w:rFonts w:ascii="Times New Roman" w:hAnsi="Times New Roman"/>
          <w:sz w:val="20"/>
        </w:rPr>
        <w:t xml:space="preserve">The collection and use of personal data (including health data) in the European Economic Area (“EEA”) and United Kingdom (“UK”) is governed by the provisions of the EU General Data Protection Regulation (“EU GDPR”) with respect to the EEA and the UK General Data Protection Regulation and UK Data Protection Act 2018 with respect to the UK (“UK GDPR” and collectively with the EU GDPR referred to as the “GDPR,” unless specified otherwise). The GDPR applies to any company established in the EEA and UK, as well as to those outside the EEA and UK, if they collect and use personal data in connection with the offering of goods or services to individuals in the European Union or the monitoring of their behavior. The GDPR is wide-ranging in scope and imposes numerous requirements on companies that process personal data, including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ensuring a legal basis or condition applies to the to processing of personal data, stricter requirements relation to the processing of sensitive data (such as health data), providing information to individuals regarding data processing activities, where necessary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also imposes strict rules on the transfer of personal data outside of the EEA and UK to countries that do not ensure an adequate level of protection, like the United States in certain circumstances unless a valid GDPR transfer mechanism (for example, the European Commission approved Standard Contractual Clauses (the “SCCs”), and the UK IDTA has been put in place. Where relying on the SCCs /UK IDTA for data transfers, AVROBIO may also be required to carry out transfer impact assessments to assess whether the recipient is subject to local laws which allow public authority access to personal data. Further, the EU and United States have adopted its adequacy decision for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Non-compliance with the GDPR may result in enforcement action, including monetary penalties of up to €20 million (£ 17.5 million for the UK), or 4% of worldwide revenue, whichever is higher, and confers a private right of action on data subjects and consumer associations to lodge complaints with supervisory authorities, seek judicial remedies, and obtain compensation for damages resulting from violations of the GDPR. The GDPR, supplemental laws/regulations supplementing the GDPR and other changes in laws or regulations associated with the enhanced protection of certain types of personal data, such as healthcare data or other sensitive information, could greatly increase AVROBIO’s cost of providing AVROBIO’s products and services (including with respect to conducting clinical trial in the EEA and UK) or even prevent AVROBIO from offering certain services in jurisdictions that AVROBIO may operate in, should AVROBIO resume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 UK is regarded as a third country under the EU GDPR, the EEA and UK recognize one another as providing adequate protection under the EU GDPR and, therefore, transfers of personal data between the EEA and the UK remain unrestricted. The UK GDPR and EU GDPR are currently still closely aligned but operate independently from each other. The UK Government has introduced a Data Protection and Digital Information Bill into the UK legislative process to reform the UK data protection legal framework which may have an impact on the current alignment between the EU GDPR and UK GDPR if passed.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products. For example, in 2010, the ACA was enacted, which, among other things, increased the minimum Medicaid rebates owed by most manufacturers under the Medicaid Drug Rebate Program; extended the Medicaid Drug Rebate Program to utilization of prescriptions of individuals enrolled in Medicaid managed care plans; created a new Medicare Part D coverage gap discount program, in which manufacturers must agree to offer 70% point-of-sale discounts off negotiated prices of applicable brand drugs to eligible beneficiaries during their coverage gap period, as a condition for manufacturers’ outpatient drugs coverage under Medicare Part D; subjects drug manufacturers to annual fees based on pharmaceutical companies’ share of sales to federal healthcare programs; created a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other legislative and regulatory changes have been proposed and adopted in the United States since the ACA was enacted: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Budget Control Act of 2011 and subsequent legislation, among other things, created measures for spending reductions by Congress that include aggregate reductions of Medicare payments to providers of 2% per fiscal year, which remain in effect through 2031. Due to the Statutory Pay-As-You-Go Act of 2010, estimated budget deficit increases resulting from the American Rescue Plan Act of 2021, and subsequent legislation, Medicare payments to providers will be further reduced starting in 2025 absent further legislation.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American Taxpayer Relief Act of 2012 further reduced Medicare payments to several types of providers and increased the statute of limitations period for the government to recover overpayment to providers from three to five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May 23, 2019, CMS published a final rule to allow Medicare Advantage Plans the option of using step therapy for Part B drugs beginning January 1,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IRA includes several provisions that could impact AVROBIO’s business to varying degrees, should AVROBIO resume development of its product candidates,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AVROBIO’s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In addition, President Biden has issued multiple executive orders that have sought to reduce prescription drug costs. In February 2023, the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Times New Roman" w:hAnsi="Times New Roman"/>
          <w:sz w:val="20"/>
        </w:rPr>
      </w:pPr>
      <w:r>
        <w:rPr>
          <w:rFonts w:ascii="Times New Roman" w:hAnsi="Times New Roman"/>
          <w:sz w:val="20"/>
        </w:rPr>
        <w:t xml:space="preserve">AVROBIO expects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AVROBIO’s products, if approved, or additional pricing pressures, should AVROBIO resume development of its product candidates. </w:t>
      </w:r>
    </w:p>
    <w:p>
      <w:pPr>
        <w:pStyle w:val="TextBody"/>
        <w:bidi w:val="0"/>
        <w:spacing w:before="360" w:after="0"/>
        <w:jc w:val="left"/>
        <w:rPr>
          <w:rFonts w:ascii="Times New Roman" w:hAnsi="Times New Roman"/>
          <w:b/>
          <w:sz w:val="20"/>
        </w:rPr>
      </w:pPr>
      <w:bookmarkStart w:id="119" w:name="toc770053_123"/>
      <w:bookmarkEnd w:id="119"/>
      <w:r>
        <w:rPr>
          <w:rFonts w:ascii="Times New Roman" w:hAnsi="Times New Roman"/>
          <w:b/>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While there have been some HSC gene therapies that have obtained coverage and reimbursement, significant uncertainty exists as to the coverage and reimbursement status of any gene therapies for which AVROBIO obtains regulatory approval. In the United States and markets in other countries, sales of any gene therapies for which AVROBIO receives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A decision by a third-party payor not to cover AVROBIO’s gene therapies could reduce physician utilization of AVROBIO’s products once approved and have a material adverse effect on AVROBIO’s sales, results of operations and financial condition. Moreover, a payor’s decision to provide coverage for a product does not imply that an adequate reimbursement rate will be approved. Adequate third-party reimbursement may not be available to enable AVROBIO to maintain price levels sufficient to realize an appropriate return on AVROBIO’s investment in product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w:t>
      </w:r>
    </w:p>
    <w:p>
      <w:pPr>
        <w:pStyle w:val="TextBody"/>
        <w:bidi w:val="0"/>
        <w:spacing w:before="240" w:after="0"/>
        <w:jc w:val="left"/>
        <w:rPr>
          <w:rFonts w:ascii="Times New Roman" w:hAnsi="Times New Roman"/>
          <w:sz w:val="20"/>
        </w:rPr>
      </w:pPr>
      <w:r>
        <w:rPr>
          <w:rFonts w:ascii="Times New Roman" w:hAnsi="Times New Roman"/>
          <w:sz w:val="20"/>
        </w:rPr>
        <w:t xml:space="preserve">As a result, should AVROBIO resume development of its product candidates, the coverage determination process will require AVROBIO to provide scientific and clinical support for the use of AVROBIO’s products to each payor separately and will be a time-consuming process. In addition, many pharmaceutical manufacturers must calculate and report certain price reporting metrics to the government, such as average sales price, or ASP, and best price. Penalties may apply in some cases when such metrics are not submitted accurately and timely.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 and examining the medical necessity and cost-effectiveness of medical products and services, in addition to their safety and efficacy. In order to obtain and maintain coverage and reimbursement for any product, AVROBIO may need to conduct expensive clinical trials in order to demonstrate the medical necessity and cost-effectiveness of such product, in addition to the costs required to obtain regulatory approvals. If third-party payors do not consider a product to be cost-effective compared to other available therapies, they may not cover the product as a benefit under their plans or, if they do, the level of payment may not be sufficient to allow a company to sell its products at a profit. 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 </w:t>
      </w:r>
    </w:p>
    <w:p>
      <w:pPr>
        <w:pStyle w:val="TextBody"/>
        <w:bidi w:val="0"/>
        <w:spacing w:before="360" w:after="0"/>
        <w:jc w:val="left"/>
        <w:rPr>
          <w:rFonts w:ascii="Times New Roman" w:hAnsi="Times New Roman"/>
          <w:b/>
          <w:sz w:val="20"/>
        </w:rPr>
      </w:pPr>
      <w:bookmarkStart w:id="120" w:name="toc770053_124"/>
      <w:bookmarkEnd w:id="120"/>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15, 2024, AVROBIO had 13 full-time employees, two of whom have Ph.D. or M.D. degrees. Of these full-time employees, two employees are engaged in research and development activities and 11 employees are engaged in finance, legal, human resources, facilities and general management. AVROBIO has no collective bargaining agreements with AVROBIO’s employees and AVROBIO has not experienced any work stoppages. AVROBIO considers its relationship with its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AVROBIO’s human capital resources objectives have included, as applicable, retaining and incentivizing its existing employees. The principal purposes of AVROBIO’s incentive plans and retention awards have been to retain, incentivize and motivate selected employees through the granting of stock- and cash-based awards, as well as through severance benefits. </w:t>
      </w:r>
    </w:p>
    <w:p>
      <w:pPr>
        <w:pStyle w:val="TextBody"/>
        <w:bidi w:val="0"/>
        <w:spacing w:before="360" w:after="0"/>
        <w:jc w:val="left"/>
        <w:rPr>
          <w:rFonts w:ascii="Times New Roman" w:hAnsi="Times New Roman"/>
          <w:b/>
          <w:sz w:val="20"/>
        </w:rPr>
      </w:pPr>
      <w:bookmarkStart w:id="121" w:name="toc770053_125"/>
      <w:bookmarkEnd w:id="121"/>
      <w:r>
        <w:rPr>
          <w:rFonts w:ascii="Times New Roman" w:hAnsi="Times New Roman"/>
          <w:b/>
          <w:sz w:val="20"/>
        </w:rPr>
        <w:t xml:space="preserve">AVROBIO’s 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AVROBIO was incorporated under the laws of the State of Delaware in November 2015 under the name AvroBio, Inc. AVROBIO’s corporate name was changed to AVROBIO, Inc. in June 2017. AVROBIO completed its IPO in June 2018. </w:t>
      </w:r>
    </w:p>
    <w:p>
      <w:pPr>
        <w:pStyle w:val="TextBody"/>
        <w:bidi w:val="0"/>
        <w:spacing w:before="240" w:after="0"/>
        <w:jc w:val="left"/>
        <w:rPr>
          <w:rFonts w:ascii="Times New Roman" w:hAnsi="Times New Roman"/>
          <w:sz w:val="20"/>
        </w:rPr>
      </w:pPr>
      <w:r>
        <w:rPr>
          <w:rFonts w:ascii="Times New Roman" w:hAnsi="Times New Roman"/>
          <w:sz w:val="20"/>
        </w:rPr>
        <w:t xml:space="preserve">AVROBIO is a “smaller reporting company” as defined in the Exchange Act. AVROBIO may continue to take advantage of certain of the scaled disclosures available to smaller reporting companies until the fiscal year following the determination that its voting and non-voting common stock held by non-affiliates is more than $250 million measured on the last business day of its second fiscal quarter, or its annual revenues are more than $100 million during the most recently completed fiscal year and its voting and non-voting common stock held by non-affiliates is more than $700 million measured on the last business day of its second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AVROBIO’s principal executive offices are located at 100 Technology Square, 6th Floor, Cambridge, Massachusetts 02139, and its telephone number is (617) 914-8420. AVROBIO’s website address is </w:t>
      </w:r>
      <w:r>
        <w:rPr>
          <w:rFonts w:ascii="Times New Roman" w:hAnsi="Times New Roman"/>
          <w:i/>
          <w:sz w:val="20"/>
        </w:rPr>
        <w:t>www.avrobio.com</w:t>
      </w:r>
      <w:r>
        <w:rPr>
          <w:rFonts w:ascii="Times New Roman" w:hAnsi="Times New Roman"/>
          <w:sz w:val="20"/>
        </w:rPr>
        <w:t xml:space="preserve">. AVROBIO’s website and the information contained on, or that can be accessed through, the website will not be deemed to be incorporated by reference in, and are not considered part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22" w:name="toc770053_126"/>
      <w:bookmarkEnd w:id="122"/>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AVROBIO’s Internet address is </w:t>
      </w:r>
      <w:r>
        <w:rPr>
          <w:rFonts w:ascii="Times New Roman" w:hAnsi="Times New Roman"/>
          <w:i/>
          <w:sz w:val="20"/>
        </w:rPr>
        <w:t>www.avrobio.com</w:t>
      </w:r>
      <w:r>
        <w:rPr>
          <w:rFonts w:ascii="Times New Roman" w:hAnsi="Times New Roman"/>
          <w:sz w:val="20"/>
        </w:rPr>
        <w:t xml:space="preserve">. AVROBIO’s Annual Reports on Form 10-K, Quarterly Reports on Form 10-Q, Current Reports on Form 8-K, including exhibits, proxy and information statements and amendments to those reports filed or furnished pursuant to Sections 13(a) and 15(d) of the Exchange Act are available through the “Investors” portion of its website free of charge as soon as reasonably practicable after AVROBIO electronically files such material with, or furnishes it to, the SEC. Information on its website is not part of this proxy statement/prospectus or any of its other securities filings unless specifically incorporated herein by reference. In addition, its filings with the SEC may be accessed through the SEC’s Electronic Data Gathering, Analysis and Retrieval system at </w:t>
      </w:r>
      <w:r>
        <w:rPr>
          <w:rFonts w:ascii="Times New Roman" w:hAnsi="Times New Roman"/>
          <w:i/>
          <w:sz w:val="20"/>
        </w:rPr>
        <w:t>www.sec.gov</w:t>
      </w:r>
      <w:r>
        <w:rPr>
          <w:rFonts w:ascii="Times New Roman" w:hAnsi="Times New Roman"/>
          <w:sz w:val="20"/>
        </w:rPr>
        <w:t xml:space="preserve">. All statements made in any of its securities filings, including all forward-looking statements or information, are made as of the date of the document in which the statement is included, and AVROBIO does not assume or undertake any obligation to update any of those statements or documents unless it is required to do so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3" w:name="toc770053_127"/>
      <w:bookmarkEnd w:id="123"/>
      <w:r>
        <w:rPr>
          <w:rFonts w:ascii="Times New Roman" w:hAnsi="Times New Roman"/>
          <w:b/>
          <w:sz w:val="20"/>
        </w:rPr>
        <w:t xml:space="preserve">TECTONIC’S BUSINESS </w:t>
      </w:r>
    </w:p>
    <w:p>
      <w:pPr>
        <w:pStyle w:val="TextBody"/>
        <w:bidi w:val="0"/>
        <w:spacing w:before="240" w:after="0"/>
        <w:jc w:val="left"/>
        <w:rPr>
          <w:rFonts w:ascii="Times New Roman" w:hAnsi="Times New Roman"/>
          <w:b/>
          <w:sz w:val="20"/>
        </w:rPr>
      </w:pPr>
      <w:bookmarkStart w:id="124" w:name="toc770053_128"/>
      <w:bookmarkEnd w:id="124"/>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To unlock the potential for biologic therapeutics to broaden the clinical utility of GPCRs, Tectonic uses its proprietary GEODe™ technology platform in an attempt to overcome the known challenges of GPCR-targeted drug discovery. The initial platform components, first generation yeast library design and initial yeast selection protocols, were developed in Andrew Kruse’s lab at Harvard Medical School. However, over the last few years the Tectonic team has made many improvements and modifications to all aspect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 platform includes components aimed at optimizing the expression, purification, and stabilization of GPCRs and pairs these advances with Tectonic’s protein engineering and structural biology capabilities. While the current libraries, receptor engineering and selection strategies are producing GPCR-targeted antibodies, the Tectonic team continues to evolve and modify aspects of the platform, which the Tectonic team believes will lead to even better results. </w:t>
      </w:r>
    </w:p>
    <w:p>
      <w:pPr>
        <w:pStyle w:val="TextBody"/>
        <w:bidi w:val="0"/>
        <w:spacing w:before="240" w:after="0"/>
        <w:jc w:val="left"/>
        <w:rPr>
          <w:rFonts w:ascii="Times New Roman" w:hAnsi="Times New Roman"/>
          <w:sz w:val="20"/>
        </w:rPr>
      </w:pPr>
      <w:r>
        <w:rPr>
          <w:rFonts w:ascii="Times New Roman" w:hAnsi="Times New Roman"/>
          <w:sz w:val="20"/>
        </w:rPr>
        <w:t xml:space="preserve">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Tectonic believes TX45’s pharmacological profile, the direct result of applying Tectonic’s protein engineering capabilities, has the potential to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 HFpEF hereafter, as the initial disease setting. Tectonic hypothesizes that in this setting, treatment with relaxin could improve hemodynamics though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the platform may never result in the regulatory approval of a product candidate. See “</w:t>
      </w:r>
      <w:r>
        <w:rPr>
          <w:rFonts w:ascii="Times New Roman" w:hAnsi="Times New Roman"/>
          <w:i/>
          <w:sz w:val="20"/>
        </w:rPr>
        <w:t>Risk Factors – Risks Related to Tectonic – Risks Related to the Discovery, Development and Regulatory Approval of Tectonic’s Product Candidates – Tectonic has limited experience in therapeutic discovery and development and its GEODe™ platform may never result in the regulatory approval of a product candidate.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Group 2 PH is a subtype of PH which develops secondary to left heart disease (“LHD”). This is a common, chronic, life-threatening condition of complex diseases causes, or etiology, for which there are presently no FDA-approved medications. Group 2 PH / HFpEF is characterized by declining cardiac function, fibrotic tissue remodeling, in the heart, and in some patients, in the pulmonary vasculature as well. Tectonic has elected to prioritize development of TX45 in Group 2 PH / HFpEF because of the high unmet medical need in this population and the specific physiological actions of relaxin described above that suggest that it could address the key pathophysiology of the disease which involves both impairment of left ventricular function and high resistance in the pulmonary vasculature. There are no FDA approved therapies in Group 2 PH. Further, prior clinical data in patients with acute and chronic heart failure treated with a continuous infusion of a short half-life relaxin is supportive of the potential utility of relaxin administration in these patients. Clinical trials are planned to evaluate the hypothesis that relaxin could provide efficacy in patients with Group 2 PH/HFpEF. Beyond Group 2 PH / HFpEF, Tectonic believes there are additional areas where TX45 could potentially provide benefit to patients with diseases that result in the chronic deterioration of cardiac, lung and/or kidney function due to vascoconstriction and fibrotic remodeling.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18, 2024, all subjects within the first three cohorts of the single ascending dose portion of Tectonic’s Phase 1 clinical trial have been dosed with TX45. To date, TX45 has been generally well tolerated. Modeling of data available as of mid-January 2024 from these cohorts suggests that a single 1-2 mL injection of TX45 given once monthly (corresponding to a 150 mg and/or 300 mg dose) could be the target dose regimen. Decisions on dose and dosing frequency for the Phase 2 study will be based on a more complete dataset which will be available in mid-2024. </w:t>
      </w:r>
    </w:p>
    <w:p>
      <w:pPr>
        <w:pStyle w:val="TextBody"/>
        <w:bidi w:val="0"/>
        <w:spacing w:before="240" w:after="0"/>
        <w:jc w:val="left"/>
        <w:rPr>
          <w:rFonts w:ascii="Times New Roman" w:hAnsi="Times New Roman"/>
          <w:sz w:val="20"/>
        </w:rPr>
      </w:pPr>
      <w:r>
        <w:rPr>
          <w:rFonts w:ascii="Times New Roman" w:hAnsi="Times New Roman"/>
          <w:sz w:val="20"/>
        </w:rPr>
        <w:t xml:space="preserve">Tectonic’s second program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w:t>
      </w:r>
    </w:p>
    <w:p>
      <w:pPr>
        <w:pStyle w:val="TextBody"/>
        <w:bidi w:val="0"/>
        <w:spacing w:before="240" w:after="0"/>
        <w:jc w:val="left"/>
        <w:rPr>
          <w:rFonts w:ascii="Times New Roman" w:hAnsi="Times New Roman"/>
          <w:sz w:val="20"/>
        </w:rPr>
      </w:pPr>
      <w:r>
        <w:rPr>
          <w:rFonts w:ascii="Times New Roman" w:hAnsi="Times New Roman"/>
          <w:sz w:val="20"/>
        </w:rPr>
        <w:t xml:space="preserve">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target GPCR for Tectonic’s HHT program is a receptor for an angiogenic factor known to be upregulated in animal models of HHT. By blocking the signaling of this receptor, Tectonic anticipates it could decrease bleeding resulting from the abnormal angiogenesis seen in HHT. </w:t>
      </w:r>
    </w:p>
    <w:p>
      <w:pPr>
        <w:pStyle w:val="TextBody"/>
        <w:bidi w:val="0"/>
        <w:spacing w:before="240" w:after="0"/>
        <w:jc w:val="left"/>
        <w:rPr>
          <w:rFonts w:ascii="Times New Roman" w:hAnsi="Times New Roman"/>
          <w:sz w:val="20"/>
        </w:rPr>
      </w:pPr>
      <w:r>
        <w:rPr>
          <w:rFonts w:ascii="Times New Roman" w:hAnsi="Times New Roman"/>
          <w:sz w:val="20"/>
        </w:rPr>
        <w:t xml:space="preserve">Tectonic’s third program is aimed at the discovery and development of potential therapies for fibrotic diseases and employs a bi-specific format for the construction of a molecule with a differentiated mechanism of action. The strategy leverages two targets, one with previous human proof of concept and one novel target.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targets are expressed on overlapping cell types with complementary and nonoverlapping modes of action that when inhibited simultaneously could enhance the therapeutic potential over inhibition of either target on its own. </w:t>
      </w:r>
    </w:p>
    <w:p>
      <w:pPr>
        <w:pStyle w:val="TextBody"/>
        <w:bidi w:val="0"/>
        <w:spacing w:before="240" w:after="0"/>
        <w:jc w:val="left"/>
        <w:rPr>
          <w:rFonts w:ascii="Times New Roman" w:hAnsi="Times New Roman"/>
          <w:sz w:val="20"/>
        </w:rPr>
      </w:pPr>
      <w:r>
        <w:rPr>
          <w:rFonts w:ascii="Times New Roman" w:hAnsi="Times New Roman"/>
          <w:sz w:val="20"/>
        </w:rPr>
        <w:t xml:space="preserve">Tectonic has strategically prioritized the selection of development indications for product candidates in its pipeline that it believes will offer an efficient path to Phase 2 clinical proof of concept, with outcomes measurable with 50-200 patients per indication, and which require treatment over a period of three -six months. Over the next three years, Tectonic anticipates that several significant milestones could be achieved for its lead asset TX45, including, completion of the ongoing Phase 1a dose escalation trial in mid-2024, proof of concept hemodynamic data in patients with Group 2 PH/HFpEF in 2025, and data from a randomized trial in patients with Group 2 PH/HFpEF in 2026. During this time, a development candidate from Tectonic’s HHT program may also advance into clinical studies in the fourth quarter of 2025 or the first quarter of 2026 and could progress into efficacy studies in patients in late 2026 or early 2027. </w:t>
      </w:r>
    </w:p>
    <w:p>
      <w:pPr>
        <w:pStyle w:val="TextBody"/>
        <w:bidi w:val="0"/>
        <w:spacing w:before="240" w:after="0"/>
        <w:jc w:val="left"/>
        <w:rPr>
          <w:rFonts w:ascii="Times New Roman" w:hAnsi="Times New Roman"/>
          <w:sz w:val="20"/>
        </w:rPr>
      </w:pPr>
      <w:r>
        <w:rPr>
          <w:rFonts w:ascii="Times New Roman" w:hAnsi="Times New Roman"/>
          <w:sz w:val="20"/>
        </w:rPr>
        <w:t xml:space="preserve">Tectonic’s GEODeTM platform has been optimized over the last three years and is in the early stages of being used to discover biologic drugs targeting GPCRs. Tectonic plans to deploy its GEODeTM platform to generate additional pipeline assets by identifying and optimizing new GPCR targeted biologics that have the potential to address areas of substantial unmet need. </w:t>
      </w:r>
    </w:p>
    <w:p>
      <w:pPr>
        <w:pStyle w:val="TextBody"/>
        <w:bidi w:val="0"/>
        <w:spacing w:before="360" w:after="0"/>
        <w:jc w:val="left"/>
        <w:rPr>
          <w:rFonts w:ascii="Times New Roman" w:hAnsi="Times New Roman"/>
          <w:b/>
          <w:sz w:val="20"/>
        </w:rPr>
      </w:pPr>
      <w:bookmarkStart w:id="125" w:name="toc770053_129"/>
      <w:bookmarkEnd w:id="125"/>
      <w:r>
        <w:rPr>
          <w:rFonts w:ascii="Times New Roman" w:hAnsi="Times New Roman"/>
          <w:b/>
          <w:sz w:val="20"/>
        </w:rPr>
        <w:t xml:space="preserve">Tectonic’s Founders and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was co-founded in June 2019 by Timothy A. Springer, Latham Family Professor, Harvard Medical School and Professor of Medicine, Children’s Hospital Boston, and Andrew Kruse, Professor of Biological Chemistry and Molecular Pharmacology, Harvard Medical School. These individuals are world-renowned scientists in their respective fields. Professor Springer has also been a founder of and/or founding investor in several successful biotechnology companies including LeukoSite, Moderna, Seismic Therapeutic, Morphic Therapeutic and Scholar Rock and remains highly active in the biotechnology sector. </w:t>
      </w:r>
    </w:p>
    <w:p>
      <w:pPr>
        <w:pStyle w:val="TextBody"/>
        <w:bidi w:val="0"/>
        <w:spacing w:before="240" w:after="0"/>
        <w:jc w:val="left"/>
        <w:rPr>
          <w:rFonts w:ascii="Times New Roman" w:hAnsi="Times New Roman"/>
          <w:sz w:val="20"/>
        </w:rPr>
      </w:pPr>
      <w:r>
        <w:rPr>
          <w:rFonts w:ascii="Times New Roman" w:hAnsi="Times New Roman"/>
          <w:sz w:val="20"/>
        </w:rPr>
        <w:t xml:space="preserve">Tectonic has assembled a highly qualified management team with broad experience in corporate strategy, drug discovery, clinical development, business development and finance to execute on its mission to develop GPCR-targeted biologic medicines. They are industry veterans who have worked at many of the largest, global Pharmaceutical Companies. The Tectonic management team and its scientific co-founders have played key roles in drug discovery or development programs that have resulted in over 20 initial drug approvals, including Keytruda® and Dupixent®. Other drugs that the founders and management team have played key roles in the discovery or development of include: Abecma®, Amevive®, Arcoxia®, Bavencio®, Braftovi®, Breyanzi®, Campath®, Camzyos®, Claritin®, Emend®, Entresto®, Entyvio®, Grastek®, Inrebic®, Mavenclad®, Mayzent®, Nasonex®, Odomzo®, Praluent®, Raptiva®, Reblozyl®, Remicade®, Simponi®, Singulair®, Tepmetko®, Velcade®, Zeposia®, and Zykadia®. </w:t>
      </w:r>
    </w:p>
    <w:p>
      <w:pPr>
        <w:pStyle w:val="TextBody"/>
        <w:bidi w:val="0"/>
        <w:spacing w:before="360" w:after="0"/>
        <w:jc w:val="left"/>
        <w:rPr>
          <w:rFonts w:ascii="Times New Roman" w:hAnsi="Times New Roman"/>
          <w:b/>
          <w:sz w:val="20"/>
        </w:rPr>
      </w:pPr>
      <w:bookmarkStart w:id="126" w:name="toc770053_130"/>
      <w:bookmarkEnd w:id="126"/>
      <w:r>
        <w:rPr>
          <w:rFonts w:ascii="Times New Roman" w:hAnsi="Times New Roman"/>
          <w:b/>
          <w:sz w:val="20"/>
        </w:rPr>
        <w:t xml:space="preserve">Background on GPCRs </w:t>
      </w:r>
    </w:p>
    <w:p>
      <w:pPr>
        <w:pStyle w:val="TextBody"/>
        <w:bidi w:val="0"/>
        <w:spacing w:before="120" w:after="0"/>
        <w:jc w:val="left"/>
        <w:rPr>
          <w:rFonts w:ascii="Times New Roman" w:hAnsi="Times New Roman"/>
          <w:sz w:val="20"/>
        </w:rPr>
      </w:pPr>
      <w:r>
        <w:rPr>
          <w:rFonts w:ascii="Times New Roman" w:hAnsi="Times New Roman"/>
          <w:sz w:val="20"/>
        </w:rPr>
        <w:t xml:space="preserve">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structure of the RXFP1 GPCR activated by relaxin (also called relaxin-2) is shown below (</w:t>
      </w:r>
      <w:r>
        <w:rPr>
          <w:rFonts w:ascii="Times New Roman" w:hAnsi="Times New Roman"/>
          <w:b/>
          <w:sz w:val="20"/>
        </w:rPr>
        <w:t>Figure 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5170" cy="10750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95170" cy="10750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1 – Model of RXFP1 activation by Relaxin-2 </w:t>
      </w:r>
    </w:p>
    <w:p>
      <w:pPr>
        <w:pStyle w:val="TextBody"/>
        <w:bidi w:val="0"/>
        <w:spacing w:before="120" w:after="0"/>
        <w:jc w:val="left"/>
        <w:rPr>
          <w:rFonts w:ascii="Times New Roman" w:hAnsi="Times New Roman"/>
          <w:b/>
          <w:sz w:val="20"/>
        </w:rPr>
      </w:pPr>
      <w:bookmarkStart w:id="127" w:name="toc770053_131"/>
      <w:bookmarkEnd w:id="127"/>
      <w:r>
        <w:rPr>
          <w:rFonts w:ascii="Times New Roman" w:hAnsi="Times New Roman"/>
          <w:b/>
          <w:sz w:val="20"/>
        </w:rPr>
        <w:t xml:space="preserve">Background on Relaxin / RXFP1 Biology </w:t>
      </w:r>
    </w:p>
    <w:p>
      <w:pPr>
        <w:pStyle w:val="TextBody"/>
        <w:bidi w:val="0"/>
        <w:spacing w:before="120" w:after="0"/>
        <w:jc w:val="left"/>
        <w:rPr>
          <w:rFonts w:ascii="Times New Roman" w:hAnsi="Times New Roman"/>
          <w:sz w:val="20"/>
        </w:rPr>
      </w:pPr>
      <w:r>
        <w:rPr>
          <w:rFonts w:ascii="Times New Roman" w:hAnsi="Times New Roman"/>
          <w:sz w:val="20"/>
        </w:rPr>
        <w:t xml:space="preserve">Relaxin is a naturally occurring peptide hormone that was first identified in 1926 in the setting of pregnancy where it is upregulated to allow for hemodynamic adaptation and increased cardiac output in response to the increased demands to the developing fetus and to allow for loosening of the pelvic ligaments prior to delivery. Relaxin is a member of the insulin superfamily of peptide hormones, and it consists of two peptide chains linked by disulfide bonds. A representation of its structure is shown in Figure 2. Notably, activation of the RXFP1 receptor by relaxin does not result in internalization of the receptor, as is observed with many other GPCRs, which suggests there would be no receptor desensitization with chronic therapy using a relaxin-based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32815" cy="7721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32815" cy="77216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2 – Ribbon Diagram Representation of Relaxin-2 </w:t>
      </w:r>
    </w:p>
    <w:p>
      <w:pPr>
        <w:pStyle w:val="TextBody"/>
        <w:bidi w:val="0"/>
        <w:spacing w:before="120" w:after="0"/>
        <w:jc w:val="left"/>
        <w:rPr>
          <w:rFonts w:ascii="Times New Roman" w:hAnsi="Times New Roman"/>
          <w:sz w:val="20"/>
        </w:rPr>
      </w:pPr>
      <w:r>
        <w:rPr>
          <w:rFonts w:ascii="Times New Roman" w:hAnsi="Times New Roman"/>
          <w:sz w:val="20"/>
        </w:rPr>
        <w:t xml:space="preserve">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has necessitated continuous intravenous or subcutaneous administration to establish and maintain target therapeutic levels of the compound in circulation. </w:t>
      </w:r>
    </w:p>
    <w:p>
      <w:pPr>
        <w:pStyle w:val="TextBody"/>
        <w:bidi w:val="0"/>
        <w:spacing w:before="240" w:after="0"/>
        <w:jc w:val="left"/>
        <w:rPr>
          <w:rFonts w:ascii="Times New Roman" w:hAnsi="Times New Roman"/>
          <w:sz w:val="20"/>
        </w:rPr>
      </w:pPr>
      <w:r>
        <w:rPr>
          <w:rFonts w:ascii="Times New Roman" w:hAnsi="Times New Roman"/>
          <w:sz w:val="20"/>
        </w:rPr>
        <w:t xml:space="preserve">Previous efforts to develop recombinant native human relaxin (serelaxin) to treat acute heart failure (AHF) have shown many signs of clinical benefit. For example, a meta-analysis published by Teerlink et al. in the European Journal of Heart Failure in 2019 assessed the results of six randomized, double-blind, placebo-controlled studies with greater than 11,000 patients enrolled to evaluate serelaxin in AHF. This analysis showed a highly statistically significant benefit in five-day worsening of heart failure and improved renal function (Table 1). Despite these intriguing signals, no relaxin-based therapeutic has been approved by the FDA. One of two pivotal studies, RELAX-AHF2, included a co-primary six-month cardiovascular mortality endpoint and failed. The Company believes it was ambitious to expect that a two-day infusion of the compound, with its short half-life and mechanism of action, would demonstrate clinical benefit at day 5, let alone six months after the infusion as required for the six-month cardiovascular mortality endpoint. Tectonic believes these attempts have fallen short due to the short half-life of relaxin precluding its development in chronic settings where the full benefit of its impact on both vasodilation and fibrosis can be felt over longer time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920" w:type="dxa"/>
        <w:jc w:val="left"/>
        <w:tblInd w:w="0" w:type="dxa"/>
        <w:tblLayout w:type="fixed"/>
        <w:tblCellMar>
          <w:top w:w="0" w:type="dxa"/>
          <w:left w:w="0" w:type="dxa"/>
          <w:bottom w:w="0" w:type="dxa"/>
          <w:right w:w="0" w:type="dxa"/>
        </w:tblCellMar>
      </w:tblPr>
      <w:tblGrid>
        <w:gridCol w:w="1610"/>
        <w:gridCol w:w="120"/>
        <w:gridCol w:w="2840"/>
        <w:gridCol w:w="120"/>
        <w:gridCol w:w="905"/>
        <w:gridCol w:w="120"/>
        <w:gridCol w:w="120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Relative Risk [95% CI]</w:t>
            </w:r>
          </w:p>
        </w:tc>
        <w:tc>
          <w:tcPr>
            <w:tcW w:w="12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b/>
              </w:rPr>
            </w:pPr>
            <w:r>
              <w:rPr>
                <w:b/>
              </w:rPr>
              <w:t>N (drug)</w:t>
            </w:r>
          </w:p>
        </w:tc>
        <w:tc>
          <w:tcPr>
            <w:tcW w:w="12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N (placebo)</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Pre-RELAX AHF</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t>0.56 [0.22 – 1.45]</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42</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61</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RELAX-AHF</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0.54 [0.37 – 0.78]</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581</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580</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RELAX-AHF-2</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t>0.90 [0.76 – 1.07]</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3274</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3271</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RELAX-AHF-EU</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0.71 [0.52 – 0.98]</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1756</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894</w:t>
            </w:r>
          </w:p>
        </w:tc>
      </w:tr>
      <w:tr>
        <w:trPr/>
        <w:tc>
          <w:tcPr>
            <w:tcW w:w="1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RELAX-AHF-ASIA</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t>0.42 [0.21 – 0.84]</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437</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433</w:t>
            </w:r>
          </w:p>
        </w:tc>
      </w:tr>
      <w:tr>
        <w:trPr/>
        <w:tc>
          <w:tcPr>
            <w:tcW w:w="1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RELAX Japan</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0.33 [0.04 – 2.85]</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15</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15</w:t>
            </w:r>
          </w:p>
        </w:tc>
      </w:tr>
      <w:tr>
        <w:trPr/>
        <w:tc>
          <w:tcPr>
            <w:tcW w:w="16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Meta-Analysis</w:t>
            </w:r>
          </w:p>
        </w:tc>
        <w:tc>
          <w:tcPr>
            <w:tcW w:w="120" w:type="dxa"/>
            <w:tcBorders/>
            <w:shd w:fill="CCEEFF" w:val="clear"/>
            <w:vAlign w:val="center"/>
          </w:tcPr>
          <w:p>
            <w:pPr>
              <w:pStyle w:val="TableContents"/>
              <w:bidi w:val="0"/>
              <w:spacing w:before="0" w:after="283"/>
              <w:jc w:val="left"/>
              <w:rPr/>
            </w:pPr>
            <w:r>
              <w:rPr/>
              <w:t>  </w:t>
            </w:r>
          </w:p>
        </w:tc>
        <w:tc>
          <w:tcPr>
            <w:tcW w:w="2840" w:type="dxa"/>
            <w:tcBorders/>
            <w:shd w:fill="CCEEFF" w:val="clear"/>
            <w:vAlign w:val="center"/>
          </w:tcPr>
          <w:p>
            <w:pPr>
              <w:pStyle w:val="TableContents"/>
              <w:bidi w:val="0"/>
              <w:spacing w:before="0" w:after="283"/>
              <w:jc w:val="center"/>
              <w:rPr/>
            </w:pPr>
            <w:r>
              <w:rPr>
                <w:b/>
              </w:rPr>
              <w:t>0.77 [0.67 – 0.89]</w:t>
            </w:r>
            <w:r>
              <w:rPr/>
              <w:t xml:space="preserve"> </w:t>
            </w:r>
            <w:r>
              <w:rPr>
                <w:b/>
              </w:rPr>
              <w:t>p = 0.0002</w:t>
            </w:r>
          </w:p>
        </w:tc>
        <w:tc>
          <w:tcPr>
            <w:tcW w:w="12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6090*</w:t>
            </w:r>
          </w:p>
        </w:tc>
        <w:tc>
          <w:tcPr>
            <w:tcW w:w="12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5239</w:t>
            </w:r>
          </w:p>
        </w:tc>
      </w:tr>
    </w:tbl>
    <w:p>
      <w:pPr>
        <w:pStyle w:val="TextBody"/>
        <w:bidi w:val="0"/>
        <w:spacing w:before="360" w:after="0"/>
        <w:jc w:val="left"/>
        <w:rPr>
          <w:rFonts w:ascii="Times New Roman" w:hAnsi="Times New Roman"/>
          <w:sz w:val="20"/>
        </w:rPr>
      </w:pPr>
      <w:r>
        <w:rPr>
          <w:rFonts w:ascii="Times New Roman" w:hAnsi="Times New Roman"/>
          <w:b/>
          <w:sz w:val="20"/>
        </w:rPr>
        <w:t xml:space="preserve">Table 1 – Effects of serelaxin on worsening heart failure (WHF) – fixed-effect (FE) meta-analysis; serelaxin 30 </w:t>
      </w:r>
      <w:r>
        <w:rPr>
          <w:rFonts w:ascii="SYMBOL" w:hAnsi="SYMBOL"/>
          <w:sz w:val="20"/>
        </w:rPr>
        <w:t>m</w:t>
      </w:r>
      <w:r>
        <w:rPr>
          <w:rFonts w:ascii="Times New Roman" w:hAnsi="Times New Roman"/>
          <w:b/>
          <w:sz w:val="20"/>
        </w:rPr>
        <w:t xml:space="preserve">g/kg/day vs. placebo; CI, confidence interval </w:t>
      </w:r>
    </w:p>
    <w:p>
      <w:pPr>
        <w:pStyle w:val="TextBody"/>
        <w:bidi w:val="0"/>
        <w:spacing w:before="120" w:after="0"/>
        <w:jc w:val="left"/>
        <w:rPr>
          <w:rFonts w:ascii="Times New Roman" w:hAnsi="Times New Roman"/>
          <w:sz w:val="20"/>
        </w:rPr>
      </w:pPr>
      <w:r>
        <w:rPr>
          <w:rFonts w:ascii="Times New Roman" w:hAnsi="Times New Roman"/>
          <w:sz w:val="20"/>
        </w:rPr>
        <w:t xml:space="preserve">To address the pharmacological limitations of the native relaxin hormone and enable its development beyond AHF, Tectonic has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Tectonic has identified Group 2 PH / HFpEF as the initial indication. Tectonic believes that in this setting, treatment with relaxin could improve hemodynamics and result in beneficial remodeling in both the pulmonary vessels and the heart, making it potentially ideally suited for this indication. Clinical trials are needed to confirm this hypothesis. </w:t>
      </w:r>
    </w:p>
    <w:p>
      <w:pPr>
        <w:pStyle w:val="TextBody"/>
        <w:bidi w:val="0"/>
        <w:spacing w:before="360" w:after="0"/>
        <w:jc w:val="left"/>
        <w:rPr>
          <w:rFonts w:ascii="Times New Roman" w:hAnsi="Times New Roman"/>
          <w:b/>
          <w:sz w:val="20"/>
        </w:rPr>
      </w:pPr>
      <w:bookmarkStart w:id="128" w:name="toc770053_132"/>
      <w:bookmarkEnd w:id="128"/>
      <w:r>
        <w:rPr>
          <w:rFonts w:ascii="Times New Roman" w:hAnsi="Times New Roman"/>
          <w:b/>
          <w:sz w:val="20"/>
        </w:rPr>
        <w:t xml:space="preserve">Background on Group 2 PH </w:t>
      </w:r>
    </w:p>
    <w:p>
      <w:pPr>
        <w:pStyle w:val="TextBody"/>
        <w:bidi w:val="0"/>
        <w:spacing w:before="120" w:after="0"/>
        <w:jc w:val="left"/>
        <w:rPr>
          <w:rFonts w:ascii="Times New Roman" w:hAnsi="Times New Roman"/>
          <w:sz w:val="20"/>
        </w:rPr>
      </w:pPr>
      <w:r>
        <w:rPr>
          <w:rFonts w:ascii="Times New Roman" w:hAnsi="Times New Roman"/>
          <w:sz w:val="20"/>
        </w:rPr>
        <w:t xml:space="preserve">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 </w:t>
      </w:r>
    </w:p>
    <w:p>
      <w:pPr>
        <w:pStyle w:val="TextBody"/>
        <w:bidi w:val="0"/>
        <w:spacing w:before="240" w:after="0"/>
        <w:jc w:val="left"/>
        <w:rPr>
          <w:rFonts w:ascii="Times New Roman" w:hAnsi="Times New Roman"/>
          <w:sz w:val="20"/>
        </w:rPr>
      </w:pPr>
      <w:r>
        <w:rPr>
          <w:rFonts w:ascii="Times New Roman" w:hAnsi="Times New Roman"/>
          <w:sz w:val="20"/>
        </w:rPr>
        <w:t xml:space="preserve">The World Health Organization has specified 5 different groups of PH (Table 2).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Although several Group 1 PH medications have been explored in Group 2 PH, no medications have yet been approved by the FDA for its treatment. </w:t>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 xml:space="preserve">Table 2 – WHO Classification of Pulmonary Hypertension </w:t>
      </w:r>
    </w:p>
    <w:p>
      <w:pPr>
        <w:pStyle w:val="TextBody"/>
        <w:bidi w:val="0"/>
        <w:spacing w:before="120" w:after="0"/>
        <w:jc w:val="center"/>
        <w:rPr>
          <w:rFonts w:ascii="Times New Roman" w:hAnsi="Times New Roman"/>
          <w:sz w:val="20"/>
        </w:rPr>
      </w:pPr>
      <w:r>
        <w:rPr>
          <w:rFonts w:ascii="Times New Roman" w:hAnsi="Times New Roman"/>
          <w:sz w:val="20"/>
        </w:rPr>
        <w:t xml:space="preserve">Consists of 5 Distinct Diseases; Group 2 PH is of Greatest Interest for Fc-relaxin First Indication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6"/>
        <w:gridCol w:w="60"/>
        <w:gridCol w:w="1706"/>
        <w:gridCol w:w="60"/>
        <w:gridCol w:w="1940"/>
        <w:gridCol w:w="60"/>
        <w:gridCol w:w="2447"/>
        <w:gridCol w:w="60"/>
        <w:gridCol w:w="2046"/>
      </w:tblGrid>
      <w:tr>
        <w:trPr/>
        <w:tc>
          <w:tcPr>
            <w:tcW w:w="1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182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1(PAH)</w:t>
            </w:r>
          </w:p>
        </w:tc>
        <w:tc>
          <w:tcPr>
            <w:tcW w:w="60" w:type="dxa"/>
            <w:tcBorders/>
            <w:vAlign w:val="center"/>
          </w:tcPr>
          <w:p>
            <w:pPr>
              <w:pStyle w:val="TableContents"/>
              <w:bidi w:val="0"/>
              <w:spacing w:before="0" w:after="283"/>
              <w:jc w:val="left"/>
              <w:rPr/>
            </w:pPr>
            <w:r>
              <w:rPr/>
              <w:t> </w:t>
            </w:r>
          </w:p>
        </w:tc>
        <w:tc>
          <w:tcPr>
            <w:tcW w:w="170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2 (PH-LHD)</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3 (PH-LD)</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4 (CTEPH)</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Group 5 (Misc.)</w:t>
            </w:r>
          </w:p>
        </w:tc>
      </w:tr>
      <w:tr>
        <w:trPr/>
        <w:tc>
          <w:tcPr>
            <w:tcW w:w="1826" w:type="dxa"/>
            <w:tcBorders/>
            <w:vAlign w:val="center"/>
          </w:tcPr>
          <w:p>
            <w:pPr>
              <w:pStyle w:val="TableContents"/>
              <w:bidi w:val="0"/>
              <w:spacing w:before="0" w:after="0"/>
              <w:jc w:val="left"/>
              <w:rPr/>
            </w:pPr>
            <w:r>
              <w:rPr/>
              <w:t>•  </w:t>
            </w:r>
            <w:r>
              <w:rPr>
                <w:rFonts w:ascii="Times New Roman" w:hAnsi="Times New Roman"/>
                <w:sz w:val="20"/>
              </w:rPr>
              <w:t>Idiopathic</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Hereditary</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Connective tissue disease-associated</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Congenital heart disease-associated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Drug-induced</w:t>
            </w:r>
          </w:p>
        </w:tc>
        <w:tc>
          <w:tcPr>
            <w:tcW w:w="60" w:type="dxa"/>
            <w:tcBorders/>
            <w:vAlign w:val="center"/>
          </w:tcPr>
          <w:p>
            <w:pPr>
              <w:pStyle w:val="TableContents"/>
              <w:bidi w:val="0"/>
              <w:spacing w:before="0" w:after="283"/>
              <w:jc w:val="left"/>
              <w:rPr/>
            </w:pPr>
            <w:r>
              <w:rPr/>
              <w:t> </w:t>
            </w:r>
          </w:p>
        </w:tc>
        <w:tc>
          <w:tcPr>
            <w:tcW w:w="1706" w:type="dxa"/>
            <w:tcBorders/>
            <w:vAlign w:val="center"/>
          </w:tcPr>
          <w:p>
            <w:pPr>
              <w:pStyle w:val="TableContents"/>
              <w:bidi w:val="0"/>
              <w:spacing w:before="0" w:after="0"/>
              <w:jc w:val="left"/>
              <w:rPr/>
            </w:pPr>
            <w:r>
              <w:rPr/>
              <w:t>•  </w:t>
            </w:r>
            <w:r>
              <w:rPr>
                <w:rFonts w:ascii="Times New Roman" w:hAnsi="Times New Roman"/>
                <w:sz w:val="20"/>
              </w:rPr>
              <w:t>Due to left heart disease (HFpEF, HFrEF) or valvular heart disease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CAD, HTN, T2DM, high cholesterol are risk factors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Two Subtypes: CpcPH / IpcPH</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pPr>
            <w:r>
              <w:rPr/>
              <w:t>•  </w:t>
            </w:r>
            <w:r>
              <w:rPr>
                <w:rFonts w:ascii="Times New Roman" w:hAnsi="Times New Roman"/>
                <w:sz w:val="20"/>
              </w:rPr>
              <w:t>Due to lung disease or hypoxia</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May be due to COPD, interstitial lung disease (i.e., IPF) or obstructive sleep apnea</w:t>
            </w:r>
          </w:p>
        </w:tc>
        <w:tc>
          <w:tcPr>
            <w:tcW w:w="60"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0"/>
              <w:jc w:val="left"/>
              <w:rPr/>
            </w:pPr>
            <w:r>
              <w:rPr/>
              <w:t>•  </w:t>
            </w:r>
            <w:r>
              <w:rPr>
                <w:rFonts w:ascii="Times New Roman" w:hAnsi="Times New Roman"/>
                <w:sz w:val="20"/>
              </w:rPr>
              <w:t>Chronic thrombo-embolic pulmonary hypertension –i.e., as a consequence of blood clots</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jc w:val="left"/>
              <w:rPr/>
            </w:pPr>
            <w:r>
              <w:rPr/>
              <w:t>•  </w:t>
            </w:r>
            <w:r>
              <w:rPr>
                <w:rFonts w:ascii="Times New Roman" w:hAnsi="Times New Roman"/>
                <w:sz w:val="20"/>
              </w:rPr>
              <w:t>Miscellaneous group with causes unclear or multiple underlying factors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29" w:name="toc770053_133"/>
      <w:bookmarkEnd w:id="129"/>
      <w:r>
        <w:rPr>
          <w:rFonts w:ascii="Times New Roman" w:hAnsi="Times New Roman"/>
          <w:b/>
          <w:sz w:val="20"/>
        </w:rPr>
        <w:t xml:space="preserve">Group 2 PH Pathophysiology and Epidemiology </w:t>
      </w:r>
    </w:p>
    <w:p>
      <w:pPr>
        <w:pStyle w:val="TextBody"/>
        <w:bidi w:val="0"/>
        <w:spacing w:before="120" w:after="0"/>
        <w:jc w:val="left"/>
        <w:rPr>
          <w:rFonts w:ascii="Times New Roman" w:hAnsi="Times New Roman"/>
          <w:sz w:val="20"/>
        </w:rPr>
      </w:pPr>
      <w:r>
        <w:rPr>
          <w:rFonts w:ascii="Times New Roman" w:hAnsi="Times New Roman"/>
          <w:sz w:val="20"/>
        </w:rPr>
        <w:t xml:space="preserve">Group 2 PH is caused by left-sided heart disease, including heart failure with preserved ejection fraction (HFpEF), heart failure with reduced ejection fraction (HFrEF), and valvular heart disease (VHD). Group 2 PH itself consists of 2 disease subtypes, isolated post capillary PH (IpcPH) or combined pre- and post- capillary PH (CpcPH). </w:t>
      </w:r>
    </w:p>
    <w:p>
      <w:pPr>
        <w:pStyle w:val="TextBody"/>
        <w:bidi w:val="0"/>
        <w:spacing w:before="240" w:after="0"/>
        <w:jc w:val="left"/>
        <w:rPr>
          <w:rFonts w:ascii="Times New Roman" w:hAnsi="Times New Roman"/>
          <w:sz w:val="20"/>
        </w:rPr>
      </w:pPr>
      <w:r>
        <w:rPr>
          <w:rFonts w:ascii="Times New Roman" w:hAnsi="Times New Roman"/>
          <w:sz w:val="20"/>
        </w:rPr>
        <w:t xml:space="preserve">In patients with left-sided heart disease, the development of pulmonary hypertension is associated with a much worse prognosis. In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pressure during the relaxation phase. Pulmonary hypertension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pulmonary vascular resistance (PVR). When Group 2 PH results in both increased pulmonary artery pressures from the passive backflow of pressure from the left atrium along with 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Pulmonary hypertension places a great strain on the right ventricle which is unable to compensate for this increased workload. Eventually, pulmonary hypertension causes the right ventricle to dilate and fail, ultimately leading to death. </w:t>
      </w:r>
    </w:p>
    <w:p>
      <w:pPr>
        <w:pStyle w:val="TextBody"/>
        <w:bidi w:val="0"/>
        <w:spacing w:before="220" w:after="0"/>
        <w:jc w:val="left"/>
        <w:rPr>
          <w:rFonts w:ascii="Times New Roman" w:hAnsi="Times New Roman"/>
          <w:sz w:val="20"/>
        </w:rPr>
      </w:pPr>
      <w:r>
        <w:rPr>
          <w:rFonts w:ascii="Times New Roman" w:hAnsi="Times New Roman"/>
          <w:sz w:val="20"/>
        </w:rPr>
        <w:t xml:space="preserve">There are an estimated 6 million patients with heart failure in the United States, with HFpEF representing up to ~50%, of heart failure cases. Tectonic estimates the combined Group 2 PH population with HFpEF at more than 600,000 and the respective prevalences of IpcPH and CpcPH in the HFpEF population are believed to be approximately 20% and 4%. </w:t>
      </w:r>
    </w:p>
    <w:p>
      <w:pPr>
        <w:pStyle w:val="TextBody"/>
        <w:bidi w:val="0"/>
        <w:spacing w:before="320" w:after="0"/>
        <w:jc w:val="left"/>
        <w:rPr>
          <w:rFonts w:ascii="Times New Roman" w:hAnsi="Times New Roman"/>
          <w:b/>
          <w:sz w:val="20"/>
        </w:rPr>
      </w:pPr>
      <w:r>
        <w:rPr>
          <w:rFonts w:ascii="Times New Roman" w:hAnsi="Times New Roman"/>
          <w:b/>
          <w:sz w:val="20"/>
        </w:rPr>
        <w:t xml:space="preserve">Testing of Group 1 PH (PAH) Drugs as Treatments for Group 2 PH – Implications of PDE5i Results </w:t>
      </w:r>
    </w:p>
    <w:p>
      <w:pPr>
        <w:pStyle w:val="TextBody"/>
        <w:bidi w:val="0"/>
        <w:spacing w:before="120" w:after="0"/>
        <w:jc w:val="left"/>
        <w:rPr>
          <w:rFonts w:ascii="Times New Roman" w:hAnsi="Times New Roman"/>
          <w:sz w:val="20"/>
        </w:rPr>
      </w:pPr>
      <w:r>
        <w:rPr>
          <w:rFonts w:ascii="Times New Roman" w:hAnsi="Times New Roman"/>
          <w:sz w:val="20"/>
        </w:rPr>
        <w:t xml:space="preserve">Patients suffering from CpcPH typically face worse outcomes than those with IpcPH (23% survival at five years vs. 40%-50%, respectively). Optimal treatment of heart failure may improve isolated post-capillary pulmonary hypertension to some extent. However, because of the specific pulmonary vascular pathology in CpcPH, treatment of heart failure alone is often insufficient to have a meaningful impact on this form of the disease. PDE5 inhibitors which activate the nitric oxide (NO) pathway were evaluated in three separate studies in CpCPH patients with HFpEF. In those studies, PDE5 inhibitors demonstrated improvements in hemodynamics, exercise tolerance, and a reduction in hospitalizations for heart failure. These improvements were not seen in a study with the broader group of Group 2 PH/HFpEF patients which were mainly composed of patients with IpcPH. Despite these findings, PDE5 inhibitors are not FDA approved for use in Group2 PH. </w:t>
      </w:r>
    </w:p>
    <w:p>
      <w:pPr>
        <w:pStyle w:val="TextBody"/>
        <w:bidi w:val="0"/>
        <w:spacing w:before="220" w:after="0"/>
        <w:jc w:val="left"/>
        <w:rPr>
          <w:rFonts w:ascii="Times New Roman" w:hAnsi="Times New Roman"/>
          <w:sz w:val="20"/>
        </w:rPr>
      </w:pPr>
      <w:r>
        <w:rPr>
          <w:rFonts w:ascii="Times New Roman" w:hAnsi="Times New Roman"/>
          <w:sz w:val="20"/>
        </w:rPr>
        <w:t xml:space="preserve">Several of the drugs used to treat Pulmonary Arterial Hypertension (Group 1 PH) have failed to demonstrate benefits in Group 2 PH/HFpEF. Most of these agents act as vasodilators in the lung, thereby increasing blood flow to the left side of the heart. However, pulmonary vasodilators have limited effect on the systemic circulation, and therefore, do not increase the ability of the left side of the heart to pump blood. This could worsen heart failure without improving exercise function. In contrast, PDE5 inhibitors also have a small effect on cardiac output, which may explain why they have shown the improvement in hemodynamics, exercise tolerance and hospitalizations in CpcPH as noted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PDE5 inhibitors activate the nitric oxide pathway which results in its hemodynamic effects including pulmonary vasodilation. Relaxin’s hemodynamic effects are mediated both by inhibition of endothelan-1 as well as activation of the same nitric oxide signaling pathway by which PDE5 inhibitors exert their action. In addition, relaxin exerts anti-fibrotic and anti-inflammatory effects via the mechanisms shown in Figure 3. Therefore, although unproven at this time, based on its multimodal mechanism of action, Tectonic believes that TX45 has the potential to demonstrate statistically and clinically meaningful benefits in both CpcPH and IpcPH.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4643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737610" cy="14643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Figure 3 – PDE5 Inhibitors Affect Only One of Several Pathways Implicated in Relaxin Signaling </w:t>
      </w:r>
    </w:p>
    <w:p>
      <w:pPr>
        <w:pStyle w:val="TextBody"/>
        <w:bidi w:val="0"/>
        <w:spacing w:before="120" w:after="0"/>
        <w:jc w:val="left"/>
        <w:rPr>
          <w:rFonts w:ascii="Times New Roman" w:hAnsi="Times New Roman"/>
          <w:sz w:val="20"/>
        </w:rPr>
      </w:pPr>
      <w:r>
        <w:rPr>
          <w:rFonts w:ascii="Times New Roman" w:hAnsi="Times New Roman"/>
          <w:sz w:val="20"/>
        </w:rPr>
        <w:t xml:space="preserve">Tectonic’s support of TX45 is based upon its hypothesis that relaxin’s activities, through its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 relaxin’s ability to relax the heart muscle could improve diastolic filling in HFpEF where cardiac hypertrophy and fibrosis lead to diastolic dysfunction and heart failure. These benefits could also extend to IpcPH patients and thus to the entire Group 2 PH/HFpEF population. </w:t>
      </w:r>
    </w:p>
    <w:p>
      <w:pPr>
        <w:pStyle w:val="TextBody"/>
        <w:bidi w:val="0"/>
        <w:spacing w:before="240" w:after="0"/>
        <w:jc w:val="left"/>
        <w:rPr>
          <w:rFonts w:ascii="Times New Roman" w:hAnsi="Times New Roman"/>
          <w:sz w:val="20"/>
        </w:rPr>
      </w:pPr>
      <w:r>
        <w:rPr>
          <w:rFonts w:ascii="Times New Roman" w:hAnsi="Times New Roman"/>
          <w:sz w:val="20"/>
        </w:rPr>
        <w:t xml:space="preserve">In summary, depicted in Table 3 below, Tectonic hypothesizes that the inherent vasodilatory, anti-fibrotic, and anti-inflammatory activities of relaxin could be suited to address the key pathologies of Group 2 PH/HFpEF. </w:t>
      </w:r>
    </w:p>
    <w:p>
      <w:pPr>
        <w:pStyle w:val="TextBody"/>
        <w:bidi w:val="0"/>
        <w:spacing w:before="240" w:after="0"/>
        <w:jc w:val="left"/>
        <w:rPr>
          <w:rFonts w:ascii="Times New Roman" w:hAnsi="Times New Roman"/>
          <w:b/>
          <w:sz w:val="20"/>
        </w:rPr>
      </w:pPr>
      <w:r>
        <w:rPr>
          <w:rFonts w:ascii="Times New Roman" w:hAnsi="Times New Roman"/>
          <w:b/>
          <w:sz w:val="20"/>
        </w:rPr>
        <w:t xml:space="preserve">Table 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03"/>
        <w:gridCol w:w="120"/>
        <w:gridCol w:w="485"/>
        <w:gridCol w:w="120"/>
        <w:gridCol w:w="545"/>
        <w:gridCol w:w="120"/>
        <w:gridCol w:w="3712"/>
      </w:tblGrid>
      <w:tr>
        <w:trPr/>
        <w:tc>
          <w:tcPr>
            <w:tcW w:w="51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Characteristics of Group 2 PH</w:t>
            </w:r>
          </w:p>
        </w:tc>
        <w:tc>
          <w:tcPr>
            <w:tcW w:w="12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IpcPH</w:t>
            </w:r>
          </w:p>
        </w:tc>
        <w:tc>
          <w:tcPr>
            <w:tcW w:w="12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CpcPH</w:t>
            </w:r>
          </w:p>
        </w:tc>
        <w:tc>
          <w:tcPr>
            <w:tcW w:w="120" w:type="dxa"/>
            <w:tcBorders/>
            <w:vAlign w:val="center"/>
          </w:tcPr>
          <w:p>
            <w:pPr>
              <w:pStyle w:val="TableContents"/>
              <w:bidi w:val="0"/>
              <w:spacing w:before="0" w:after="283"/>
              <w:jc w:val="left"/>
              <w:rPr/>
            </w:pPr>
            <w:r>
              <w:rPr/>
              <w:t>  </w:t>
            </w:r>
          </w:p>
        </w:tc>
        <w:tc>
          <w:tcPr>
            <w:tcW w:w="37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Anticipated Relaxin Effects</w:t>
            </w:r>
          </w:p>
        </w:tc>
      </w:tr>
      <w:tr>
        <w:trPr/>
        <w:tc>
          <w:tcPr>
            <w:tcW w:w="5103" w:type="dxa"/>
            <w:tcBorders/>
            <w:vAlign w:val="center"/>
          </w:tcPr>
          <w:p>
            <w:pPr>
              <w:pStyle w:val="TableContents"/>
              <w:bidi w:val="0"/>
              <w:spacing w:before="0" w:after="283"/>
              <w:jc w:val="left"/>
              <w:rPr/>
            </w:pPr>
            <w:r>
              <w:rPr/>
              <w:t>Pulmonary artery narrowing, thickening, stiffening, fibrotic remodeling</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Pulmonary vasodilation</w:t>
            </w:r>
          </w:p>
          <w:p>
            <w:pPr>
              <w:pStyle w:val="TableContents"/>
              <w:bidi w:val="0"/>
              <w:spacing w:before="0" w:after="20"/>
              <w:jc w:val="left"/>
              <w:rPr>
                <w:rFonts w:ascii="Times New Roman" w:hAnsi="Times New Roman"/>
                <w:sz w:val="20"/>
              </w:rPr>
            </w:pPr>
            <w:r>
              <w:rPr>
                <w:rFonts w:ascii="Times New Roman" w:hAnsi="Times New Roman"/>
                <w:sz w:val="20"/>
              </w:rPr>
              <w:t>anti-inflammatory, anti-fibrotic</w:t>
            </w:r>
          </w:p>
        </w:tc>
      </w:tr>
      <w:tr>
        <w:trPr/>
        <w:tc>
          <w:tcPr>
            <w:tcW w:w="5103"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bidi w:val="0"/>
              <w:spacing w:before="0" w:after="283"/>
              <w:jc w:val="left"/>
              <w:rPr/>
            </w:pPr>
            <w:r>
              <w:rPr/>
              <w:t>Right ventricular dysfunction</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283"/>
              <w:jc w:val="left"/>
              <w:rPr/>
            </w:pPr>
            <w:r>
              <w:rPr/>
              <w:t>Right ventricular remodeling</w:t>
            </w:r>
          </w:p>
        </w:tc>
      </w:tr>
      <w:tr>
        <w:trPr/>
        <w:tc>
          <w:tcPr>
            <w:tcW w:w="5103"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bidi w:val="0"/>
              <w:spacing w:before="0" w:after="283"/>
              <w:jc w:val="left"/>
              <w:rPr/>
            </w:pPr>
            <w:r>
              <w:rPr/>
              <w:t>Thickening and stiffening of left ventricle</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283"/>
              <w:jc w:val="left"/>
              <w:rPr/>
            </w:pPr>
            <w:r>
              <w:rPr/>
              <w:t>Peripheral vasodilation, cardiac relaxation, left ventricular remodeling</w:t>
            </w:r>
          </w:p>
        </w:tc>
      </w:tr>
      <w:tr>
        <w:trPr/>
        <w:tc>
          <w:tcPr>
            <w:tcW w:w="5103" w:type="dxa"/>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383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vAlign w:val="center"/>
          </w:tcPr>
          <w:p>
            <w:pPr>
              <w:pStyle w:val="TableContents"/>
              <w:bidi w:val="0"/>
              <w:spacing w:before="0" w:after="283"/>
              <w:jc w:val="left"/>
              <w:rPr/>
            </w:pPr>
            <w:r>
              <w:rPr/>
              <w:t>Compromised kidney function</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3712" w:type="dxa"/>
            <w:tcBorders/>
            <w:vAlign w:val="center"/>
          </w:tcPr>
          <w:p>
            <w:pPr>
              <w:pStyle w:val="TableContents"/>
              <w:bidi w:val="0"/>
              <w:spacing w:before="0" w:after="283"/>
              <w:jc w:val="left"/>
              <w:rPr/>
            </w:pPr>
            <w:r>
              <w:rPr/>
              <w:t>Improvement in kidney function</w:t>
            </w:r>
          </w:p>
        </w:tc>
      </w:tr>
    </w:tbl>
    <w:p>
      <w:pPr>
        <w:pStyle w:val="TextBody"/>
        <w:bidi w:val="0"/>
        <w:spacing w:before="200" w:after="0"/>
        <w:jc w:val="left"/>
        <w:rPr>
          <w:rFonts w:ascii="Times New Roman" w:hAnsi="Times New Roman"/>
          <w:sz w:val="20"/>
        </w:rPr>
      </w:pPr>
      <w:r>
        <w:rPr>
          <w:rFonts w:ascii="Times New Roman" w:hAnsi="Times New Roman"/>
          <w:sz w:val="20"/>
        </w:rPr>
        <w:t xml:space="preserve">Relaxin’s numerous physiologic activities promote vasodilation in both the systemic and pulmonary vasculature, increasing cardiac output and decreasing pulmonary vascular wedge pressure (PCWP, a measure of heart failure) have previously been demonstrated with serelaxin (recombinant native human relaxin-2). As reported by Ponikowski P. et al in </w:t>
      </w:r>
      <w:r>
        <w:rPr>
          <w:rFonts w:ascii="Times New Roman" w:hAnsi="Times New Roman"/>
          <w:i/>
          <w:sz w:val="20"/>
        </w:rPr>
        <w:t>European Heart Journal</w:t>
      </w:r>
      <w:r>
        <w:rPr>
          <w:rFonts w:ascii="Times New Roman" w:hAnsi="Times New Roman"/>
          <w:sz w:val="20"/>
        </w:rPr>
        <w:t xml:space="preserve"> in 2014, patients with acute heart failure who had a right heart catheterization exhibited improved hemodynamics with relaxin treatment. These observations included a reduction of mean pulmonary artery pressure (mPAP), pulmonary vascular resistance (PVR), systemic vascular resistance (SVR) and pulmonary capillary wedge pressure (PCWP). The ability of the relaxin mechanism to reduce the right ventricular strain by reducing PVR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along with improving left ventricular function, as demonstrated by lowering PCWP, is fundamental to the potential of relaxin to treat PH-HFpEF. In a similar study of patients with chronic CHF reported by Dschietzig T. et al. in the </w:t>
      </w:r>
      <w:r>
        <w:rPr>
          <w:rFonts w:ascii="Times New Roman" w:hAnsi="Times New Roman"/>
          <w:i/>
          <w:sz w:val="20"/>
        </w:rPr>
        <w:t>Annals of the New York Academy of Sciences</w:t>
      </w:r>
      <w:r>
        <w:rPr>
          <w:rFonts w:ascii="Times New Roman" w:hAnsi="Times New Roman"/>
          <w:sz w:val="20"/>
        </w:rPr>
        <w:t xml:space="preserve"> in 2009, a reduction in PCWP and an increase in cardiac output was demonstrated in response to relaxin treatment.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43960" cy="24282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43960" cy="2428240"/>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Figure 4 – Relaxin Improves Hemodynamics in Acute Heart Failure Patients Through Reduction of Pulmonary Capillary Wedge Pressure, Mean Pulmonary Artery Pressure, Pulmonary Vascular Resistance and Systemic Vascular Resistance. </w:t>
      </w:r>
    </w:p>
    <w:p>
      <w:pPr>
        <w:pStyle w:val="TextBody"/>
        <w:bidi w:val="0"/>
        <w:spacing w:before="120" w:after="0"/>
        <w:jc w:val="left"/>
        <w:rPr>
          <w:rFonts w:ascii="Times New Roman" w:hAnsi="Times New Roman"/>
          <w:b/>
          <w:sz w:val="20"/>
        </w:rPr>
      </w:pPr>
      <w:r>
        <w:rPr>
          <w:rFonts w:ascii="Times New Roman" w:hAnsi="Times New Roman"/>
          <w:b/>
          <w:sz w:val="20"/>
        </w:rPr>
        <w:t xml:space="preserve">Orange, serelaxin treatment for 20 hours (continuous infusion); Blue, placebo treatment. </w:t>
      </w:r>
    </w:p>
    <w:p>
      <w:pPr>
        <w:pStyle w:val="TextBody"/>
        <w:bidi w:val="0"/>
        <w:spacing w:before="120" w:after="0"/>
        <w:jc w:val="left"/>
        <w:rPr>
          <w:rFonts w:ascii="Times New Roman" w:hAnsi="Times New Roman"/>
          <w:b/>
          <w:sz w:val="20"/>
        </w:rPr>
      </w:pPr>
      <w:r>
        <w:rPr>
          <w:rFonts w:ascii="Times New Roman" w:hAnsi="Times New Roman"/>
          <w:b/>
          <w:sz w:val="20"/>
        </w:rPr>
        <w:t xml:space="preserve">Note: improvements in some measures of placebo after 8 hours can be attributed to allowance of diuretics at that time </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the study reported by Ponikowski P. et al in </w:t>
      </w:r>
      <w:r>
        <w:rPr>
          <w:rFonts w:ascii="Times New Roman" w:hAnsi="Times New Roman"/>
          <w:i/>
          <w:sz w:val="20"/>
        </w:rPr>
        <w:t>European Heart Journal</w:t>
      </w:r>
      <w:r>
        <w:rPr>
          <w:rFonts w:ascii="Times New Roman" w:hAnsi="Times New Roman"/>
          <w:sz w:val="20"/>
        </w:rPr>
        <w:t xml:space="preserve"> in 2014, it was also reported that treatment with relaxin showed a beneficial impact on improvement in renal function in heart failure patients. This may stem from renal vasodilation with increased renal blood flow observed with treatment with relaxin. Since Group 2 / HFpEF patients also frequently present with compromised renal function, relaxin may also improve related clinical factors in Tectonic’s target population. Tectonic views these hemodynamic and renal function data as further evidence of relaxin’s potential utility as a therapeutic for Group 2 PH. </w:t>
      </w:r>
    </w:p>
    <w:p>
      <w:pPr>
        <w:pStyle w:val="TextBody"/>
        <w:bidi w:val="0"/>
        <w:spacing w:before="360" w:after="0"/>
        <w:jc w:val="left"/>
        <w:rPr>
          <w:rFonts w:ascii="Times New Roman" w:hAnsi="Times New Roman"/>
          <w:b/>
          <w:sz w:val="20"/>
        </w:rPr>
      </w:pPr>
      <w:bookmarkStart w:id="130" w:name="toc770053_134"/>
      <w:bookmarkEnd w:id="130"/>
      <w:r>
        <w:rPr>
          <w:rFonts w:ascii="Times New Roman" w:hAnsi="Times New Roman"/>
          <w:b/>
          <w:sz w:val="20"/>
        </w:rPr>
        <w:t xml:space="preserve">Background on TX45 </w:t>
      </w:r>
    </w:p>
    <w:p>
      <w:pPr>
        <w:pStyle w:val="TextBody"/>
        <w:bidi w:val="0"/>
        <w:spacing w:before="120" w:after="0"/>
        <w:jc w:val="left"/>
        <w:rPr>
          <w:rFonts w:ascii="Times New Roman" w:hAnsi="Times New Roman"/>
          <w:sz w:val="20"/>
        </w:rPr>
      </w:pPr>
      <w:r>
        <w:rPr>
          <w:rFonts w:ascii="Times New Roman" w:hAnsi="Times New Roman"/>
          <w:sz w:val="20"/>
        </w:rPr>
        <w:t>TX45 is a recombinant protein consisting of an engineered single chain human relaxin domain fused to the Fc domain of human immuno-globulin 1 (IgG1) using a peptide chain linker. The Fc portion of TX45 was modified to reduce Fc</w:t>
      </w:r>
      <w:r>
        <w:rPr>
          <w:rFonts w:ascii="SYMBOL" w:hAnsi="SYMBOL"/>
          <w:sz w:val="20"/>
        </w:rPr>
        <w:t>g</w:t>
      </w:r>
      <w:r>
        <w:rPr>
          <w:rFonts w:ascii="Times New Roman" w:hAnsi="Times New Roman"/>
          <w:sz w:val="20"/>
        </w:rPr>
        <w:t xml:space="preserve"> receptor activation, and to increase binding to the neonatal Fc receptor (FcRn) with the goal of significantly increasing the half-life of the molecule in circulation, relative to the half-life of native human relaxin. 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following administration as a result of binding to negatively charged heparin proteoglycans on the blood vessel wall. This effect can dramatically reduce the amount of bioavailable drug to exert pharmacologic action. Of note, native relaxin and most long-acting relaxin therapeutics have a high pI. Figure 5 compares the pharmacokinetic profile of TX45 which has a reduced pI with earlier candidates in Tectonic’s program, and a different Fc-relaxin fusion described in the literature (“comparator”) (Sun et al. J Am Heart Assoc. 2019 Dec 17; 8(24): e013465). Pharmacokinetic studies in rats were run with an early Tectonic relaxin compound (TX early), the comparator compound and TX-45 in consecutive studies at the same site and analyzed in the same way. Both of the latter are high pI molecules. No head-to-head studies have been conducted between TX-45 and the comparator compound or TX early.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372360" cy="17665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72360" cy="17665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5 – The pharmacokinetic profile of TX45 in rats showed an 11 to 15-fold reduction in the alpha phase decline at 6 hours post-dose which resulted in a 4.1 to 5.5 -fold increase in AUC (0-100 hrs) compared to a comparator molecule and an earlier TX molecule which have higher isoelectric points compared to TX45. Rats (n= 3 / group) were administered 5 mg/kg of drug intravenously in all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31" w:name="toc770053_135"/>
      <w:bookmarkEnd w:id="131"/>
      <w:r>
        <w:rPr>
          <w:rFonts w:ascii="Times New Roman" w:hAnsi="Times New Roman"/>
          <w:b/>
          <w:sz w:val="20"/>
        </w:rPr>
        <w:t xml:space="preserve">TX45 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several non-clinical </w:t>
      </w:r>
      <w:r>
        <w:rPr>
          <w:rFonts w:ascii="Times New Roman" w:hAnsi="Times New Roman"/>
          <w:i/>
          <w:sz w:val="20"/>
        </w:rPr>
        <w:t>in vivo</w:t>
      </w:r>
      <w:r>
        <w:rPr>
          <w:rFonts w:ascii="Times New Roman" w:hAnsi="Times New Roman"/>
          <w:sz w:val="20"/>
        </w:rPr>
        <w:t xml:space="preserve"> pharmacokinetic (PK) and pharmacology studies. These include a rat renal blood flow model that is used as a pharmacodynamic (PD) endpoint that demonstrates the vasodilatory effects of relaxin. TX45 administration shows a dose-response and exposure-response relationship on increasing rat renal blood flow (Figure 6). Renal arterial blood flow was measured with a perivascular flowmeter in anesthetized instrumented naïve rats. This study had 6-10 rats per group. </w:t>
      </w:r>
    </w:p>
    <w:p>
      <w:pPr>
        <w:pStyle w:val="TextBody"/>
        <w:bidi w:val="0"/>
        <w:spacing w:before="0" w:after="0"/>
        <w:jc w:val="left"/>
        <w:rPr/>
      </w:pPr>
      <w:r>
        <w:rPr/>
        <w:t> </w:t>
      </w:r>
    </w:p>
    <w:p>
      <w:pPr>
        <w:pStyle w:val="TextBody"/>
        <w:bidi w:val="0"/>
        <w:spacing w:before="0" w:after="0"/>
        <w:jc w:val="center"/>
        <w:rPr/>
      </w:pPr>
      <w:r>
        <w:rPr/>
        <w:drawing>
          <wp:inline distT="0" distB="0" distL="0" distR="0">
            <wp:extent cx="367030" cy="2578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7030" cy="2578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7030" cy="273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7030" cy="273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Figure 6 – Dose-Dependent Effect of TX45 on Rat Renal Arterial Blood Flow (RABF) (left panel) and Associated Pharmacokinetic Exposures (right panel) </w:t>
      </w:r>
    </w:p>
    <w:p>
      <w:pPr>
        <w:pStyle w:val="TextBody"/>
        <w:bidi w:val="0"/>
        <w:spacing w:before="120" w:after="0"/>
        <w:jc w:val="left"/>
        <w:rPr>
          <w:rFonts w:ascii="Times New Roman" w:hAnsi="Times New Roman"/>
          <w:sz w:val="20"/>
        </w:rPr>
      </w:pPr>
      <w:r>
        <w:rPr>
          <w:rFonts w:ascii="Times New Roman" w:hAnsi="Times New Roman"/>
          <w:sz w:val="20"/>
        </w:rPr>
        <w:t xml:space="preserve">To test the impact of improvements from protein engineering efforts, and particularly the effect of reducing the pI of the molecule, Tectonic conducted a comparative assessment of TX45 and a high pI comparator Fc-Relaxin fusion protein in the same rat renal blood flow model (n = 6-10 per group). In these experiments, a dose of 0.03 mg/kg of TX45 produced a comparable pharmacodynamic effect to 0.3 mg/kg of the comparator high pI molecule, despite being 10x less potent in vitro. In these studies, TX45 is ~10x more potent by dose in vivo than the comparator molecule, which may be consistent with a differentiated clinical profile for TX45 (Figure 7).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71420" cy="16624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471420" cy="16624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7 – The improved biophysical Profile of TX45 results in a comparable AUC at a 10-fold lower dose (0.03 mg/kg) compared to the high pI comparator (0.3 mg/kg). </w:t>
      </w:r>
    </w:p>
    <w:p>
      <w:pPr>
        <w:pStyle w:val="TextBody"/>
        <w:bidi w:val="0"/>
        <w:spacing w:before="120" w:after="0"/>
        <w:jc w:val="left"/>
        <w:rPr>
          <w:rFonts w:ascii="Times New Roman" w:hAnsi="Times New Roman"/>
          <w:sz w:val="20"/>
        </w:rPr>
      </w:pPr>
      <w:r>
        <w:rPr>
          <w:rFonts w:ascii="Times New Roman" w:hAnsi="Times New Roman"/>
          <w:sz w:val="20"/>
        </w:rPr>
        <w:t xml:space="preserve">The use of human relaxin or human relaxin-mimetics in chronic in vivo pharmacology experiments in rats and mice has been limited by the development of anti-human relaxin antibodies that reduce relaxin levels and activity. This is because human relaxin is only ~50% homologous to rat relaxin so the rat immune system perceives human relaxin as being a foreign antigen. The development of anti-human relaxin antibodies in rodents is triggered in inflammatory disease models. To address this problem, Tectonic developed a method to administer anti-CD20 antibodies to deplete B lymphocytes and reduce antibody production. Using this approach, TX45 demonstrated a significant effect on a number of clinically relevant parameters in the rat monocrotaline-induced (MCT) model of pulmonary hypertension. The MCT model was run in the therapeutic mode, which is more stringent than the prophylactic mode. There were 10-12 rats per group and TX45 was tested in three independent experiments where it showed comparable effects. In this model, significant reductions (p&lt;0.05) in pulmonary artery pressure, right ventricular hypertrophy, NT-proBNP, and pulmonary artery muscularization were demonstrated along with 100% survival at 4 weeks compared with 75% for control animals (Figure 8, Figure 9, Figure 10). The determination of significance was done by a one-way anova test followed by Tukey’s multiple comparison test. The p values are shown in the figures. Pulmonary hemodynamics were measured using a French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pressure catheter inserted into the right ventricle and pulmonary artery in anesthetized animals. Histopathology analysis was used to evaluate lung inflammation and pulmonary artery muscularization.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82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850" cy="2825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8 – TX45 had a significant effect on Right Ventricular Systolic Pressure (p=0.006) (a) and Fulton’s Index (p=0.01) (b) in the MCT-PH Rat Model. Statistical significance was determined by a one-way anova test followed by Tukey’s multiple comparison test.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6733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7850" cy="26733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9 – Following Histopathological Analysis TX45 had a significant effect on Lung Inflammation (p=0.01) (a) and Muscularization of Small Pulmonary Arteries (p=0.007) (b) in MCT-PH Rats Treated with TX45 or Vehicle. Statistical significance was determined by a one-way anova test followed by Tukey’s multiple comparison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05435" cy="352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05435" cy="352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10 – TX45 Treated Animals had a 25% improvment on survival vs. Controls in MCT-PH Rats. </w:t>
      </w:r>
    </w:p>
    <w:p>
      <w:pPr>
        <w:pStyle w:val="TextBody"/>
        <w:bidi w:val="0"/>
        <w:spacing w:before="120" w:after="0"/>
        <w:jc w:val="center"/>
        <w:rPr>
          <w:rFonts w:ascii="Times New Roman" w:hAnsi="Times New Roman"/>
          <w:sz w:val="20"/>
        </w:rPr>
      </w:pPr>
      <w:r>
        <w:rPr>
          <w:rFonts w:ascii="Times New Roman" w:hAnsi="Times New Roman"/>
          <w:sz w:val="20"/>
        </w:rPr>
        <w:t xml:space="preserve">TX45 Achieves 100% Survival in Experiment </w:t>
      </w:r>
    </w:p>
    <w:p>
      <w:pPr>
        <w:pStyle w:val="TextBody"/>
        <w:bidi w:val="0"/>
        <w:spacing w:before="240" w:after="0"/>
        <w:jc w:val="left"/>
        <w:rPr>
          <w:rFonts w:ascii="Times New Roman" w:hAnsi="Times New Roman"/>
          <w:sz w:val="20"/>
        </w:rPr>
      </w:pPr>
      <w:r>
        <w:rPr>
          <w:rFonts w:ascii="Times New Roman" w:hAnsi="Times New Roman"/>
          <w:sz w:val="20"/>
        </w:rPr>
        <w:t xml:space="preserve">TX45 or earlier Tectonic compounds also demonstrated a significant effect on clinically relevant parameters such as improved pulmonary hemodynamics and a reduction in kidney and cardiac fibrosis in three other preclinical models where anti-CD20 was not administered; the mouse isoproterenol model of HFpEF, the rat Sugen-hypoxia model of pulmonary hypertension as well as in the mouse unilateral ureteral obstruction model of kidney fibrosis. All of these studies had an n-6 to 10 animals per group and statistical significance was determined by a one-way anova test followed by Tukey’s multiple comparison test. These preclinical data for TX45 have not yet been published. </w:t>
      </w:r>
    </w:p>
    <w:p>
      <w:pPr>
        <w:pStyle w:val="TextBody"/>
        <w:bidi w:val="0"/>
        <w:spacing w:before="360" w:after="0"/>
        <w:jc w:val="left"/>
        <w:rPr>
          <w:rFonts w:ascii="Times New Roman" w:hAnsi="Times New Roman"/>
          <w:b/>
          <w:sz w:val="20"/>
        </w:rPr>
      </w:pPr>
      <w:bookmarkStart w:id="132" w:name="toc770053_136"/>
      <w:bookmarkEnd w:id="132"/>
      <w:r>
        <w:rPr>
          <w:rFonts w:ascii="Times New Roman" w:hAnsi="Times New Roman"/>
          <w:b/>
          <w:sz w:val="20"/>
        </w:rPr>
        <w:t xml:space="preserve">TX45 Non-clinical Toxicology Studies </w:t>
      </w:r>
    </w:p>
    <w:p>
      <w:pPr>
        <w:pStyle w:val="TextBody"/>
        <w:bidi w:val="0"/>
        <w:spacing w:before="120" w:after="0"/>
        <w:jc w:val="left"/>
        <w:rPr>
          <w:rFonts w:ascii="Times New Roman" w:hAnsi="Times New Roman"/>
          <w:sz w:val="20"/>
        </w:rPr>
      </w:pPr>
      <w:r>
        <w:rPr>
          <w:rFonts w:ascii="Times New Roman" w:hAnsi="Times New Roman"/>
          <w:sz w:val="20"/>
        </w:rPr>
        <w:t xml:space="preserve">TX45 has been tested in rat and non-human primate (NHP) 1-month GLP toxicology and 6-month GLP toxicology studies at ITR in Canada. There is imperfect sequence homology between the active portion of TX45 and rat relaxin (~50%) or NHP relaxin (~73%). In the 1-month GLP toxicology studies, there were no specific toxicities identified and no observable adverse effect level (NOAEL), which is the greatest dose of a drug at which no detectable adverse effects occur in an exposed population, was 100 mg/kg for both species. Administration of TX45 resulted in the development of anti-drug antibodies (ADAs) in some rats and monkeys, but the ADA response was most prevalent in rats receiving TX45 by subcutaneous injection. </w:t>
      </w:r>
    </w:p>
    <w:p>
      <w:pPr>
        <w:pStyle w:val="TextBody"/>
        <w:bidi w:val="0"/>
        <w:spacing w:before="240" w:after="0"/>
        <w:jc w:val="left"/>
        <w:rPr>
          <w:rFonts w:ascii="Times New Roman" w:hAnsi="Times New Roman"/>
          <w:sz w:val="20"/>
        </w:rPr>
      </w:pPr>
      <w:r>
        <w:rPr>
          <w:rFonts w:ascii="Times New Roman" w:hAnsi="Times New Roman"/>
          <w:sz w:val="20"/>
        </w:rPr>
        <w:t xml:space="preserve">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Tectonic believes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 </w:t>
      </w:r>
    </w:p>
    <w:p>
      <w:pPr>
        <w:pStyle w:val="TextBody"/>
        <w:bidi w:val="0"/>
        <w:spacing w:before="360" w:after="0"/>
        <w:jc w:val="left"/>
        <w:rPr>
          <w:rFonts w:ascii="Times New Roman" w:hAnsi="Times New Roman"/>
          <w:b/>
          <w:sz w:val="20"/>
        </w:rPr>
      </w:pPr>
      <w:bookmarkStart w:id="133" w:name="toc770053_137"/>
      <w:bookmarkEnd w:id="133"/>
      <w:r>
        <w:rPr>
          <w:rFonts w:ascii="Times New Roman" w:hAnsi="Times New Roman"/>
          <w:b/>
          <w:sz w:val="20"/>
        </w:rPr>
        <w:t xml:space="preserve">TX45 Clinical Development Studies and Plans </w:t>
      </w:r>
    </w:p>
    <w:p>
      <w:pPr>
        <w:pStyle w:val="TextBody"/>
        <w:bidi w:val="0"/>
        <w:spacing w:before="120" w:after="0"/>
        <w:jc w:val="left"/>
        <w:rPr>
          <w:rFonts w:ascii="Times New Roman" w:hAnsi="Times New Roman"/>
          <w:sz w:val="20"/>
        </w:rPr>
      </w:pPr>
      <w:r>
        <w:rPr>
          <w:rFonts w:ascii="Times New Roman" w:hAnsi="Times New Roman"/>
          <w:sz w:val="20"/>
        </w:rPr>
        <w:t xml:space="preserve">The TX45 clinical development program is designed to provide data supporting key inflection points. TX000045-001, a first in human, single ascending dose study is designed to provide data on safety and tolerability, and pharmacokinetic and pharmacodynamic and immunogenicity data after single doses in healthy volunteers in mid-2024. Additionally, Tectonic anticipates that Phase 1b single dose hemodynamic data in Group 2 PH patients could be available in 2025, and that Phase 2 proof-of-concept efficacy data in Group 2 PH patients could be available in 2026. </w:t>
      </w:r>
    </w:p>
    <w:p>
      <w:pPr>
        <w:pStyle w:val="TextBody"/>
        <w:bidi w:val="0"/>
        <w:spacing w:before="240" w:after="0"/>
        <w:jc w:val="left"/>
        <w:rPr>
          <w:rFonts w:ascii="Times New Roman" w:hAnsi="Times New Roman"/>
          <w:sz w:val="20"/>
        </w:rPr>
      </w:pPr>
      <w:r>
        <w:rPr>
          <w:rFonts w:ascii="Times New Roman" w:hAnsi="Times New Roman"/>
          <w:sz w:val="20"/>
        </w:rPr>
        <w:t xml:space="preserve">Tectonic’s Phase 1a study is being conducted in Australia and the Phase 1b study will be conducted in Moldova and the Netherlands. These studies are being conducted under ICH and GCP guidelines. Tectonic plans to conduct Phase 2 studies in the U.S., Australia, Europe and Eastern Europe. Prior to initiating the Phase 2 study in the U.S., the Phase 1 study being conducted in Australia will need to have confirmed the safety profile of the drug and data from the study will determine the selected doses in the Phase 2 study. A pre-IND meeting with the FDA is planned in the first half of 2024 followed by submission of the IND. Acceptance of the IND by the FDA and of the supporting preclinical data and Phase 1a data is required before Phase 2 can be initiated in the U.S. </w:t>
      </w:r>
    </w:p>
    <w:p>
      <w:pPr>
        <w:pStyle w:val="TextBody"/>
        <w:bidi w:val="0"/>
        <w:spacing w:before="240" w:after="0"/>
        <w:jc w:val="left"/>
        <w:rPr>
          <w:rFonts w:ascii="Times New Roman" w:hAnsi="Times New Roman"/>
          <w:sz w:val="20"/>
        </w:rPr>
      </w:pPr>
      <w:r>
        <w:rPr>
          <w:rFonts w:ascii="Times New Roman" w:hAnsi="Times New Roman"/>
          <w:sz w:val="20"/>
        </w:rPr>
        <w:t xml:space="preserve">Provided the Phase 1 and 2 studies obtain sufficient safety and efficacy data to justify proceeding to Phase 3, the conduct of Global Phase 3 pivotal studies including sites in the U.S., and additional non-clinical development work including scale-up of GMP manufacturing to commercial scale would also be needed to generate the data package necessary to support regulatory approval for marketing authorization in the U.S. through the submission of a Biologic License Application (BLA) to the FDA. Tectonic would also seek similar regulatory approvals through equivalent submissions to regulatory bodies in territories outside of the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2"/>
        <w:gridCol w:w="60"/>
        <w:gridCol w:w="2389"/>
        <w:gridCol w:w="120"/>
        <w:gridCol w:w="3348"/>
        <w:gridCol w:w="120"/>
        <w:gridCol w:w="2976"/>
      </w:tblGrid>
      <w:tr>
        <w:trPr/>
        <w:tc>
          <w:tcPr>
            <w:tcW w:w="11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119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Study, Status, Location</w:t>
            </w:r>
          </w:p>
        </w:tc>
        <w:tc>
          <w:tcPr>
            <w:tcW w:w="60" w:type="dxa"/>
            <w:tcBorders/>
            <w:vAlign w:val="center"/>
          </w:tcPr>
          <w:p>
            <w:pPr>
              <w:pStyle w:val="TableContents"/>
              <w:bidi w:val="0"/>
              <w:spacing w:before="0" w:after="283"/>
              <w:jc w:val="left"/>
              <w:rPr/>
            </w:pPr>
            <w:r>
              <w:rPr/>
              <w:t> </w:t>
            </w:r>
          </w:p>
        </w:tc>
        <w:tc>
          <w:tcPr>
            <w:tcW w:w="238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Study Design</w:t>
            </w:r>
          </w:p>
        </w:tc>
        <w:tc>
          <w:tcPr>
            <w:tcW w:w="120" w:type="dxa"/>
            <w:tcBorders/>
            <w:vAlign w:val="center"/>
          </w:tcPr>
          <w:p>
            <w:pPr>
              <w:pStyle w:val="TableContents"/>
              <w:bidi w:val="0"/>
              <w:spacing w:before="0" w:after="283"/>
              <w:jc w:val="left"/>
              <w:rPr/>
            </w:pPr>
            <w:r>
              <w:rPr/>
              <w:t>  </w:t>
            </w:r>
          </w:p>
        </w:tc>
        <w:tc>
          <w:tcPr>
            <w:tcW w:w="33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Treatments</w:t>
            </w:r>
          </w:p>
        </w:tc>
        <w:tc>
          <w:tcPr>
            <w:tcW w:w="120" w:type="dxa"/>
            <w:tcBorders/>
            <w:vAlign w:val="center"/>
          </w:tcPr>
          <w:p>
            <w:pPr>
              <w:pStyle w:val="TableContents"/>
              <w:bidi w:val="0"/>
              <w:spacing w:before="0" w:after="283"/>
              <w:jc w:val="left"/>
              <w:rPr/>
            </w:pPr>
            <w:r>
              <w:rPr/>
              <w:t>  </w:t>
            </w:r>
          </w:p>
        </w:tc>
        <w:tc>
          <w:tcPr>
            <w:tcW w:w="297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Subject Population and</w:t>
              <w:br/>
              <w:t>Number</w:t>
            </w:r>
          </w:p>
        </w:tc>
      </w:tr>
      <w:tr>
        <w:trPr/>
        <w:tc>
          <w:tcPr>
            <w:tcW w:w="11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TX000045-001</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Phase 1a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(Ongoing)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Australia</w:t>
            </w:r>
          </w:p>
        </w:tc>
        <w:tc>
          <w:tcPr>
            <w:tcW w:w="60" w:type="dxa"/>
            <w:tcBorders/>
            <w:shd w:fill="CCEEFF" w:val="clear"/>
            <w:vAlign w:val="center"/>
          </w:tcPr>
          <w:p>
            <w:pPr>
              <w:pStyle w:val="TableContents"/>
              <w:bidi w:val="0"/>
              <w:spacing w:before="0" w:after="283"/>
              <w:jc w:val="left"/>
              <w:rPr/>
            </w:pPr>
            <w:r>
              <w:rPr/>
              <w:t> </w:t>
            </w:r>
          </w:p>
        </w:tc>
        <w:tc>
          <w:tcPr>
            <w:tcW w:w="2389" w:type="dxa"/>
            <w:tcBorders/>
            <w:shd w:fill="CCEEFF" w:val="clear"/>
            <w:vAlign w:val="center"/>
          </w:tcPr>
          <w:p>
            <w:pPr>
              <w:pStyle w:val="TableContents"/>
              <w:bidi w:val="0"/>
              <w:spacing w:before="0" w:after="283"/>
              <w:jc w:val="left"/>
              <w:rPr/>
            </w:pPr>
            <w:r>
              <w:rPr/>
              <w:t>Randomized, double-blind, SAD (Part A) and MD (Part B)</w:t>
            </w:r>
          </w:p>
        </w:tc>
        <w:tc>
          <w:tcPr>
            <w:tcW w:w="120" w:type="dxa"/>
            <w:tcBorders/>
            <w:shd w:fill="CCEEFF" w:val="clear"/>
            <w:vAlign w:val="center"/>
          </w:tcPr>
          <w:p>
            <w:pPr>
              <w:pStyle w:val="TableContents"/>
              <w:bidi w:val="0"/>
              <w:spacing w:before="0" w:after="283"/>
              <w:jc w:val="left"/>
              <w:rPr/>
            </w:pPr>
            <w:r>
              <w:rPr/>
              <w:t>  </w:t>
            </w:r>
          </w:p>
        </w:tc>
        <w:tc>
          <w:tcPr>
            <w:tcW w:w="33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TX000045 or placebo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Part A: Single ascending IV and SC doses per clinical study protocol: IV : 0.3mg/kg, 1mg/kg, 3mg/kg SC: 150mg, 300mg, 600mg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Part B: Multiple dose, 150mg SC every other week for 3 doses</w:t>
            </w:r>
          </w:p>
        </w:tc>
        <w:tc>
          <w:tcPr>
            <w:tcW w:w="120" w:type="dxa"/>
            <w:tcBorders/>
            <w:shd w:fill="CCEEFF" w:val="clear"/>
            <w:vAlign w:val="center"/>
          </w:tcPr>
          <w:p>
            <w:pPr>
              <w:pStyle w:val="TableContents"/>
              <w:bidi w:val="0"/>
              <w:spacing w:before="0" w:after="283"/>
              <w:jc w:val="left"/>
              <w:rPr/>
            </w:pPr>
            <w:r>
              <w:rPr/>
              <w:t>  </w:t>
            </w:r>
          </w:p>
        </w:tc>
        <w:tc>
          <w:tcPr>
            <w:tcW w:w="29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Healthy male and female subjects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cohort will have 8 subjects, 6 on TX45 and 2 on placebo</w:t>
            </w:r>
          </w:p>
        </w:tc>
      </w:tr>
      <w:tr>
        <w:trPr/>
        <w:tc>
          <w:tcPr>
            <w:tcW w:w="1192"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468" w:type="dxa"/>
            <w:gridSpan w:val="2"/>
            <w:tcBorders/>
            <w:vAlign w:val="center"/>
          </w:tcPr>
          <w:p>
            <w:pPr>
              <w:pStyle w:val="TableContents"/>
              <w:bidi w:val="0"/>
              <w:spacing w:before="0" w:after="283"/>
              <w:jc w:val="left"/>
              <w:rPr>
                <w:sz w:val="4"/>
                <w:szCs w:val="4"/>
              </w:rPr>
            </w:pPr>
            <w:r>
              <w:rPr>
                <w:sz w:val="4"/>
                <w:szCs w:val="4"/>
              </w:rPr>
            </w:r>
          </w:p>
        </w:tc>
        <w:tc>
          <w:tcPr>
            <w:tcW w:w="3096" w:type="dxa"/>
            <w:gridSpan w:val="2"/>
            <w:tcBorders/>
            <w:vAlign w:val="center"/>
          </w:tcPr>
          <w:p>
            <w:pPr>
              <w:pStyle w:val="TableContents"/>
              <w:bidi w:val="0"/>
              <w:spacing w:before="0" w:after="283"/>
              <w:jc w:val="left"/>
              <w:rPr>
                <w:sz w:val="4"/>
                <w:szCs w:val="4"/>
              </w:rPr>
            </w:pPr>
            <w:r>
              <w:rPr>
                <w:sz w:val="4"/>
                <w:szCs w:val="4"/>
              </w:rPr>
            </w:r>
          </w:p>
        </w:tc>
      </w:tr>
      <w:tr>
        <w:trPr/>
        <w:tc>
          <w:tcPr>
            <w:tcW w:w="11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TX000045-002</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Phase 1b</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(Ongoing)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Moldova,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Netherlands</w:t>
            </w:r>
          </w:p>
        </w:tc>
        <w:tc>
          <w:tcPr>
            <w:tcW w:w="60" w:type="dxa"/>
            <w:tcBorders/>
            <w:vAlign w:val="center"/>
          </w:tcPr>
          <w:p>
            <w:pPr>
              <w:pStyle w:val="TableContents"/>
              <w:bidi w:val="0"/>
              <w:spacing w:before="0" w:after="283"/>
              <w:jc w:val="left"/>
              <w:rPr/>
            </w:pPr>
            <w:r>
              <w:rPr/>
              <w:t> </w:t>
            </w:r>
          </w:p>
        </w:tc>
        <w:tc>
          <w:tcPr>
            <w:tcW w:w="2389" w:type="dxa"/>
            <w:tcBorders/>
            <w:vAlign w:val="center"/>
          </w:tcPr>
          <w:p>
            <w:pPr>
              <w:pStyle w:val="TableContents"/>
              <w:bidi w:val="0"/>
              <w:spacing w:before="0" w:after="283"/>
              <w:jc w:val="left"/>
              <w:rPr/>
            </w:pPr>
            <w:r>
              <w:rPr/>
              <w:t>Open-label single dose</w:t>
            </w:r>
          </w:p>
        </w:tc>
        <w:tc>
          <w:tcPr>
            <w:tcW w:w="120" w:type="dxa"/>
            <w:tcBorders/>
            <w:vAlign w:val="center"/>
          </w:tcPr>
          <w:p>
            <w:pPr>
              <w:pStyle w:val="TableContents"/>
              <w:bidi w:val="0"/>
              <w:spacing w:before="0" w:after="283"/>
              <w:jc w:val="left"/>
              <w:rPr/>
            </w:pPr>
            <w:r>
              <w:rPr/>
              <w:t>  </w:t>
            </w:r>
          </w:p>
        </w:tc>
        <w:tc>
          <w:tcPr>
            <w:tcW w:w="33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TX000045</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0.3, 1, or 3 mg/kg IV</w:t>
            </w:r>
          </w:p>
        </w:tc>
        <w:tc>
          <w:tcPr>
            <w:tcW w:w="120"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Up to 25 patients with PH-HFpEF, including at least 14 patients with PVR&gt;3 WU</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0.3 mg cohort will have 2 patients enrolled followed by up to 12 patients in the 1 and 3 mg/kg IV cohorts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34" w:name="toc770053_138"/>
      <w:bookmarkEnd w:id="134"/>
      <w:r>
        <w:rPr>
          <w:rFonts w:ascii="Times New Roman" w:hAnsi="Times New Roman"/>
          <w:b/>
          <w:sz w:val="20"/>
        </w:rPr>
        <w:t xml:space="preserve">Ongoing Phase 1a Trial </w:t>
      </w:r>
    </w:p>
    <w:p>
      <w:pPr>
        <w:pStyle w:val="TextBody"/>
        <w:bidi w:val="0"/>
        <w:spacing w:before="120" w:after="0"/>
        <w:jc w:val="left"/>
        <w:rPr>
          <w:rFonts w:ascii="Times New Roman" w:hAnsi="Times New Roman"/>
          <w:sz w:val="20"/>
        </w:rPr>
      </w:pPr>
      <w:r>
        <w:rPr>
          <w:rFonts w:ascii="Times New Roman" w:hAnsi="Times New Roman"/>
          <w:sz w:val="20"/>
        </w:rPr>
        <w:t xml:space="preserve">A Phase 1 randomized, placebo-controlled, double-blind study in healthy volunteers with TX45 is currently ongoing in Australia, and includes single ascending dose (SAD) and multiple dose cohorts. In the SAD portion of the trial, TX45 is being administered by intravenous (IV) or subcutaneous (SC) injection, and in the multiple dose portion TX45 is being administered subcutaneously. The primary objective of the Phase 1 study is to determine the safety and tolerability of TX45 after single doses in ascending dose levels. The number of patients in each dose cohort is eight, six on TX45 and two on placebo. Secondary objectives include the evaluation of the pharmacokinetic (PK) and pharmacodynamic (PD) properties of TX45 to determine a PK/PD relationship. The PD endpoint in this study is the percent change from baseline renal plasma flow (RPF).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18, 2024, the first three cohorts (0.3 mg/kg IV, 1 mg/kg IV, 150 mg SC) of the single ascending dose portion of the Phase 1 study have been dosed with TX45. No drug-related SAEs have been observed thus far. Modeling of data available as of January 15, 2024 from these cohorts suggests that a single 1-2 mL injection of TX45 given once monthly (corresponding to a 150 mg and/or 300 mg dose) could be the target dose regimen. The bioavailability of TX45 after SC administration is approximately 50%. Evaluation of renal plasma flow on Day 2 after the initial starting dose administration of 0.3 mg/kg TX45 IV showed approximately 30% increase in RPF compared to baseline that was maintained on Day 8. There has been no evidence of immune-mediated clearance in subjects dosed with TX45. </w:t>
      </w:r>
    </w:p>
    <w:p>
      <w:pPr>
        <w:pStyle w:val="TextBody"/>
        <w:bidi w:val="0"/>
        <w:spacing w:before="360" w:after="0"/>
        <w:jc w:val="left"/>
        <w:rPr>
          <w:rFonts w:ascii="Times New Roman" w:hAnsi="Times New Roman"/>
          <w:b/>
          <w:sz w:val="20"/>
        </w:rPr>
      </w:pPr>
      <w:bookmarkStart w:id="135" w:name="toc770053_139"/>
      <w:bookmarkEnd w:id="135"/>
      <w:r>
        <w:rPr>
          <w:rFonts w:ascii="Times New Roman" w:hAnsi="Times New Roman"/>
          <w:b/>
          <w:sz w:val="20"/>
        </w:rPr>
        <w:t xml:space="preserve">Planned Phase 1b Trial </w:t>
      </w:r>
    </w:p>
    <w:p>
      <w:pPr>
        <w:pStyle w:val="TextBody"/>
        <w:bidi w:val="0"/>
        <w:spacing w:before="120" w:after="0"/>
        <w:jc w:val="left"/>
        <w:rPr>
          <w:rFonts w:ascii="Times New Roman" w:hAnsi="Times New Roman"/>
          <w:sz w:val="20"/>
        </w:rPr>
      </w:pPr>
      <w:r>
        <w:rPr>
          <w:rFonts w:ascii="Times New Roman" w:hAnsi="Times New Roman"/>
          <w:sz w:val="20"/>
        </w:rPr>
        <w:t xml:space="preserve">A Phase 1b study with TX45 in patients with Group 2 PH and HFpEF has been initiated in Moldova and will be conducted in both the Netherlands and Moldova. The study will enroll up to 25 patients with PH-HFpEF and up to 14 patients will have elevated PVR (CpcPH). This study is a single dose, open-label study with intravenous administration of TX45 to evaluate the safety, tolerability and acute hemodynamic effects in patients. The doses of TX45 administered in this study will be 0.3 mg/kg IV, 1 mg/kg, and 3 mg/kg. The study will evaluate the change from baseline in pulmonary vascular resistance (PVR) as determined by right heart catheterization, as well as improvement in mean pulmonary artery pressure, pulmonary wedge pressure, cardiac output, systemic vascular resistance. Tectonic will explore change in NT-proBNP and several echocardiology endpoints. </w:t>
      </w:r>
    </w:p>
    <w:p>
      <w:pPr>
        <w:pStyle w:val="TextBody"/>
        <w:bidi w:val="0"/>
        <w:spacing w:before="360" w:after="0"/>
        <w:jc w:val="left"/>
        <w:rPr>
          <w:rFonts w:ascii="Times New Roman" w:hAnsi="Times New Roman"/>
          <w:b/>
          <w:sz w:val="20"/>
        </w:rPr>
      </w:pPr>
      <w:bookmarkStart w:id="136" w:name="toc770053_140"/>
      <w:bookmarkEnd w:id="136"/>
      <w:r>
        <w:rPr>
          <w:rFonts w:ascii="Times New Roman" w:hAnsi="Times New Roman"/>
          <w:b/>
          <w:sz w:val="20"/>
        </w:rPr>
        <w:t xml:space="preserve">Phase 2 Proof of Concept Study in Group 2 PH and HFpEF after 24 weeks of treatment. </w:t>
      </w:r>
    </w:p>
    <w:p>
      <w:pPr>
        <w:pStyle w:val="TextBody"/>
        <w:bidi w:val="0"/>
        <w:spacing w:before="120" w:after="0"/>
        <w:jc w:val="left"/>
        <w:rPr>
          <w:rFonts w:ascii="Times New Roman" w:hAnsi="Times New Roman"/>
          <w:sz w:val="20"/>
        </w:rPr>
      </w:pPr>
      <w:r>
        <w:rPr>
          <w:rFonts w:ascii="Times New Roman" w:hAnsi="Times New Roman"/>
          <w:sz w:val="20"/>
        </w:rPr>
        <w:t xml:space="preserve">Tectonic’s TX45 Phase 2 randomized, placebo-controlled, double-blind proof-of-concept (POC) clinical trial in patients with Group 2 PH and HFpEF is expected to begin in the second half of 2024 and will be conducted globally, including the U.S., Europe, Eastern Europe and Australia. Initiation of this study is contingent on data from the Phase 1 study demonstrating adequate safety and sufficient data to select doses and dose intervals for the Phase 2 study. This study is designed to enrich for patients with a PVR of &gt;3 on baseline right heart catheterization with the goal of evaluating efficacy in both CpcPH as well as the whole Group 2 PH population with HFpEF. In this study, TX45 or placebo would be administered by subcutaneous injection for 6 months. Endpoints may include the change from baseline in PVR, stroke volume index, cardiac output, and additional hemodynamic measures as determined by right heart catheterization, 6-minute walk distance, Kansas City Cardiomyopathy Questionnaire-12 score, NT-proBNP blood level, and relevant echocardiography endpoints. </w:t>
      </w:r>
    </w:p>
    <w:p>
      <w:pPr>
        <w:pStyle w:val="TextBody"/>
        <w:bidi w:val="0"/>
        <w:spacing w:before="360" w:after="0"/>
        <w:jc w:val="left"/>
        <w:rPr>
          <w:rFonts w:ascii="Times New Roman" w:hAnsi="Times New Roman"/>
          <w:b/>
          <w:sz w:val="20"/>
        </w:rPr>
      </w:pPr>
      <w:bookmarkStart w:id="137" w:name="toc770053_141"/>
      <w:bookmarkEnd w:id="137"/>
      <w:r>
        <w:rPr>
          <w:rFonts w:ascii="Times New Roman" w:hAnsi="Times New Roman"/>
          <w:b/>
          <w:sz w:val="20"/>
        </w:rPr>
        <w:t xml:space="preserve">Type 2 PH Anticipated Pivotal Development Pathway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results of Tectonic’s Phase 2 trials and feedback received during the End of Phase 2 meeting with the FDA, Tectonic expects to initiate a randomized, placebo-controlled, double-blind Phase 3 clinical trial in Group 2 PH patients with HFpEF, as well as long term extension study for safety evaluation. In addition, Tectonic will design a long-term study for the evaluation of safety. Based on historical precedent across multiple PH subtypes and recent FDA public comments regarding the specific requirements for approval in Type 2 PH, Tectonic believes that the achievement of a clinically significant change in a functional endpoint, such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6-minute walk distance or actigraphy, may be sufficient for approval. The secondary endpoints may also include change from baseline to week 24 in: KCCQ-12 score, NT-proBNP level, and the percentage who improve in WHO functional class. An additional secondary endpoint may be the time to the first occurrence of a clinical worsening event or death. At this time, Tectonic does not anticipate that an assessment of TX45’s impact on long term cardiovascular outcomes will be a requirement for approval. Commercialization in the U.S. and other countries will be contingent on approval by the regulatory authorities (the FDA in the U.S.) and an assessment by the regulators that the studies were conducted in accordance with accepted guidance and the data demonstrated that there was a positive benefit risk for patients. </w:t>
      </w:r>
    </w:p>
    <w:p>
      <w:pPr>
        <w:pStyle w:val="TextBody"/>
        <w:bidi w:val="0"/>
        <w:spacing w:before="360" w:after="0"/>
        <w:jc w:val="left"/>
        <w:rPr>
          <w:rFonts w:ascii="Times New Roman" w:hAnsi="Times New Roman"/>
          <w:b/>
          <w:sz w:val="20"/>
        </w:rPr>
      </w:pPr>
      <w:bookmarkStart w:id="138" w:name="toc770053_142"/>
      <w:bookmarkEnd w:id="138"/>
      <w:r>
        <w:rPr>
          <w:rFonts w:ascii="Times New Roman" w:hAnsi="Times New Roman"/>
          <w:b/>
          <w:sz w:val="20"/>
        </w:rPr>
        <w:t xml:space="preserve">Background on HHT Opportunity </w:t>
      </w:r>
    </w:p>
    <w:p>
      <w:pPr>
        <w:pStyle w:val="TextBody"/>
        <w:bidi w:val="0"/>
        <w:spacing w:before="120" w:after="0"/>
        <w:jc w:val="left"/>
        <w:rPr>
          <w:rFonts w:ascii="Times New Roman" w:hAnsi="Times New Roman"/>
          <w:sz w:val="20"/>
        </w:rPr>
      </w:pPr>
      <w:r>
        <w:rPr>
          <w:rFonts w:ascii="Times New Roman" w:hAnsi="Times New Roman"/>
          <w:sz w:val="20"/>
        </w:rPr>
        <w:t xml:space="preserve">Hereditary Hemorrhagic Telangiectasia (HHT), also known as Osler-Weber-Rendu syndrome, is the second most common genetic bleeding disorder. It has been estimated that there are up to 70,000 HHT patients in the USA and it has also been estimated that up to 10-20%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 radiologic embolization, such as AVMs in the lung, others cannot, especially in the liver. Indeed, for patients with prominent liver AVMs, the only therapeutic option may be transplantation. </w:t>
      </w:r>
    </w:p>
    <w:p>
      <w:pPr>
        <w:pStyle w:val="TextBody"/>
        <w:bidi w:val="0"/>
        <w:spacing w:before="240" w:after="0"/>
        <w:jc w:val="left"/>
        <w:rPr>
          <w:rFonts w:ascii="Times New Roman" w:hAnsi="Times New Roman"/>
          <w:sz w:val="20"/>
        </w:rPr>
      </w:pPr>
      <w:r>
        <w:rPr>
          <w:rFonts w:ascii="Times New Roman" w:hAnsi="Times New Roman"/>
          <w:sz w:val="20"/>
        </w:rPr>
        <w:t xml:space="preserve">While there are no approved medical therapies for HHT, anti-VEGF therapies including bevacizumab have been used on an </w:t>
      </w:r>
      <w:r>
        <w:rPr>
          <w:rFonts w:ascii="Times New Roman" w:hAnsi="Times New Roman"/>
          <w:i/>
          <w:sz w:val="20"/>
        </w:rPr>
        <w:t>ad hoc</w:t>
      </w:r>
      <w:r>
        <w:rPr>
          <w:rFonts w:ascii="Times New Roman" w:hAnsi="Times New Roman"/>
          <w:sz w:val="20"/>
        </w:rPr>
        <w:t xml:space="preserve"> basis with results demonstrating that an anti-angiogenic therapy has the potential to be an efficacious treatment. These therapies have been shown to reduce angiogenesis and bleeding in mouse models of HHT. Importantly, these data have translated to the clinic, as small investigator-sponsored trials in HHT patients have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early suggestion of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HHT is a genetic disorder due to loss-of-function mutations in proteins in the BMP9/10-Endoglin-ALK1-SMAD4 signaling pathway. BMP9 is a member of the TGF-beta family of growth factors that regulate blood 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 Candidate for the Treatment of HHT </w:t>
      </w:r>
    </w:p>
    <w:p>
      <w:pPr>
        <w:pStyle w:val="TextBody"/>
        <w:bidi w:val="0"/>
        <w:spacing w:before="120" w:after="0"/>
        <w:jc w:val="left"/>
        <w:rPr>
          <w:rFonts w:ascii="Times New Roman" w:hAnsi="Times New Roman"/>
          <w:sz w:val="20"/>
        </w:rPr>
      </w:pPr>
      <w:r>
        <w:rPr>
          <w:rFonts w:ascii="Times New Roman" w:hAnsi="Times New Roman"/>
          <w:sz w:val="20"/>
        </w:rPr>
        <w:t xml:space="preserve">Tectonic has identified potential development candidates, from which one could be selected for further development as a potential treatment for HHT. These comprise a potent inhibitory anti-“GPCR3” antibody (VHH) linked to the Fc portion of IgG1. The Fc portion of these molecules was modified to reduce Fcg receptor activation and to increase binding to FcRn, in order to enhance the half-life of the molecules.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Pharmacology Studies </w:t>
      </w:r>
    </w:p>
    <w:p>
      <w:pPr>
        <w:pStyle w:val="TextBody"/>
        <w:bidi w:val="0"/>
        <w:spacing w:before="120" w:after="0"/>
        <w:jc w:val="left"/>
        <w:rPr>
          <w:rFonts w:ascii="Times New Roman" w:hAnsi="Times New Roman"/>
          <w:sz w:val="20"/>
        </w:rPr>
      </w:pPr>
      <w:r>
        <w:rPr>
          <w:rFonts w:ascii="Times New Roman" w:hAnsi="Times New Roman"/>
          <w:sz w:val="20"/>
        </w:rPr>
        <w:t xml:space="preserve">Several murine models of HHT have been established. These include both genetic loss-of-function models that disrupt the BMP9/10-Endoglin-ALK1-SMAD4 signaling pathway at different points, and the BMP9/10 immunoblocked model. In several of these murine models of HHT, anti-VEGF or anti-VEGF receptor agents reduce AVM formation and spontaneous bleeding. As referenced above, since bevacizumab, an anti-VEGF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Tectonic has established a pharmacodynamic model of spontaneous murine neonatal retinal angiogenesis. In this model, treatment with a potent mouse “GPCR3” Nb-Fc antagonist reduces neo-angiogenesis and vascularized area in the neonatal mouse retina. Tectonic has also established the BMP9/10-immunoblocked mouse model of HHT. This model reliably leads to the development of telangiectasias, AVMs and bleeding in organs including the GI tract and brain. In this model, Tectonic’s “GPCR3” antagonist significantly reduces both arteriovenous malformations (AVMs), retinal vascular density induced by BMP9/BMP10 blockade to a similar degree as a VEGF antagonist (Figure 11), a N=7 retinas were used for AVM number determination. This demonstrates that pharmacologic inhibition of GPCR3 provides significant effects on endpoints relevant to HHT patients. Additional </w:t>
      </w:r>
      <w:r>
        <w:rPr>
          <w:rFonts w:ascii="Times New Roman" w:hAnsi="Times New Roman"/>
          <w:i/>
          <w:sz w:val="20"/>
        </w:rPr>
        <w:t>in vivo</w:t>
      </w:r>
      <w:r>
        <w:rPr>
          <w:rFonts w:ascii="Times New Roman" w:hAnsi="Times New Roman"/>
          <w:sz w:val="20"/>
        </w:rPr>
        <w:t xml:space="preserve"> studies characterizing the effects of “GPCR3” antagonism on additional HHT relevant vascular pathology endpoints in mice are planned.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460115" cy="161861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460115" cy="16186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Figure 11 – Anti-“GPCR3” Antibody Treatment Significantly Reduces AVMs and Lessens Retinal Vascular Density Induced by BMP9/10 Blockade Compared to Treatment with Inactive Control Antibody (IgG2a/2b). Left Panel: Determination of AVM number and right panel; determination of vascular density in the retinal plexus in neonatal mice at P6 comparing “GPCR3” antagonist, isotope control antibody and a VEGF-A antibody antagonist. In all cases, data analysis was blinded. Data are mean ± SEM and analyzed using one-way ANOVA. * p&lt;0.05; **** p&lt;0.0001. Data represents N=7 mice per group. The vascular density values were generated by collecting five 200 x 200 mm2 from different fields per retina and analyzed using the ImageJ, measure particles tool software. AVM and vascular density analysis was carried out in a blinded fashion.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Clinical Development Plans </w:t>
      </w:r>
    </w:p>
    <w:p>
      <w:pPr>
        <w:pStyle w:val="TextBody"/>
        <w:bidi w:val="0"/>
        <w:spacing w:before="120" w:after="0"/>
        <w:jc w:val="left"/>
        <w:rPr>
          <w:rFonts w:ascii="Times New Roman" w:hAnsi="Times New Roman"/>
          <w:sz w:val="20"/>
        </w:rPr>
      </w:pPr>
      <w:r>
        <w:rPr>
          <w:rFonts w:ascii="Times New Roman" w:hAnsi="Times New Roman"/>
          <w:sz w:val="20"/>
        </w:rPr>
        <w:t xml:space="preserve">Provided that it meets acceptable safety, tolerability and developability criteria in upcoming studies, a development candidate (DC) could be selected for further progression into clinical studies, which could begin sometime in Q4/2025-Q1/2026. </w:t>
      </w:r>
    </w:p>
    <w:p>
      <w:pPr>
        <w:pStyle w:val="TextBody"/>
        <w:bidi w:val="0"/>
        <w:spacing w:before="240" w:after="0"/>
        <w:jc w:val="left"/>
        <w:rPr>
          <w:rFonts w:ascii="Times New Roman" w:hAnsi="Times New Roman"/>
          <w:sz w:val="20"/>
        </w:rPr>
      </w:pPr>
      <w:r>
        <w:rPr>
          <w:rFonts w:ascii="Times New Roman" w:hAnsi="Times New Roman"/>
          <w:sz w:val="20"/>
        </w:rPr>
        <w:t xml:space="preserve">The Phase 1 program for this DC would consist of a randomized, placebo-controlled, double-blind single ascending-dose and multiple dose study that would be performed in healthy volunteers or mild HHT patients. Likely primary endpoints would be the safety and tolerability of the DC in these subjects, and likely secondary endpoints would be the pharmacokinetic properties of the DC and potentially PD endpoints in patients with HHT.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Assuming adequate PK and safety are established in Phase 1, efficacy stud(ies) including a Phase 2 randomized, placebo-controlled, double-blind 3-month proof of concept (POC) study in HHT patients with frequent epistaxis and anemia would be conducted. </w:t>
      </w:r>
    </w:p>
    <w:p>
      <w:pPr>
        <w:pStyle w:val="TextBody"/>
        <w:bidi w:val="0"/>
        <w:spacing w:before="360" w:after="0"/>
        <w:jc w:val="left"/>
        <w:rPr>
          <w:rFonts w:ascii="Times New Roman" w:hAnsi="Times New Roman"/>
          <w:b/>
          <w:sz w:val="20"/>
        </w:rPr>
      </w:pPr>
      <w:bookmarkStart w:id="139" w:name="toc770053_143"/>
      <w:bookmarkEnd w:id="139"/>
      <w:r>
        <w:rPr>
          <w:rFonts w:ascii="Times New Roman" w:hAnsi="Times New Roman"/>
          <w:b/>
          <w:sz w:val="20"/>
        </w:rPr>
        <w:t xml:space="preserve">Background on GEODeTM Platform </w:t>
      </w:r>
    </w:p>
    <w:p>
      <w:pPr>
        <w:pStyle w:val="TextBody"/>
        <w:bidi w:val="0"/>
        <w:spacing w:before="120" w:after="0"/>
        <w:jc w:val="left"/>
        <w:rPr>
          <w:rFonts w:ascii="Times New Roman" w:hAnsi="Times New Roman"/>
          <w:sz w:val="20"/>
        </w:rPr>
      </w:pPr>
      <w:r>
        <w:rPr>
          <w:rFonts w:ascii="Times New Roman" w:hAnsi="Times New Roman"/>
          <w:sz w:val="20"/>
        </w:rPr>
        <w:t xml:space="preserve">Tectonic believes that its GEODeTM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successful GPCR targeted therapeutics to date are small molecules, however, the success of this modality has been largely confined to just 6 GPCR subfamilies, many of which have a natural ligand that is also a small molecule. Establishing and maintaining target engagement and selectivity, therefore, for small molecules has proven challenging for receptors of increased size and complexity, greater sequence homology in ligand binding sites, or where subfamilies have overlapping ligands. </w:t>
      </w:r>
    </w:p>
    <w:p>
      <w:pPr>
        <w:pStyle w:val="TextBody"/>
        <w:bidi w:val="0"/>
        <w:spacing w:before="240" w:after="0"/>
        <w:jc w:val="left"/>
        <w:rPr>
          <w:rFonts w:ascii="Times New Roman" w:hAnsi="Times New Roman"/>
          <w:sz w:val="20"/>
        </w:rPr>
      </w:pPr>
      <w:r>
        <w:rPr>
          <w:rFonts w:ascii="Times New Roman" w:hAnsi="Times New Roman"/>
          <w:sz w:val="20"/>
        </w:rPr>
        <w:t xml:space="preserve">GEODeTM was developed with the aim of addressing the challenges of GPCR targeted biologics via a combination of (1) GPCR protein engineering strategies that stabilize the pharmacologically relevant form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The Tectonic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 </w:t>
      </w:r>
    </w:p>
    <w:p>
      <w:pPr>
        <w:pStyle w:val="TextBody"/>
        <w:bidi w:val="0"/>
        <w:spacing w:before="360" w:after="0"/>
        <w:jc w:val="left"/>
        <w:rPr>
          <w:rFonts w:ascii="Times New Roman" w:hAnsi="Times New Roman"/>
          <w:b/>
          <w:sz w:val="20"/>
        </w:rPr>
      </w:pPr>
      <w:bookmarkStart w:id="140" w:name="toc770053_144"/>
      <w:bookmarkEnd w:id="140"/>
      <w:r>
        <w:rPr>
          <w:rFonts w:ascii="Times New Roman" w:hAnsi="Times New Roman"/>
          <w:b/>
          <w:sz w:val="20"/>
        </w:rPr>
        <w:t xml:space="preserve">Summary of Tectonic’s Expertise in GPCRs and mAb Discovery </w:t>
      </w:r>
    </w:p>
    <w:p>
      <w:pPr>
        <w:pStyle w:val="TextBody"/>
        <w:bidi w:val="0"/>
        <w:spacing w:before="120" w:after="0"/>
        <w:jc w:val="left"/>
        <w:rPr>
          <w:rFonts w:ascii="Times New Roman" w:hAnsi="Times New Roman"/>
          <w:sz w:val="20"/>
        </w:rPr>
      </w:pPr>
      <w:r>
        <w:rPr>
          <w:rFonts w:ascii="Times New Roman" w:hAnsi="Times New Roman"/>
          <w:sz w:val="20"/>
        </w:rPr>
        <w:t xml:space="preserve">Tectonic’s optimized GPCR-targeted antibody discovery process comprises the following steps: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1.</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Optimization, stabilization, and formulation of GPCRs </w:t>
            </w:r>
            <w:r>
              <w:rPr>
                <w:rFonts w:ascii="Times New Roman" w:hAnsi="Times New Roman"/>
                <w:sz w:val="20"/>
              </w:rPr>
              <w:t xml:space="preserve">using proprietary protein engineering and biochemistry techniques, to produce sufficient target material in the correct conformation, as a reagent for discovery campaigns. Tectonic uses structure-based homology modeling and prediction to engineer changes into the receptor that can bias it into an active or inactive state. These changes can also increase receptor cell surface expression and stability. Also, because the lipid bilayer surrounding a receptor can strongly affect its activation, Tectonic has developed techniques to present its targets in a variety of different membrane mimetics that recapitulate the lipid bilayer environment that the receptor is embedded in. Tectonic has also taken a machine learning guided protein engineering approach to generate G-protein mimetics that can stabilize GPCRs in their active state conformation. This stabilized protein complex can be used to discover agonist antibodies during yeast display selection campaigns.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Optimized and streamlined yeast display antibody selection protocols</w:t>
            </w:r>
            <w:r>
              <w:rPr>
                <w:rFonts w:ascii="Times New Roman" w:hAnsi="Times New Roman"/>
                <w:sz w:val="20"/>
              </w:rPr>
              <w:t xml:space="preserve"> that minimize false positive hits from non-specific binders and can productively pull initial hits from discovery campaign. Tectonic employs antibody libraries designed and optimized for targeting GPCRs, novel tagging strategies, and make extensive use of automation in its protocols. In some circumstances Tectonic compares multiple approaches, including animal immunization for generating initial hits against targets of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High throughput GPCR binding assessment </w:t>
            </w:r>
            <w:r>
              <w:rPr>
                <w:rFonts w:ascii="Times New Roman" w:hAnsi="Times New Roman"/>
                <w:sz w:val="20"/>
              </w:rPr>
              <w:t xml:space="preserve">to confirm binding of purified antibodies to target of interest. This step enables rapid narrowing of the set of initial hits to focus on the most productive options available.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GPCR signaling assays </w:t>
            </w:r>
            <w:r>
              <w:rPr>
                <w:rFonts w:ascii="Times New Roman" w:hAnsi="Times New Roman"/>
                <w:sz w:val="20"/>
              </w:rPr>
              <w:t xml:space="preserve">to confirm that hits which were identified in the selection campaign and confirmed as target binders, are also functionally active to modulate signaling through the target of interest. Tectonic has implemented a wide range of signaling assays that can support characterization of hits against different GPCR targets.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Antibody Lead optimization </w:t>
            </w:r>
            <w:r>
              <w:rPr>
                <w:rFonts w:ascii="Times New Roman" w:hAnsi="Times New Roman"/>
                <w:sz w:val="20"/>
              </w:rPr>
              <w:t xml:space="preserve">via affinity maturation to further improve either potency, selectivity, cross-species reactivity, developability characteristics or any combination of the above. </w:t>
            </w:r>
          </w:p>
        </w:tc>
      </w:tr>
    </w:tbl>
    <w:p>
      <w:pPr>
        <w:pStyle w:val="TextBody"/>
        <w:bidi w:val="0"/>
        <w:spacing w:before="360" w:after="0"/>
        <w:jc w:val="left"/>
        <w:rPr>
          <w:rFonts w:ascii="Times New Roman" w:hAnsi="Times New Roman"/>
          <w:b/>
          <w:sz w:val="20"/>
        </w:rPr>
      </w:pPr>
      <w:bookmarkStart w:id="141" w:name="toc770053_145"/>
      <w:bookmarkEnd w:id="141"/>
      <w:r>
        <w:rPr>
          <w:rFonts w:ascii="Times New Roman" w:hAnsi="Times New Roman"/>
          <w:b/>
          <w:sz w:val="20"/>
        </w:rPr>
        <w:t xml:space="preserve">Collaboration, License and Services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Harvard Option and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entered into a license agreement with Harvard (the “Harvard License Agreement”). Under the Harvard License Agreement, Tectonic obtained (i) an exclusive, worldwide, royalty-bearing license under Harvard’s interests in the Patent Rights, and (ii) a non-exclusive, worldwide, royalty-bearing license to use Harvard’s interest in certain know-how to develop, manufacture and commercialize licensed products and know-how enabled products, and (iii) a non-exclusive, worldwide, royalty-bearing license to use discovery materials to develop, manufacture and commercialize discovered products. Harvard retained the right for itself and for other not-for-profit research organizations and government agencies to practice the Patent Rights and to use Harvard’s know-how and discovery materials within the scope of the license granted for research, educational and scholarly purposes.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use commercially reasonable efforts to develop royalty-bearing products and, once regulatory approval is received, to introduce and market such products into the commercial market and to make such products available at locally-affordable prices in certain countries outside the United States and Europe. Tectonic is also required to meet certain development and commercialization diligence milestones within specified time periods.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enabled products sold in certain countries outside of the United States and Europe, Tectonic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 xml:space="preserve">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Harvard may terminate the Harvard License Agreement if Tectonic fails to maintain insurance at specified levels or fails to comply with the notice requirements therein, upon Tectonic’s uncured material breach or insolvency. Tectonic may terminate the Harvard License Agreement at any time with or without cause upon a specified notice period and upon an uncured material breach by Harvard.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WuXi Master Development and Manufacturing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6, 2022, Tectonic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Tectonic on a project-by-project basis. Such services are performed under agreed-upon work orders. Under the terms of the WuXi Biologics Manufacturing Agreement, Tectonic has agreed to pay fees for WuXi Biologics’ performance of services in addition to reimbursing WuXi Biologics for reasonable expenses authorized by Tectonic and as provided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WuXi Biologics Manufacturing Agreement will expire on the later of May 6, 2025 or the completion of the services under all work orders executed by the parties prior to May 6, 2025, provided that the term may be extended by Tectonic for additional periods. Tectonic will have the right to terminate the WuXi Biologics Manufacturing Agreement or any work order upon thirty days’ prior written notice or immediately if, in Tectonic’s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 </w:t>
      </w:r>
    </w:p>
    <w:p>
      <w:pPr>
        <w:pStyle w:val="TextBody"/>
        <w:bidi w:val="0"/>
        <w:spacing w:before="240" w:after="0"/>
        <w:jc w:val="left"/>
        <w:rPr>
          <w:rFonts w:ascii="Times New Roman" w:hAnsi="Times New Roman"/>
          <w:sz w:val="20"/>
        </w:rPr>
      </w:pPr>
      <w:r>
        <w:rPr>
          <w:rFonts w:ascii="Times New Roman" w:hAnsi="Times New Roman"/>
          <w:sz w:val="20"/>
        </w:rPr>
        <w:t xml:space="preserve">The WuXi Biologics Manufacturing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Novotech Master Clinical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March 2023, Tectonic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Tectonic on a project-by-project basis. Such services are performed under agreed statements of work. Under the terms of the Novotech CSA, Tectonic has agreed to pay fees for Novotech’s performance of services in addition to reimbursing Novotech for reasonably incurred, pass through costs agreed to by Tectonic and as provided in each applicable statement of work. Additionally, under the terms of the Novotech CSA, all documentation, information, and biological, chemical or other materials controlled by Tectonic and furnished to Novotech by or on behalf of Tectonic shall remain the exclusive property of Tectonic, and Tectonic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Tectonic may terminate the Novotech CSA or any statement of work thereunder immediately if Novotech has committed an uncurable breach or has failed to cure a breach after thirty days’ written notice. Tectonic may also terminate the Novotech CSA or any statement of work thereunder for any reason upon thirty days’ prior written notice to Novotech. Novotech may terminate the Novotech CSA or any statement of work thereunder immediately if Tectonic has failed to cure a material breach after thirty days’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The Novotech CSA includes customary terms relating to, among others, indemnification, intellectual property protection, confidentiality, non-solicitation,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ARENSIA Master Agreement for Early Phase Clinical Services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Tectonic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Tectonic on a project-by-project basis. Such services are performed under agreed work orders. Under the terms of the Arensia CSA, Tectonic has agreed to pay fees for Arensia’s performance of services in addition to reimbursing Arensia for pre-approved, reasonable expenses actually and necessarily incurred by Arensia as specified in each applicable work order.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Tectonic may terminate a work order if the study governed by such work order is suspended for more than thirty days and either party may terminate a work order for reasonable scientific safety reasons. Tectonic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 </w:t>
      </w:r>
    </w:p>
    <w:p>
      <w:pPr>
        <w:pStyle w:val="TextBody"/>
        <w:bidi w:val="0"/>
        <w:spacing w:before="240" w:after="0"/>
        <w:jc w:val="left"/>
        <w:rPr>
          <w:rFonts w:ascii="Times New Roman" w:hAnsi="Times New Roman"/>
          <w:sz w:val="20"/>
        </w:rPr>
      </w:pPr>
      <w:r>
        <w:rPr>
          <w:rFonts w:ascii="Times New Roman" w:hAnsi="Times New Roman"/>
          <w:sz w:val="20"/>
        </w:rPr>
        <w:t xml:space="preserve">The Arensia CSA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QPS Holdings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Tectonic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Tectonic on a project-by-project basis. Such services are performed under agreed statements of work. Under the terms of the QPS Agreement, Tectonic has agreed to pay for QPS’s performance of the services as specified in the applicable statement of work. Additionally, under the terms of the QPS Agreement, all documentation, information, and biological, chemical or other materials controlled by Tectonic and furnished to QPS by or on behalf of Tectonic shall remain the exclusive property of Tectonic, and Tectonic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QPS Agreement will expire on the later of: (i) two years from the effective date of the QPS Agreement, or October 2025, or (ii) the completion of the services under all work orders executed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 anniversary of the effective date of the QPS Agreement, or October 2025. Tectonic may terminate the QPS Agreement or any statement of work thereunder for any reason upon thirty days’ prior written notice or immediately if QPS commits an uncurable breach of the QPS Agreement. QPS may terminate the QPS Agreement or any statement of work thereunder if Tectonic has failed to cure a material breach after thirty days’ written notice or may terminate the QPS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QPS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ITR LABORATORIES Master Contract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Tectonic entered into a master contract services agreement (the “ITR Agreement”) with ITR Laboratories Canada Inc. (“ITR”). The ITR Agreement governs the general terms under which ITR, or one of its affiliates, will provide services (excluding GMP manufacturing and clinical development related services) as specified by Tectonic on a project-by-project basis. Such services are performed under agreed statements of work. Under the terms of the ITR Agreement, Tectonic has agreed to pay for ITR’s performance of the services as specified in the applicable statement of work. Additionally, under the terms of the ITR Agreement, all documentation, information, and biological, chemical or other materials controlled by Tectonic and furnished to ITR by or on behalf of Tectonic shall remain the exclusive property of Tectonic, and Tectonic shall own all rights to, and ITR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ITR’s services.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ITR Agreement will expire on the later of (i) two years from the effective date of the ITR Agreement, or February 2024; or (ii) the completion of the services under all work orders executed prior to the second anniversary of the effective date of the ITR Agreement, or February 2024. Tectonic may terminate the ITR Agreement or any statement of work thereunder for any reason upon thirty days’ prior written notice or immediately if ITR commits an uncurable breach of the ITR Agreement. ITR may terminate the ITR Agreement or any statement of work thereunder if Tectonic has failed to cure a material breach after thirty days’ written notice or may terminate the ITR Agreement for any reason upon sixty days’ prior written notice provided there are no active statements of work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ITR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sz w:val="20"/>
        </w:rPr>
      </w:pPr>
      <w:bookmarkStart w:id="142" w:name="toc770053_146"/>
      <w:bookmarkEnd w:id="142"/>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Tectonic strives to protect and enhance the proprietary technologies, inventions and improvements that it believe are important to Tectonic’s business, including seeking, maintaining and defending patent rights, whether developed internally or licensed from third parties. Tectonic’s policy is to seek to protect its proprietary position by, among other methods, pursuing and obtaining patent protection in the United States and in jurisdictions outside of the United States related to Tectonic’s proprietary technology, inventions, improvements, platforms and Tectonic product candidates that are important to the development and implementation of Tectonic’s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9, 2024, Tectonic’s patent portfolio includes two pending U.S. non-provisional applications, two pending international (Patent Cooperation Treaty) applications, and nine pending foreign applications relating to Fc-relaxin fusion protein compositions (including TX45) and methods of use thereof. Specifically, Tectonic has exclusively in-licensed one patent family from the President and Fellows of Harvard College that consists of one pending U.S. non-provisional patent application and nine pending foreign applications in Australia, Canada, China, Europe, Israel, Japan, Korea, Mexico, and Singapore, with any patent issuing from these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having an expected 20-year expiry date of not earlier than May 2041. Tectonic also wholly owns one patent family that consists of one pending U.S. non-provisional patent application and one pending Patent Cooperation Treaty application, with any patent issuing from these applications having an expected 20-year expiry date of not earlier than November 2042. Tectonic also co-owns one patent family with ModernaTX, Inc., which consists of one pending Patent Cooperation Treaty application relating to constitutively active modified G protein-coupled receptors and methods of use thereof, with any patent issuing from this application having an expected 20-year expiry date of not earlier than August 2043.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Tectonics relies upon trade secrets and know-how and continuing technological innovation to develop and maintain its competitive position. Tectonic seeks to protect its proprietary information, in part, using confidentiality agreements with Tectonic collaborators, employees and consultants and invention assignment agreements with Tectonic employees. Tectonic also has confidentiality agreements or invention assignment agreements with Tectonic collaborators and selected consultants. These agreements are designed to protect Tectonic proprietary information and, in the case of the invention assignment agreements, to grant Tectonic ownership of technologies that are developed through a relationship with a third party. These agreements may be breached, and Tectonic may not have adequate remedies for any breach. In addition, Tectonic’s trade secrets may otherwise become known or be independently discovered by competitors. To the extent that Tectonic’s collaborators, employees and consultants use intellectual property owned by others in their work for Tectonic, disputes may arise as to the rights in related or resulting know-how and inventions. </w:t>
      </w:r>
    </w:p>
    <w:p>
      <w:pPr>
        <w:pStyle w:val="TextBody"/>
        <w:bidi w:val="0"/>
        <w:spacing w:before="240" w:after="0"/>
        <w:jc w:val="left"/>
        <w:rPr>
          <w:rFonts w:ascii="Times New Roman" w:hAnsi="Times New Roman"/>
          <w:sz w:val="20"/>
        </w:rPr>
      </w:pPr>
      <w:r>
        <w:rPr>
          <w:rFonts w:ascii="Times New Roman" w:hAnsi="Times New Roman"/>
          <w:sz w:val="20"/>
        </w:rPr>
        <w:t>Tectonic’s commercial success will also depend in part on not infringing upon the proprietary rights of third parties. It is uncertain whether the issuance of any third-party patent would require Tectonic to alter its development or commercial strategies, or its product candidates or processes, obtain licenses or cease certain activities. Tectonic’s breach of any license agreements or failure to obtain a license to proprietary rights that Tectonic may require to develop or commercialize Tectonic’s future product candidates may have an adverse impact on Tectonic. If third parties have prepared and filed patent applications prior to March 16, 2013 in the United States that also claim technology to which Tectonic has rights, Tectonic may have to participate in interference proceedings in the USPTO, to determine priority of invention. For more information, please see “</w:t>
      </w:r>
      <w:r>
        <w:rPr>
          <w:rFonts w:ascii="Times New Roman" w:hAnsi="Times New Roman"/>
          <w:i/>
          <w:sz w:val="20"/>
        </w:rPr>
        <w:t>Risk Factors — Risks Related to Intellectual Property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Given Tectonic’s stage of development, it has not yet established a commercial organization or distribution capabilities. </w:t>
      </w:r>
    </w:p>
    <w:p>
      <w:pPr>
        <w:pStyle w:val="TextBody"/>
        <w:bidi w:val="0"/>
        <w:spacing w:before="360" w:after="0"/>
        <w:jc w:val="left"/>
        <w:rPr>
          <w:rFonts w:ascii="Times New Roman" w:hAnsi="Times New Roman"/>
          <w:b/>
          <w:sz w:val="20"/>
        </w:rPr>
      </w:pPr>
      <w:bookmarkStart w:id="143" w:name="toc770053_147"/>
      <w:bookmarkEnd w:id="143"/>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Tectonic does not currently own or operate manufacturing facilities for the production of clinical or commercial quantities of its lead product candidate TX45. Tectonic currently relies, and expects to continue to rely for the foreseeable future, on third-party contract manufacturing organizations, or CMOs, to produce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for preclinical and clinical testing, as well as for future commercial manufacture of any products that it may commercialize. </w:t>
      </w:r>
    </w:p>
    <w:p>
      <w:pPr>
        <w:pStyle w:val="TextBody"/>
        <w:bidi w:val="0"/>
        <w:spacing w:before="240" w:after="0"/>
        <w:jc w:val="left"/>
        <w:rPr>
          <w:rFonts w:ascii="Times New Roman" w:hAnsi="Times New Roman"/>
          <w:sz w:val="20"/>
        </w:rPr>
      </w:pPr>
      <w:r>
        <w:rPr>
          <w:rFonts w:ascii="Times New Roman" w:hAnsi="Times New Roman"/>
          <w:sz w:val="20"/>
        </w:rPr>
        <w:t xml:space="preserve">Tectonic requires its CMOs to conduct manufacturing activities in compliance with current good manufacturing practice, or cGMP, requirements. It has assembled a team of experienced employees and consultants to provide the necessary technical, quality and regulatory oversight over its CMOs. Currently, Tectonic contracts with one third-party manufacturer, WuXi Biologics, to provide biologics development and manufacturing services. In the future, Tectonic may engage additional third-party manufacturers to support any clinical trials for TX45 as well as commercialization of TX45, if approved, in the United States or other jurisdictions or the clinical development and potential commercialization of additional programs from its pipeline. </w:t>
      </w:r>
    </w:p>
    <w:p>
      <w:pPr>
        <w:pStyle w:val="TextBody"/>
        <w:bidi w:val="0"/>
        <w:spacing w:before="240" w:after="0"/>
        <w:jc w:val="left"/>
        <w:rPr>
          <w:rFonts w:ascii="Times New Roman" w:hAnsi="Times New Roman"/>
          <w:sz w:val="20"/>
        </w:rPr>
      </w:pPr>
      <w:r>
        <w:rPr>
          <w:rFonts w:ascii="Times New Roman" w:hAnsi="Times New Roman"/>
          <w:sz w:val="20"/>
        </w:rPr>
        <w:t xml:space="preserve">Tectonic relies on WuXi Biologics to perform all chemistry, manufacturing, and controls (“CMC”) activities related to its TX45 program. Tectonic requires that WuXi Biologics produces bulk drug substances and finished drug products in accordance with current Good Manufacturing Practices (“cGMPs”), and all other applicable laws and regulations. In addition, Tectonic relies on WuXi Biologics to operate facilities that meet regulatory requirements for production and testing of clinical and commercial products and to work closely with Tectonic to validate manufacturing processes prior to commercial launch. Tectonic oversees WuXi Biologics by performing technical and quality assurance review and/or approval of cGMP documentation, establishing quality agreements to define responsibilities and expectations for goods and services, and observing production and testing activities, among other activities. </w:t>
      </w:r>
    </w:p>
    <w:p>
      <w:pPr>
        <w:pStyle w:val="TextBody"/>
        <w:bidi w:val="0"/>
        <w:spacing w:before="360" w:after="0"/>
        <w:jc w:val="left"/>
        <w:rPr>
          <w:rFonts w:ascii="Times New Roman" w:hAnsi="Times New Roman"/>
          <w:b/>
          <w:sz w:val="20"/>
        </w:rPr>
      </w:pPr>
      <w:bookmarkStart w:id="144" w:name="toc770053_148"/>
      <w:bookmarkEnd w:id="144"/>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the rapid evolution of technologies and understanding of disease etiology, intense competition and a strong emphasis on intellectual property. Tectonic believe that its approach, strategy, scientific capabilities, know-how and experience provide it with competitive advantages. However, Tectonic expects substantial competition from multiple sources, including major pharmaceutical, specialty pharmaceutical, and existing or emerging biotechnology companies, academic research institutions and governmental agencies and public and private research institutions worldwide. Many of Tectonic’s competitors, either alone or with their collaborations, have significantly greater financial resources and expertise in research and development, manufacturing, preclinical testing, conducting clinical trials, obtaining regulatory approvals and marketing approved products than Tectonic does. Smaller or early-stage companies may also prove to be significant competitors, particularly through collaborative arrangements with large and established companies. These competitors also compete with Tectonic in recruiting and retaining qualified scientific and management personnel and establishing clinical trial sites and patient enrollment in clinical trials, as well as in acquiring technologies complementary to, or necessary for, Tectonic’s programs. As a result, Tectonic’s competitors may discover, develop, license or commercialize products before or more successfully than it does. </w:t>
      </w:r>
    </w:p>
    <w:p>
      <w:pPr>
        <w:pStyle w:val="TextBody"/>
        <w:bidi w:val="0"/>
        <w:spacing w:before="240" w:after="0"/>
        <w:jc w:val="left"/>
        <w:rPr>
          <w:rFonts w:ascii="Times New Roman" w:hAnsi="Times New Roman"/>
          <w:sz w:val="20"/>
        </w:rPr>
      </w:pPr>
      <w:r>
        <w:rPr>
          <w:rFonts w:ascii="Times New Roman" w:hAnsi="Times New Roman"/>
          <w:sz w:val="20"/>
        </w:rPr>
        <w:t xml:space="preserve">Tectonic faces competition from companies that are pursuing development of engineered proteins based on human relaxin including Lilly and AstraZeneca, both of whom are currently conducting Phase 2 trials. To Tectonic’s knowledge, neither of these companies have a specific focus on the Group 2 PH / HFpEF population, and, instead, are pursuing either the broader HFpEF population (Lilly) or Group 2 PH in the setting of either HFpEF or hFrEF (AstraZeneca). AstraZeneca has also reported efforts with a small molecule agonist of the RXFP1 receptor and initiated clinical studies; however, the status of its development is unclear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the HHT space, Vaderis has been pursuing development of an oral AKT inhibitor for the treatment of this condition. Investigator-initiated studies of nintendanib (Boehringer Ingelheim) and pazopanib (Novartis) are also ongoing to explore the potential utility of these kinase inhibitors to treat this condition. </w:t>
      </w:r>
    </w:p>
    <w:p>
      <w:pPr>
        <w:pStyle w:val="TextBody"/>
        <w:bidi w:val="0"/>
        <w:spacing w:before="240" w:after="0"/>
        <w:jc w:val="left"/>
        <w:rPr>
          <w:rFonts w:ascii="Times New Roman" w:hAnsi="Times New Roman"/>
          <w:sz w:val="20"/>
        </w:rPr>
      </w:pPr>
      <w:r>
        <w:rPr>
          <w:rFonts w:ascii="Times New Roman" w:hAnsi="Times New Roman"/>
          <w:sz w:val="20"/>
        </w:rPr>
        <w:t xml:space="preserve">Tectonic’s focus on biologic drugs differentiates it from many competitor GPCR companies whose primary focus is on small molecule drug discovery. Additionally, Tectonic’s GPCR membrane protein biochemistry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which is key for generating optimally stabilized and formulated receptors for antibody selection campaigns, combined with its experience using novel antigen formats differentiates it from in vitro display based antibody discovery. Specifically, Tectonic’s use of membrane mimetics that help maintain native receptor extra-cellular domain conformations combined with the membrane protein biochemistry expertise that Tectonic has built over the last three years is a key point of potential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 </w:t>
      </w:r>
    </w:p>
    <w:p>
      <w:pPr>
        <w:pStyle w:val="TextBody"/>
        <w:bidi w:val="0"/>
        <w:spacing w:before="360" w:after="0"/>
        <w:jc w:val="left"/>
        <w:rPr>
          <w:rFonts w:ascii="Times New Roman" w:hAnsi="Times New Roman"/>
          <w:b/>
          <w:sz w:val="20"/>
        </w:rPr>
      </w:pPr>
      <w:bookmarkStart w:id="145" w:name="toc770053_149"/>
      <w:bookmarkEnd w:id="145"/>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Licensure and regulation of biologics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any product candidates Tectonic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 xml:space="preserve">An applicant seeking approval to market and distribute a new biologic in the United States generally must satisfactorily complete each of the following steps: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preclinical laboratory tests, animal studies and formulation studies performed in accordance with the FDA’s applicable Good Laboratory Practices (“GLP”)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the manufacture, under current good manufacturing practices (“cGMP”) conditions, of the drug substance and drug product that the sponsor intends to use in human clinical trials along with required analytical and stability testing;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application for human clinical testing, which must become effective before human clinical trials may begin;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potency and purity of the product candidate for each proposed indication, in accordance with current good clinical practices (“GCP”)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BLA for a biological product requesting marketing for one or more proposed indications, including submission of detailed information on the manufacture and composition of the product in clinical development and proposed labelling;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by an FDA advisory committee, where appropriate or if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preclinical studies and clinical trial sites to assure compliance with GLP, as applicable, and GCP, and the integrity of clinical data in support of the BLA;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Prescription Drug User Fee Act (“PDUFA”) fees, securing FDA approval of the BLA and licensure of the new biological product;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any post-approval studies or other post-marketing commitments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Preclinical studies and investigational new drug application </w:t>
      </w:r>
    </w:p>
    <w:p>
      <w:pPr>
        <w:pStyle w:val="TextBody"/>
        <w:bidi w:val="0"/>
        <w:spacing w:before="120" w:after="0"/>
        <w:jc w:val="left"/>
        <w:rPr>
          <w:rFonts w:ascii="Times New Roman" w:hAnsi="Times New Roman"/>
          <w:sz w:val="20"/>
        </w:rPr>
      </w:pPr>
      <w:r>
        <w:rPr>
          <w:rFonts w:ascii="Times New Roman" w:hAnsi="Times New Roman"/>
          <w:sz w:val="20"/>
        </w:rPr>
        <w:t xml:space="preserve">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w:t>
      </w:r>
    </w:p>
    <w:p>
      <w:pPr>
        <w:pStyle w:val="TextBody"/>
        <w:bidi w:val="0"/>
        <w:spacing w:before="240" w:after="0"/>
        <w:jc w:val="left"/>
        <w:rPr>
          <w:rFonts w:ascii="Times New Roman" w:hAnsi="Times New Roman"/>
          <w:sz w:val="20"/>
        </w:rPr>
      </w:pPr>
      <w:r>
        <w:rPr>
          <w:rFonts w:ascii="Times New Roman" w:hAnsi="Times New Roman"/>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 </w:t>
      </w:r>
    </w:p>
    <w:p>
      <w:pPr>
        <w:pStyle w:val="TextBody"/>
        <w:bidi w:val="0"/>
        <w:spacing w:before="240" w:after="0"/>
        <w:jc w:val="left"/>
        <w:rPr>
          <w:rFonts w:ascii="Times New Roman" w:hAnsi="Times New Roman"/>
          <w:sz w:val="20"/>
        </w:rPr>
      </w:pPr>
      <w:r>
        <w:rPr>
          <w:rFonts w:ascii="Times New Roman" w:hAnsi="Times New Roman"/>
          <w:sz w:val="20"/>
        </w:rPr>
        <w:t xml:space="preserve">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Tectonic’s planned clinical trials or future clinical trials in a timely manner. </w:t>
      </w:r>
    </w:p>
    <w:p>
      <w:pPr>
        <w:pStyle w:val="TextBody"/>
        <w:bidi w:val="0"/>
        <w:spacing w:before="360" w:after="0"/>
        <w:jc w:val="left"/>
        <w:rPr>
          <w:rFonts w:ascii="Times New Roman" w:hAnsi="Times New Roman"/>
          <w:i/>
          <w:sz w:val="20"/>
        </w:rPr>
      </w:pPr>
      <w:r>
        <w:rPr>
          <w:rFonts w:ascii="Times New Roman" w:hAnsi="Times New Roman"/>
          <w:i/>
          <w:sz w:val="20"/>
        </w:rPr>
        <w:t xml:space="preserve">Human clinical trials in support of a BLA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before="240" w:after="0"/>
        <w:jc w:val="left"/>
        <w:rPr>
          <w:rFonts w:ascii="Times New Roman" w:hAnsi="Times New Roman"/>
          <w:sz w:val="20"/>
        </w:rPr>
      </w:pPr>
      <w:r>
        <w:rPr>
          <w:rFonts w:ascii="Times New Roman" w:hAnsi="Times New Roman"/>
          <w:sz w:val="20"/>
        </w:rPr>
        <w:t xml:space="preserve">A sponsor who wishes to conduct a clinical trial outside the United States may, but need not, obtain FDA authorization to conduct the clinical trial under an IND. When a foreign clinical trial is conducted under an 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typically are conducted in three sequential phases, but the phases may overlap or be combined. Additional studies may be required after approval. </w:t>
      </w:r>
    </w:p>
    <w:p>
      <w:pPr>
        <w:pStyle w:val="TextBody"/>
        <w:bidi w:val="0"/>
        <w:spacing w:before="240" w:after="0"/>
        <w:jc w:val="left"/>
        <w:rPr>
          <w:rFonts w:ascii="Times New Roman" w:hAnsi="Times New Roman"/>
          <w:sz w:val="20"/>
        </w:rPr>
      </w:pPr>
      <w:r>
        <w:rPr>
          <w:rFonts w:ascii="Times New Roman" w:hAnsi="Times New Roman"/>
          <w:i/>
          <w:sz w:val="20"/>
        </w:rPr>
        <w:t xml:space="preserve">Phase 1 </w:t>
      </w:r>
      <w:r>
        <w:rPr>
          <w:rFonts w:ascii="Times New Roman" w:hAnsi="Times New Roman"/>
          <w:sz w:val="20"/>
        </w:rPr>
        <w:t xml:space="preserve">clinical trials are initially conducted in a limited population to test the product candidate for safety, including adverse effects, dose tolerance, absorption, metabolism, distribution, excretion and pharmacodynamics in healthy humans or, on occasion, in patients. </w:t>
      </w:r>
    </w:p>
    <w:p>
      <w:pPr>
        <w:pStyle w:val="TextBody"/>
        <w:bidi w:val="0"/>
        <w:spacing w:before="240" w:after="0"/>
        <w:jc w:val="left"/>
        <w:rPr>
          <w:rFonts w:ascii="Times New Roman" w:hAnsi="Times New Roman"/>
          <w:sz w:val="20"/>
        </w:rPr>
      </w:pPr>
      <w:r>
        <w:rPr>
          <w:rFonts w:ascii="Times New Roman" w:hAnsi="Times New Roman"/>
          <w:i/>
          <w:sz w:val="20"/>
        </w:rPr>
        <w:t xml:space="preserve">Phase 2 </w:t>
      </w:r>
      <w:r>
        <w:rPr>
          <w:rFonts w:ascii="Times New Roman" w:hAnsi="Times New Roman"/>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w:t>
      </w:r>
    </w:p>
    <w:p>
      <w:pPr>
        <w:pStyle w:val="TextBody"/>
        <w:bidi w:val="0"/>
        <w:spacing w:before="240" w:after="0"/>
        <w:jc w:val="left"/>
        <w:rPr>
          <w:rFonts w:ascii="Times New Roman" w:hAnsi="Times New Roman"/>
          <w:sz w:val="20"/>
        </w:rPr>
      </w:pPr>
      <w:r>
        <w:rPr>
          <w:rFonts w:ascii="Times New Roman" w:hAnsi="Times New Roman"/>
          <w:i/>
          <w:sz w:val="20"/>
        </w:rPr>
        <w:t xml:space="preserve">Phase 3 </w:t>
      </w:r>
      <w:r>
        <w:rPr>
          <w:rFonts w:ascii="Times New Roman" w:hAnsi="Times New Roman"/>
          <w:sz w:val="20"/>
        </w:rPr>
        <w:t xml:space="preserve">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 </w:t>
      </w:r>
    </w:p>
    <w:p>
      <w:pPr>
        <w:pStyle w:val="TextBody"/>
        <w:bidi w:val="0"/>
        <w:spacing w:before="240" w:after="0"/>
        <w:jc w:val="left"/>
        <w:rPr>
          <w:rFonts w:ascii="Times New Roman" w:hAnsi="Times New Roman"/>
          <w:sz w:val="20"/>
        </w:rPr>
      </w:pPr>
      <w:r>
        <w:rPr>
          <w:rFonts w:ascii="Times New Roman" w:hAnsi="Times New Roman"/>
          <w:sz w:val="20"/>
        </w:rPr>
        <w:t xml:space="preserve">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about applicable clinical trials must be submitted within specific timeframes to the National Institutes of Health (“NIH”) for public dissemination on its </w:t>
      </w:r>
      <w:r>
        <w:rPr>
          <w:rFonts w:ascii="Times New Roman" w:hAnsi="Times New Roman"/>
          <w:i/>
          <w:sz w:val="20"/>
        </w:rPr>
        <w:t xml:space="preserve">ClinicalTrials.gov </w:t>
      </w:r>
      <w:r>
        <w:rPr>
          <w:rFonts w:ascii="Times New Roman" w:hAnsi="Times New Roman"/>
          <w:sz w:val="20"/>
        </w:rPr>
        <w:t xml:space="preserve">website.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studies </w:t>
      </w:r>
    </w:p>
    <w:p>
      <w:pPr>
        <w:pStyle w:val="TextBody"/>
        <w:bidi w:val="0"/>
        <w:spacing w:before="120" w:after="0"/>
        <w:jc w:val="left"/>
        <w:rPr>
          <w:rFonts w:ascii="Times New Roman" w:hAnsi="Times New Roman"/>
          <w:sz w:val="20"/>
        </w:rPr>
      </w:pPr>
      <w:r>
        <w:rPr>
          <w:rFonts w:ascii="Times New Roman" w:hAnsi="Times New Roman"/>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Compliance with cGMP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before="360" w:after="0"/>
        <w:jc w:val="left"/>
        <w:rPr>
          <w:rFonts w:ascii="Times New Roman" w:hAnsi="Times New Roman"/>
          <w:i/>
          <w:sz w:val="20"/>
        </w:rPr>
      </w:pPr>
      <w:r>
        <w:rPr>
          <w:rFonts w:ascii="Times New Roman" w:hAnsi="Times New Roman"/>
          <w:i/>
          <w:sz w:val="20"/>
        </w:rPr>
        <w:t xml:space="preserve">Review and approval of a BLA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Expedited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before="240" w:after="0"/>
        <w:jc w:val="left"/>
        <w:rPr>
          <w:rFonts w:ascii="Times New Roman" w:hAnsi="Times New Roman"/>
          <w:sz w:val="20"/>
        </w:rPr>
      </w:pPr>
      <w:r>
        <w:rPr>
          <w:rFonts w:ascii="Times New Roman" w:hAnsi="Times New Roman"/>
          <w:sz w:val="20"/>
        </w:rPr>
        <w:t xml:space="preserve">Any product candidate submitted to the FDA for marketing, including under a Fast Track program, may be eligible for other types of FDA programs intended to expedite development and review, such as breakthrough therapy designation, priority review and accelerated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r>
              <w:rPr>
                <w:rFonts w:ascii="Times New Roman" w:hAnsi="Times New Roman"/>
                <w:i/>
                <w:sz w:val="20"/>
              </w:rPr>
              <w:t xml:space="preserve">Breakthrough therapy designation. </w:t>
            </w:r>
            <w:r>
              <w:rPr>
                <w:rFonts w:ascii="Times New Roman" w:hAnsi="Times New Roman"/>
                <w:sz w:val="20"/>
              </w:rPr>
              <w:t xml:space="preserve">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Priority review. </w:t>
            </w:r>
            <w:r>
              <w:rPr>
                <w:rFonts w:ascii="Times New Roman" w:hAnsi="Times New Roman"/>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 xml:space="preserve">Accelerated approval. </w:t>
            </w:r>
            <w:r>
              <w:rPr>
                <w:rFonts w:ascii="Times New Roman" w:hAnsi="Times New Roman"/>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these expedited programs change the standards for approval but they may help expedite the development or approval process of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recall, seizure or detention, or refusal to permit the import or export of products;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before="360" w:after="0"/>
        <w:jc w:val="left"/>
        <w:rPr>
          <w:rFonts w:ascii="Times New Roman" w:hAnsi="Times New Roman"/>
          <w:i/>
          <w:sz w:val="20"/>
        </w:rPr>
      </w:pPr>
      <w:r>
        <w:rPr>
          <w:rFonts w:ascii="Times New Roman" w:hAnsi="Times New Roman"/>
          <w:i/>
          <w:sz w:val="20"/>
        </w:rPr>
        <w:t xml:space="preserve">Biosimilars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No interchangeable biosimilars, however, have been approved. The FDA has issued several guidance documents outlining an approach to review and approval of biosimilars. Additional guidances are expected to be finalized by the FDA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state-regulated, to regulate the use of biosimilars.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Patent term restoration and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360" w:after="0"/>
        <w:jc w:val="left"/>
        <w:rPr>
          <w:rFonts w:ascii="Times New Roman" w:hAnsi="Times New Roman"/>
          <w:i/>
          <w:sz w:val="20"/>
        </w:rPr>
      </w:pPr>
      <w:r>
        <w:rPr>
          <w:rFonts w:ascii="Times New Roman" w:hAnsi="Times New Roman"/>
          <w:i/>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play a primary role in the recommendation and prescription of any product candidates that Tectonic may develop for which Tectonic obtains marketing approval. Tectonic’s current and future arrangements with third-party payors, healthcare providers and customers may implicate broadly applicable fraud and abuse and other healthcare laws and regulations. Restrictions under applicable federal and state healthcare laws and regulations, including certain laws and regulations applicable only if Tectonic has marketed products,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anti-bribery and false claims laws, which may apply to healthcare items or services that are reimbursed by non-governmental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AVROBIO’s activities are potentially subject to federal and state consumer protection and unfair competition laws.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some foreign jurisdictions, there have been and continue to be ongoing efforts to implement legislative and regulatory changes regarding the healthcare system. Such changes could prevent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delay marketing approval of any product candidates that Tectonic may develop, restrict or regulate post-approval activities and affect Tectonic’s ability to profitably sell any product candidates for which Tectonic obtains marketing approval. Although Tectonic cannot predict what healthcare or other reform efforts will be successful, such efforts may result in more rigorous coverage criteria, in additional downward pressure on the price that Tectonic, or Tectonic’s future collaborators, may receive for any approved products or in other consequences that may adversely affect Tectonic’s ability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Tectonic’s business. Modifications have been implemented and additional modifications or repeal may occur. </w:t>
      </w:r>
    </w:p>
    <w:p>
      <w:pPr>
        <w:pStyle w:val="TextBody"/>
        <w:bidi w:val="0"/>
        <w:spacing w:before="240" w:after="0"/>
        <w:jc w:val="left"/>
        <w:rPr>
          <w:rFonts w:ascii="Times New Roman" w:hAnsi="Times New Roman"/>
          <w:sz w:val="20"/>
        </w:rPr>
      </w:pPr>
      <w:r>
        <w:rPr>
          <w:rFonts w:ascii="Times New Roman" w:hAnsi="Times New Roman"/>
          <w:sz w:val="20"/>
        </w:rPr>
        <w:t xml:space="preserve">In August 2022, the Inflation Reduction Act of 2022 (“IRA”) was signed into law. The IRA contains several provisions that may impact Tectonic’s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29, 2023, HHS announced the list of the first ten drugs that will be subject to price negotiations, although there is currently ongoing litigation challenging the constitutionality of the IRA’s Medicare drug price negotiation program.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effects of the IRA on Tectonic’s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pricing regulations, reforms of regulatory approval frameworks may adversely affect Tectonic’s pricing strategy.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similar political, economic and regulatory developments may affect Tectonic’s ability to profitably commercialize Tectonic’s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Tectonic may be required to conduct a clinical trial that compares the cost-effectiveness of any product candidates Tectonic may develop to other available therapies. If reimbursement of Tectonic’s products is unavailable or limited in scope or amount, or if pricing is set at unsatisfactory levels, Tectonic’s business could be harmed, possibly materially. </w:t>
      </w:r>
    </w:p>
    <w:p>
      <w:pPr>
        <w:pStyle w:val="TextBody"/>
        <w:bidi w:val="0"/>
        <w:spacing w:before="360" w:after="0"/>
        <w:jc w:val="left"/>
        <w:rPr>
          <w:rFonts w:ascii="Times New Roman" w:hAnsi="Times New Roman"/>
          <w:i/>
          <w:sz w:val="20"/>
        </w:rPr>
      </w:pPr>
      <w:r>
        <w:rPr>
          <w:rFonts w:ascii="Times New Roman" w:hAnsi="Times New Roman"/>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Tectonic might obtain marketing approval for a product in a particular country, but then be subject to price regulations that delay Tectonic’s commercial launch of the product, possibly for lengthy time periods, and negatively impact the revenues Tectonic is able to generate from the sale of the product in that country. Adverse pricing limitations may hinder Tectonic’s ability to recoup its investment in one or more product candidates, even if its product candidates obtain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Tectonic’s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United States, there is no uniform policy of coverage and reimbursement for products exists among third-party payors. As a result, obtaining coverage and reimbursement approval of a product from a government or other third-party payor is a time-consuming and costly process that could require Tectonic to provide to each payor supporting scientific, clinical and cost-effectiveness data for the use of Tectonic’s products on a payor-by-payor basis, with no assurance that coverage and adequate reimbursement will be obtained. The availability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adequacy of coverage and reimbursement by governmental healthcare programs such as Medicare and Medicaid, private health insurers and other third-party payors are essential for most patients to be able to afford Tectonic’s product candidates, if approved. Tectonic’s ability to achieve acceptable levels of coverage and reimbursement for Tectonic’s product candidates, if approved, by governmental authorities, private health insurers and other organizations will have an effect on Tectonic’s ability to successfully commercialize, Tectonic’s product candidates. Assuming Tectonic obtains coverage for a given product by a third-party payor, the resulting reimbursement payment rates may not be adequate or may require patient out-of-pocket costs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Tectonic commercializes and, even if these are available, the level of reimbursement may not be satisfactory. Reimbursement may affect the demand for, or the price of, any product candidate for which Tectonic obtains marketing approval. Obtaining and maintaining adequate reimbursement for Tectonic’s products may be difficult. Tectonic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Tectonic may not be able to successfully commercialize any product candidate for which Tectonic obtains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Tectonic’s costs, including research, development, manufacture, sale and distribution expenses. Interim reimbursement levels for new drugs, if applicable, may also not be sufficient to cover Tectonic’s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Tectonic’s inability to promptly obtain coverage and adequate reimbursement rates from both government-funded and private payors for any approved products that Tectonic develops could have a material adverse effect on Tectonic’s operating results, Tectonic’s ability to raise capital needed to commercialize products and Tectonic’s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Tectonic’s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Tectonic’s ability to sell Tectonic’s product candidates profitably.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Tectonic will be required to comply with comparable regulations in each jurisdiction outside of the United States in which Tectonic chooses to manufacture, develop or seek marketing authorization for Tectonic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European Union drug development </w:t>
      </w:r>
    </w:p>
    <w:p>
      <w:pPr>
        <w:pStyle w:val="TextBody"/>
        <w:bidi w:val="0"/>
        <w:spacing w:before="120" w:after="0"/>
        <w:jc w:val="left"/>
        <w:rPr>
          <w:rFonts w:ascii="Times New Roman" w:hAnsi="Times New Roman"/>
          <w:sz w:val="20"/>
        </w:rPr>
      </w:pPr>
      <w:r>
        <w:rPr>
          <w:rFonts w:ascii="Times New Roman" w:hAnsi="Times New Roman"/>
          <w:sz w:val="20"/>
        </w:rPr>
        <w:t xml:space="preserve">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Tectonic intends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 </w:t>
      </w:r>
    </w:p>
    <w:p>
      <w:pPr>
        <w:pStyle w:val="TextBody"/>
        <w:bidi w:val="0"/>
        <w:spacing w:before="240" w:after="0"/>
        <w:jc w:val="left"/>
        <w:rPr>
          <w:rFonts w:ascii="Times New Roman" w:hAnsi="Times New Roman"/>
          <w:sz w:val="20"/>
        </w:rPr>
      </w:pPr>
      <w:r>
        <w:rPr>
          <w:rFonts w:ascii="Times New Roman" w:hAnsi="Times New Roman"/>
          <w:sz w:val="20"/>
        </w:rPr>
        <w:t xml:space="preserve">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 </w:t>
      </w:r>
    </w:p>
    <w:p>
      <w:pPr>
        <w:pStyle w:val="TextBody"/>
        <w:bidi w:val="0"/>
        <w:spacing w:before="360" w:after="0"/>
        <w:jc w:val="left"/>
        <w:rPr>
          <w:rFonts w:ascii="Times New Roman" w:hAnsi="Times New Roman"/>
          <w:i/>
          <w:sz w:val="20"/>
        </w:rPr>
      </w:pPr>
      <w:r>
        <w:rPr>
          <w:rFonts w:ascii="Times New Roman" w:hAnsi="Times New Roman"/>
          <w:i/>
          <w:sz w:val="20"/>
        </w:rPr>
        <w:t xml:space="preserve">European Union drug review and approval </w:t>
      </w:r>
    </w:p>
    <w:p>
      <w:pPr>
        <w:pStyle w:val="TextBody"/>
        <w:bidi w:val="0"/>
        <w:spacing w:before="120" w:after="0"/>
        <w:jc w:val="left"/>
        <w:rPr>
          <w:rFonts w:ascii="Times New Roman" w:hAnsi="Times New Roman"/>
          <w:sz w:val="20"/>
        </w:rPr>
      </w:pPr>
      <w:r>
        <w:rPr>
          <w:rFonts w:ascii="Times New Roman" w:hAnsi="Times New Roman"/>
          <w:sz w:val="20"/>
        </w:rPr>
        <w:t xml:space="preserve">In addition, whether or not Tectonic obtains FDA approval for a product, Tectonic must obtain approval of a product by the comparable regulatory authorities of countries outside the United States before Tectonic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To obtain regulatory approval for Tectonic’s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 </w:t>
      </w:r>
    </w:p>
    <w:p>
      <w:pPr>
        <w:pStyle w:val="TextBody"/>
        <w:bidi w:val="0"/>
        <w:spacing w:before="240" w:after="0"/>
        <w:jc w:val="left"/>
        <w:rPr>
          <w:rFonts w:ascii="Times New Roman" w:hAnsi="Times New Roman"/>
          <w:sz w:val="20"/>
        </w:rPr>
      </w:pPr>
      <w:r>
        <w:rPr>
          <w:rFonts w:ascii="Times New Roman" w:hAnsi="Times New Roman"/>
          <w:sz w:val="20"/>
        </w:rPr>
        <w:t xml:space="preserve">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Data protection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Tectonic’s industry) with respect to the processing of personal data and the cross-border transfer of such data. Tectonic will be subject to the GDPR to the extent Tectonic processes the personal data of individuals based in the EEA/UK. </w:t>
      </w:r>
    </w:p>
    <w:p>
      <w:pPr>
        <w:pStyle w:val="TextBody"/>
        <w:bidi w:val="0"/>
        <w:spacing w:before="360" w:after="0"/>
        <w:jc w:val="left"/>
        <w:rPr>
          <w:rFonts w:ascii="Times New Roman" w:hAnsi="Times New Roman"/>
          <w:b/>
          <w:sz w:val="20"/>
        </w:rPr>
      </w:pPr>
      <w:bookmarkStart w:id="146" w:name="toc770053_150"/>
      <w:bookmarkEnd w:id="146"/>
      <w:r>
        <w:rPr>
          <w:rFonts w:ascii="Times New Roman" w:hAnsi="Times New Roman"/>
          <w:b/>
          <w:sz w:val="20"/>
        </w:rPr>
        <w:t xml:space="preserve">Employees and 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4, 2024, Tectonic had 44 full-time employees, 32 of whom were primarily engaged in research and development activities and 35 of Tectonic’s employees had an M.D. or Ph.D. degree. None of Tectonic’s employees is represented by a labor union and Tectonic considers its employee relations to be good. </w:t>
      </w:r>
    </w:p>
    <w:p>
      <w:pPr>
        <w:pStyle w:val="TextBody"/>
        <w:bidi w:val="0"/>
        <w:spacing w:before="240" w:after="0"/>
        <w:jc w:val="left"/>
        <w:rPr>
          <w:rFonts w:ascii="Times New Roman" w:hAnsi="Times New Roman"/>
          <w:sz w:val="20"/>
        </w:rPr>
      </w:pPr>
      <w:r>
        <w:rPr>
          <w:rFonts w:ascii="Times New Roman" w:hAnsi="Times New Roman"/>
          <w:sz w:val="20"/>
        </w:rPr>
        <w:t xml:space="preserve">Tectonic’s human capital objectives include, as applicable, identifying, recruiting, retaining, incentivizing and integrating Tectonic’s existing and additional employees. The principal purposes of Tectonic’s equity incentive plans are to attract, retain and motivate selected employees, consultants and directors through the granting of stock-based compensation awards. </w:t>
      </w:r>
    </w:p>
    <w:p>
      <w:pPr>
        <w:pStyle w:val="TextBody"/>
        <w:bidi w:val="0"/>
        <w:spacing w:before="360" w:after="0"/>
        <w:jc w:val="left"/>
        <w:rPr>
          <w:rFonts w:ascii="Times New Roman" w:hAnsi="Times New Roman"/>
          <w:b/>
          <w:sz w:val="20"/>
        </w:rPr>
      </w:pPr>
      <w:bookmarkStart w:id="147" w:name="toc770053_151"/>
      <w:bookmarkEnd w:id="147"/>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Tectonic’s headquarters are currently located in Watertown, Massachusetts and consists of approximately 19,000 square feet of leased research laboratory and office space under a lease that expires in January 2026. Tectonic believes that its facilities are adequate to meet its current needs. </w:t>
      </w:r>
    </w:p>
    <w:p>
      <w:pPr>
        <w:pStyle w:val="TextBody"/>
        <w:bidi w:val="0"/>
        <w:spacing w:before="360" w:after="0"/>
        <w:jc w:val="left"/>
        <w:rPr>
          <w:rFonts w:ascii="Times New Roman" w:hAnsi="Times New Roman"/>
          <w:b/>
          <w:sz w:val="20"/>
        </w:rPr>
      </w:pPr>
      <w:bookmarkStart w:id="148" w:name="toc770053_152"/>
      <w:bookmarkEnd w:id="148"/>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Tectonic may become involved in legal proceedings arising in the ordinary course of its business. Tectonic is not currently a party to any material legal proceedings, and Tectonic is not aware of any pending or threatened legal proceeding against Tectonic that Tectonic believes could have an adverse effect on Tectonic’s business, operating results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9" w:name="toc770053_153"/>
      <w:bookmarkEnd w:id="149"/>
      <w:r>
        <w:rPr>
          <w:rFonts w:ascii="Times New Roman" w:hAnsi="Times New Roman"/>
          <w:b/>
          <w:sz w:val="20"/>
        </w:rPr>
        <w:t xml:space="preserve">AVROBIO’S 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AVROBIO’s financial condition and results of operations should be read in conjunction with AVROBIO’s consolidated financial statements and notes thereto appearing elsewhere in this proxy statement/prospectus. Some of the information contained in this discussion and analysis or set forth elsewhere in this proxy statement/prospectus, including information with respect to AVROBIO’s plans and strategy for AVROBIO’s business and related financing, includes forward-looking statements that involve risks and uncertainties. As a result of many factors, AVROBIO’s actual results could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AVROBIO is a gene therapy company with a purpose to free people from a lifetime of genetic disease. AVROBIO has been focused on developing potentially curative HSC gene therapies to treat patients with rare diseases following a single dose treatment regimen. The gene therapies AVROBIO has been developing employ HSCs that are harvested from the patient and then modified with a lentiviral vector to insert the equivalent of a functional copy of the gene that is mutated in the target disease. AVROBIO believes that its approach, which is designed to transform stem cells from patients into therapeutic products, has the potential to provide curative benefit for a range of diseases. AVROBIO’s development focus has been on a group of rare genetic diseases referred to as lysosomal disorders, some of which today are primarily managed with ERTs. </w:t>
      </w:r>
    </w:p>
    <w:p>
      <w:pPr>
        <w:pStyle w:val="TextBody"/>
        <w:bidi w:val="0"/>
        <w:spacing w:before="240" w:after="0"/>
        <w:jc w:val="left"/>
        <w:rPr>
          <w:rFonts w:ascii="Times New Roman" w:hAnsi="Times New Roman"/>
          <w:sz w:val="20"/>
        </w:rPr>
      </w:pPr>
      <w:r>
        <w:rPr>
          <w:rFonts w:ascii="Times New Roman" w:hAnsi="Times New Roman"/>
          <w:sz w:val="20"/>
        </w:rPr>
        <w:t xml:space="preserve">On July 12, 2023, following a comprehensive review of AVROBIO’s business by the AVROBIO Board, AVROBIO announced its intention to halt development of its programs and explore strategic alternatives focused on maximizing stockholder value, which may include, but are not limited to, an acquisition, a merger, business combination or divestiture. </w:t>
      </w:r>
    </w:p>
    <w:p>
      <w:pPr>
        <w:pStyle w:val="TextBody"/>
        <w:bidi w:val="0"/>
        <w:spacing w:before="240" w:after="0"/>
        <w:jc w:val="left"/>
        <w:rPr>
          <w:rFonts w:ascii="Times New Roman" w:hAnsi="Times New Roman"/>
          <w:sz w:val="20"/>
        </w:rPr>
      </w:pPr>
      <w:r>
        <w:rPr>
          <w:rFonts w:ascii="Times New Roman" w:hAnsi="Times New Roman"/>
          <w:sz w:val="20"/>
        </w:rPr>
        <w:t xml:space="preserve">Subsequently, in connection with ongoing cost reduction efforts related to AVROBIO’s ongoing review of potential strategic alternatives, AVROBIO has terminated all AVROBIO-sponsored treatment-related and AVROBIO-sponsored long-term follow-up clinical studies relating to AVROBIO’s AVR-RD-02 (Gaucher disease type 1) program, and AVROBIO-sponsored long term follow-up studies relating to AVROBIO’s AVR-RD-01 (Fabry disease) program (which AVROBIO previously deprioritized). In addition, in September 2023, AVROBIO terminated its agreements with the University of Manchester for the license and development of a gene therapy for MPSII (Hunter syndrome) and discontinued AVROBIO’s AVR-RD-05 (Hunter syndrome gene therapy) program. Previously, in June 2023, AVROBIO sold its cystinosis gene therapy program to Novartis. As of the date of the filing of this proxy statement/prospectus, AVROBIO currently has a total of three gene therapy product candidates, none of which are currently in active clinical development, including AVR-RD-02 for the treatment of Gaucher disease type 1 and type 3, AVR-RD-03 for the treatment of Pompe disease and AVR-RD-01 for the treatment of Fabry disease. </w:t>
      </w:r>
    </w:p>
    <w:p>
      <w:pPr>
        <w:pStyle w:val="TextBody"/>
        <w:bidi w:val="0"/>
        <w:spacing w:before="240" w:after="0"/>
        <w:jc w:val="left"/>
        <w:rPr>
          <w:rFonts w:ascii="Times New Roman" w:hAnsi="Times New Roman"/>
          <w:sz w:val="20"/>
        </w:rPr>
      </w:pPr>
      <w:r>
        <w:rPr>
          <w:rFonts w:ascii="Times New Roman" w:hAnsi="Times New Roman"/>
          <w:sz w:val="20"/>
        </w:rPr>
        <w:t xml:space="preserve">After a comprehensive review of strategic alternatives, including identifying and reviewing potential candidates for a strategic transaction, on January 30, 2024, AVROBIO entered into the Merger Agreement, with Merger Sub and Tectonic, pursuant to which Merger Sub will merge with and into Tectonic, with Tectonic surviving as AVROBIO’s wholly-owned subsidiary. The merger was unanimously approved by the AVROBIO Board, and the AVROBIO Board resolved to recommend approval of the Merger Agreement to AVROBIO stockholders. In connection with the merger, certain investors have agreed to purchase shares of Tectonic common stock at a purchase price of $12.39908 per share, subject to and immediately prior to the closing of the merger, pursuant to the terms of the Subscription Agreement, and certain investors have consummated or will consummate certain additional purchases of Tectonic common stock pursuant to the conversion of the Company SAFEs entered into by such investors and Tectonic, for an aggregate purchase price among the transactions contemplated by the Subscription Agreement and such Company SAFEs of approximately $130.7 million.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of the merger, each share of then-outstanding Tectonic common stock will be converted into the right to receive a number of shares of AVROBIO common stock, equal to the exchange ratio as set forth in the Merger Agreement. Concurrently with the closing of the merger, and assuming approval by AVROBIO stockholders, AVROBIO anticipates effecting a reverse stock split at a ratio in the range between 1:3 to 1:30, inclusive. Additionally, at or prior to the effective time of the merger, AVROBIO and a rights agent will enter into a CVR Agreement, pursuant to which AVROBIO stockholders of record as of immediately prior to such effective time (including holders of AVROBIO common stock issued upon settlement of the AVROBIO RSUs) will receive one non-transferable CVR for each outstanding share of AVROBIO common stock held by such stockholder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is subject to approval by AVROBIO stockholders and Tectonic stockholders, as well as other customary closing conditions, including the effectiveness of a registration statement on Form S-4 filed with the SEC in connection with the transaction and Nasdaq’s approval of the listing of the shares of the AVROBIO common stock to be issued in connection with the proposed merger. The closings of the private financings are conditioned upon the satisfaction or waiver of the conditions to the closing of the merger as well as certain other conditions. The closing of the merger is conditioned upon the satisfaction or waiver of the receipt of cash proceeds not less than $114.5 million in connection with the consummation of the transactions contemplated by the private financings. If the transactions are completed, the business of Tectonic will continue as the business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AVROBIO’s future operations are highly dependent on the success of the merger and there can be no assurances that the merger will be successfully consummated. There can be no assurance that the strategic review process or any transaction relating to a specific asset, including the merger and any AVROBIO asset sale, will result in AVROBIO pursuing such a transaction(s), or that any transaction(s), if pursued, will be completed on terms favorable to AVROBIO and its stockholders in the existing AVROBIO entity or any possible entity that results from a combination of entities. If the strategic review process is unsuccessful, and if the merger is not consummated, the AVROBIO Board may decide to pursue a dissolution and liquidation of AVROBIO. </w:t>
      </w:r>
    </w:p>
    <w:p>
      <w:pPr>
        <w:pStyle w:val="TextBody"/>
        <w:bidi w:val="0"/>
        <w:spacing w:before="240" w:after="0"/>
        <w:jc w:val="left"/>
        <w:rPr>
          <w:rFonts w:ascii="Times New Roman" w:hAnsi="Times New Roman"/>
          <w:sz w:val="20"/>
        </w:rPr>
      </w:pPr>
      <w:r>
        <w:rPr>
          <w:rFonts w:ascii="Times New Roman" w:hAnsi="Times New Roman"/>
          <w:sz w:val="20"/>
        </w:rPr>
        <w:t xml:space="preserve">Since AVROBIO’s inception in 2015, AVROBIO has devoted substantially all of its resources to organizing and staffing the company, business planning, raising capital, acquiring or discovering product candidates and securing related intellectual property rights, conducting discovery, research and development activities for its programs and planning for potential commercialization. To date, AVROBIO has not generated any product revenue and has financed operations primarily through the private placement of its securities and through public offerings of AVROBIO common stock. Through December 31, 2023, AVROBIO had received gross cash proceeds of $87.5 million from sales of AVROBIO’s preferred stock; gross cash proceeds, before deducting underwriting discounts and commissions and expenses, of $428.1 million from sales of AVROBIO common stock through AVROBIO’s IPO and follow-on offerings; gross cash proceeds, before deducting commissions and expenses, of $23.5 million from sales of AVROBIO common stock through AVROBIO’s ATM facility; $15.0 million drawn in term loans under the Term Loan Agreement, which was repaid in full and terminated on June 9, 2023; and gross proceeds, before deducting transaction costs, of $87.5 million from the sale of AVROBIO’s cystinosis gene therapy program. </w:t>
      </w:r>
    </w:p>
    <w:p>
      <w:pPr>
        <w:pStyle w:val="TextBody"/>
        <w:bidi w:val="0"/>
        <w:spacing w:before="240" w:after="0"/>
        <w:jc w:val="left"/>
        <w:rPr>
          <w:rFonts w:ascii="Times New Roman" w:hAnsi="Times New Roman"/>
          <w:sz w:val="20"/>
        </w:rPr>
      </w:pPr>
      <w:r>
        <w:rPr>
          <w:rFonts w:ascii="Times New Roman" w:hAnsi="Times New Roman"/>
          <w:sz w:val="20"/>
        </w:rPr>
        <w:t xml:space="preserve">Additionally, AVROBIO has incurred significant operating losses. AVROBIO’s ability to generate product revenue sufficient to achieve profitability will depend heavily on the successful development and eventual commercialization of one or more of AVROBIO’s current or future product candidates and programs. AVROBIO’s net income (lossses) were $12.2 million and $(105.9) million for the years ended December 31, 2023 and 2022, respectively. As of December 31, 2023, AVROBIO had an accumulated deficit of $477.3 million. Should AVROBIO resume development of its product candidates, AVROBIO would expect to continue to incur significant expenses for at least the next several years as it advances product candidates from preclinical development and clinical trials and seeks regulatory approval of the product candidates. Should AVROBIO resume development of its product candidates, it would expect to expend significant resources to advance these candidates. In addition, if AVROBIO obtains marketing approval for any of the product candidates, AVROBIO expects to incur significant commercialization expenses related to product manufacturing, marketing, sales and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AVROBIO resume development of its product candidates, it would need substantial additional funding to support continuing operations and pursue its growth strategy. Until such time as AVROBIO can generate significant revenue from product sales, if ever, AVROBIO expects to finance its operations with proceeds from outside sources, with a majority of such proceeds to be derived from sales of equity. AVROBIO may also pursue additional funding from outside sources, including borrowing arrangements and entry into potential future collaboration agreements for one or more of its programs. AVROBIO may be unable to raise additional funds or enter into such other agreements or arrangements when needed on favorable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AVROBIO is unable to predict the timing or amount of increased expenses or when or if AVROBIO will be able to achieve or maintain profitability, should AVROBIO resume development of its product candidates. Even if AVROBIO is able to generate product sales, AVROBIO may not become profitable. If AVROBIO fails to become profitable or is unable to sustain profitability on a continuing basis, AVROBIO may be unable to continue operations at planned levels and be forced to reduce or terminate operations. </w:t>
      </w:r>
    </w:p>
    <w:p>
      <w:pPr>
        <w:pStyle w:val="TextBody"/>
        <w:bidi w:val="0"/>
        <w:spacing w:before="360" w:after="0"/>
        <w:jc w:val="left"/>
        <w:rPr>
          <w:rFonts w:ascii="Times New Roman" w:hAnsi="Times New Roman"/>
          <w:b/>
          <w:sz w:val="20"/>
        </w:rPr>
      </w:pPr>
      <w:bookmarkStart w:id="150" w:name="toc770053_154"/>
      <w:bookmarkEnd w:id="150"/>
      <w:r>
        <w:rPr>
          <w:rFonts w:ascii="Times New Roman" w:hAnsi="Times New Roman"/>
          <w:b/>
          <w:sz w:val="20"/>
        </w:rPr>
        <w:t xml:space="preserve">Components of AVROBIO’s Consolidated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discovery and development of AVROBIO’s product candidates. AVROBIO expenses research and development costs as incurred. These expenses consist of costs incurred in connection with the development of AVROBIO’s product candidates, including: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license maintenance fees and milestone fees incurred in connection with various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agreements with CROs, CMOs, as well as investigative sites and consultants that conduct AVROBIO’s clinical trials, preclinical studies and other scientific development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expenses and the cost of acquiring and manufacturing preclinical and clinical trial materials and commercial materials, including manufacturing validation batches;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purchasing lab supplies and non-capital equipment used in AVROBIO’s preclinical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travel and stock-based compensation expense for employees engaged in research and development functions;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allocated facilities costs, depreciation and other expenses, which include rent and utilities.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recognizes external development costs based on an evaluation of the progress to completion of specific tasks using information provided to AVROBIO by its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AVROBIO’s direct research and development expenses are tracked on a program-by-program basis for AVROBIO’s product candidates and consist primarily of external costs, such as fees paid to outside consultants, CROs, CMOs, and central laboratories in connection with AVROBIO’s preclinical development, process development, manufacturing and clinical development activities. AVROBIO’s direct research and development expenses by program also include fees incurred under license agreements. AVROBIO does not allocate employee costs or facility expenses, including depreciation or other indirect costs, to specific programs because these costs are deployed across multiple programs and, as such, are not separately classified. AVROBIO uses internal resources primarily to oversee the research and discovery as well as for managing AVROBIO’s preclinical development, process development, manufacturing and clinical development activities. These employees work across multiple programs and, therefore, AVROBIO does not track their costs by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research and development expenses decreased during the year ended December 31, 2023 as compared to the year ended December 31, 2022, which was driven by AVROBIO’s decision to halt further development of its programs and explore strategic alternatives. This decrease was partially offset by increases in expenses related to AVROBIO’s Gaucher and Hunter product candidates, which were driven by costs associated with the termination of these programs.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AVROBIO’s research and development expenses related to AVROBIO’s product candidates (in thousands): </w:t>
      </w:r>
    </w:p>
    <w:p>
      <w:pPr>
        <w:pStyle w:val="TextBody"/>
        <w:bidi w:val="0"/>
        <w:spacing w:before="0" w:after="0"/>
        <w:jc w:val="left"/>
        <w:rPr/>
      </w:pPr>
      <w:r>
        <w:rPr/>
        <w:t> </w:t>
      </w:r>
    </w:p>
    <w:tbl>
      <w:tblPr>
        <w:tblW w:w="6015" w:type="dxa"/>
        <w:jc w:val="left"/>
        <w:tblInd w:w="0" w:type="dxa"/>
        <w:tblLayout w:type="fixed"/>
        <w:tblCellMar>
          <w:top w:w="0" w:type="dxa"/>
          <w:left w:w="0" w:type="dxa"/>
          <w:bottom w:w="0" w:type="dxa"/>
          <w:right w:w="0" w:type="dxa"/>
        </w:tblCellMar>
      </w:tblPr>
      <w:tblGrid>
        <w:gridCol w:w="3965"/>
        <w:gridCol w:w="120"/>
        <w:gridCol w:w="140"/>
        <w:gridCol w:w="680"/>
        <w:gridCol w:w="155"/>
        <w:gridCol w:w="60"/>
        <w:gridCol w:w="140"/>
        <w:gridCol w:w="680"/>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Gaucher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10,859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8,662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Hunter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4,968</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Fabry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9,644</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Cystinosis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4,615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Pompe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830</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Unallocated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43,362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47,700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72,186</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activities are central to AVROBIO’s business model. Product candidates in later stages of clinical development generally have higher development costs than those in earlier stages of clinical development, primarily due to the increased size and duration of later-stage clinical trials. Should AVROBIO resume development of its product candidates, AVROBIO would expect AVROBIO’s research and development expenses will increase substantially over the next several years, particularly as AVROBIO increases personnel costs, including stock-based compensation, contractor costs and facilities costs and advance the development of its product candidates. Should AVROBIO resume development of its product candidates, AVROBIO also expects to incur additional expenses related to milestone and royalty payments payable to third parties with whom AVROBIO has entered into license agreements to acquire the rights to AVROBIO’s product candidates. Please see “</w:t>
      </w:r>
      <w:r>
        <w:rPr>
          <w:rFonts w:ascii="Times New Roman" w:hAnsi="Times New Roman"/>
          <w:i/>
          <w:sz w:val="20"/>
        </w:rPr>
        <w:t>Risk Factors—Risks Related to AVROBIO’s Business, Financial Position and Need for Additional Capital—AVROBIO has incurred net losses since inception. AVROBIO expects to incur net losses for the foreseeable future and may never achieve or maintain profitability</w:t>
      </w:r>
      <w:r>
        <w:rPr>
          <w:rFonts w:ascii="Times New Roman" w:hAnsi="Times New Roman"/>
          <w:sz w:val="20"/>
        </w:rPr>
        <w:t xml:space="preserve">” beginning on page 48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and commercialization of AVROBIO’s product candidates is highly uncertain. At this time, AVROBIO cannot reasonably estimate or know the nature, timing and costs of the efforts that will be necessary to complete the preclinical and clinical development of any of AVROBIO’s product candidates should we resume their development, or when, if ever, material net cash inflows may commence from any of AVROBIO’s product candidates. This uncertainty is due to the numerous risks and uncertainties associated with product development and commercialization, including the uncertainty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outcome and costs of AVROBIO’s preclinical development activities, clinical trials and other research and development activities;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 appropriate safety profile with IND-enabling studies;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patient enrollment in, and the design, initiation and completion of, clinical trials;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marketing approvals from applicable regulatory authorities;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commercial manufacturing capabilities or making arrangements with third-party manufacturers;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timely delivery of commercial-grade drug formulations that can be used in AVROBIO’s clinical trials and for commercial launch;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defending and enforcing patent claims and other intellectual property rights;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and changing government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AVROBIO’s product candidates, if and when approved, whether alone or in collaboration with others;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the product candidates following approval; and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risks disclosed in the section entitled “</w:t>
            </w:r>
            <w:r>
              <w:rPr>
                <w:rFonts w:ascii="Times New Roman" w:hAnsi="Times New Roman"/>
                <w:i/>
                <w:sz w:val="20"/>
              </w:rPr>
              <w:t>Risk Factors</w:t>
            </w:r>
            <w:r>
              <w:rPr>
                <w:rFonts w:ascii="Times New Roman" w:hAnsi="Times New Roman"/>
                <w:sz w:val="20"/>
              </w:rPr>
              <w:t xml:space="preserve">” beginning on page 36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may never succeed in achieving regulatory approval for any of AVROBIO’s product candidates. AVROBIO may obtain unexpected results from AVROBIO’s clinical trials. AVROBIO may elect to discontinue, delay or modify clinical trials of some product candidates or focus on others. Any changes in the outcome of any of these variables with respect to the development of AVROBIO’s product candidates in preclinical and clinical development could mean a significant change in the costs and timing associated with the development of these product candidates. For example, if the FDA or another regulatory authority were to delay AVROBIO’s planned start of clinical trials or require AVROBIO to conduct clinical trials or other testing beyond those that AVROBIO currently expects, or if AVROBIO experiences significant delays in enrollment in any of AVROBIO’s planned clinical trials, AVROBIO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AVROBIO may never generate the necessary data or results required to obtain marketing approval and achieve product sales. In addition, AVROBIO’s product candidates, if approved, may not achieve commercial success.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 </w:t>
      </w:r>
    </w:p>
    <w:p>
      <w:pPr>
        <w:pStyle w:val="TextBody"/>
        <w:bidi w:val="0"/>
        <w:spacing w:before="240" w:after="0"/>
        <w:jc w:val="left"/>
        <w:rPr>
          <w:rFonts w:ascii="Times New Roman" w:hAnsi="Times New Roman"/>
          <w:sz w:val="20"/>
        </w:rPr>
      </w:pPr>
      <w:r>
        <w:rPr>
          <w:rFonts w:ascii="Times New Roman" w:hAnsi="Times New Roman"/>
          <w:sz w:val="20"/>
        </w:rPr>
        <w:t xml:space="preserve">Should AVROBIO resume development of its product candidates, AVROBIO would anticipate that its general and administrative expenses would increase as AVROBIO increases its headcount to support research activities and development of its product candidates. AVROBIO also anticipates that it would incur increased accounting, audit, legal, compliance, director and officer insurance costs as well as investor and public relations expenses associated with being a public company. AVROBIO anticipates the additional costs for these services would substantially increase AVROBIO’s general and administrative expenses. Additionally, if and when AVROBIO believes a regulatory approval of a product candidate appears likely, AVROBIO anticipates an increase in payroll and other commercialization-related expenses as a result of AVROBIO’s preparation for commercial operations, especially as it relates to the sales and marketing of AVROBIO’s product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240" w:after="0"/>
        <w:jc w:val="left"/>
        <w:rPr>
          <w:rFonts w:ascii="Times New Roman" w:hAnsi="Times New Roman"/>
          <w:sz w:val="20"/>
        </w:rPr>
      </w:pPr>
      <w:r>
        <w:rPr>
          <w:rFonts w:ascii="Times New Roman" w:hAnsi="Times New Roman"/>
          <w:sz w:val="20"/>
        </w:rPr>
        <w:t xml:space="preserve">Other (expense) income, net primarily consists of interest income earned on AVROBIO’s cash and cash equivalents, and changes in foreign currency, and interest expense related to AVROBIO’s Term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1" w:name="toc770053_155"/>
      <w:bookmarkEnd w:id="151"/>
      <w:r>
        <w:rPr>
          <w:rFonts w:ascii="Times New Roman" w:hAnsi="Times New Roman"/>
          <w:b/>
          <w:sz w:val="20"/>
        </w:rPr>
        <w:t xml:space="preserve">Consolidated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AVROBIO’s consolidated results of operations (in thousands): </w:t>
      </w:r>
    </w:p>
    <w:p>
      <w:pPr>
        <w:pStyle w:val="TextBody"/>
        <w:bidi w:val="0"/>
        <w:spacing w:before="0" w:after="0"/>
        <w:jc w:val="left"/>
        <w:rPr/>
      </w:pPr>
      <w:r>
        <w:rPr/>
        <w:t> </w:t>
      </w:r>
    </w:p>
    <w:tbl>
      <w:tblPr>
        <w:tblW w:w="6395" w:type="dxa"/>
        <w:jc w:val="left"/>
        <w:tblInd w:w="0" w:type="dxa"/>
        <w:tblLayout w:type="fixed"/>
        <w:tblCellMar>
          <w:top w:w="0" w:type="dxa"/>
          <w:left w:w="0" w:type="dxa"/>
          <w:bottom w:w="0" w:type="dxa"/>
          <w:right w:w="0" w:type="dxa"/>
        </w:tblCellMar>
      </w:tblPr>
      <w:tblGrid>
        <w:gridCol w:w="2780"/>
        <w:gridCol w:w="120"/>
        <w:gridCol w:w="140"/>
        <w:gridCol w:w="680"/>
        <w:gridCol w:w="155"/>
        <w:gridCol w:w="120"/>
        <w:gridCol w:w="140"/>
        <w:gridCol w:w="875"/>
        <w:gridCol w:w="155"/>
        <w:gridCol w:w="120"/>
        <w:gridCol w:w="140"/>
        <w:gridCol w:w="800"/>
        <w:gridCol w:w="170"/>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47,700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72,186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(24,486</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33,248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(9,281</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71,667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(33,767</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83,736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83,736</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(1,877</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(105,434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115,626</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2,719</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2,798</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(105,890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118,424</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377</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12,157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(105,890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118,047</w:t>
            </w:r>
          </w:p>
        </w:tc>
        <w:tc>
          <w:tcPr>
            <w:tcW w:w="17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decreased by $24.5 million to $47.7 million for the year ended December 31, 2023, from approximately $72.2 million for the year ended December 31, 2022. This decrease was driven by a $12.3 million decrease in personnel-related and consulting costs, including non-cash stock-based compensation, a $7.8 million decrease in manufacturing costs, a $2.5 million decrease in preclinical costs, a $1.5 million decrease in allocated facility expense, and a $0.3 million decrease in development costs, which includes a payment made in connection with the termination of the MPSII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decreased by $9.3 million to $24.0 million for the year ended December 31, 2023, from to $33.2 million for the year ended December 31, 2022. This decrease was driven by a $10.8 million decrease in personnel-related and consulting costs, including non-cash stock-based compensation and a $0.9 million decrease in information technology-related costs which was partially offset by a $2.4 million increase in legal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Gain on Asset Sale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$83.7 million as a gain on asset sale, net of $3.8 million in transaction costs AVROBIO completed the Cystinosis Sale on June 9, 2023. </w:t>
      </w:r>
    </w:p>
    <w:p>
      <w:pPr>
        <w:pStyle w:val="TextBody"/>
        <w:bidi w:val="0"/>
        <w:spacing w:before="360" w:after="0"/>
        <w:jc w:val="left"/>
        <w:rPr>
          <w:rFonts w:ascii="Times New Roman" w:hAnsi="Times New Roman"/>
          <w:i/>
          <w:sz w:val="20"/>
        </w:rPr>
      </w:pPr>
      <w:r>
        <w:rPr>
          <w:rFonts w:ascii="Times New Roman" w:hAnsi="Times New Roman"/>
          <w:i/>
          <w:sz w:val="20"/>
        </w:rPr>
        <w:t>Loss on Impairment</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a $1.9 million loss on impairment. Of this amount, $0.9 million is related to the loss on impairment of property, plant, and equipment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reclassification of these assets to held for sale. In addition, $0.9 million is related to the loss on impairment of the right of use asset for the subleased lab space located in Cambridge, Massachusetts, which is no longer in use.</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(Expense),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(expense), net was $2.3 million for the year ended December 31, 2023, compared to $(0.5) million of other income (expense), net for the year ended December 31, 2022. The increase in income was driven by a $2.8 million increase in interest income earned on short-term money market funds. Interest expense is relatively consistent period over period. The Term Loan Agreement was terminated in the second quarter of 2023 which resulted in an increase in interest expense from the loss on the extinguishment of debt due to the write-off of the debt discount balance.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 for 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AVROBIO recognized $0.4 million as a provision for income tax expense as a result of income recognized from the Cystinosis Sale. </w:t>
      </w:r>
    </w:p>
    <w:p>
      <w:pPr>
        <w:pStyle w:val="TextBody"/>
        <w:bidi w:val="0"/>
        <w:spacing w:before="360" w:after="0"/>
        <w:jc w:val="left"/>
        <w:rPr>
          <w:rFonts w:ascii="Times New Roman" w:hAnsi="Times New Roman"/>
          <w:b/>
          <w:sz w:val="20"/>
        </w:rPr>
      </w:pPr>
      <w:bookmarkStart w:id="152" w:name="toc770053_156"/>
      <w:bookmarkEnd w:id="152"/>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AVROBIO’s inception, AVROBIO has not generated any revenue and have incurred significant operating losses and negative cash flows from AVROBIO’s operations. AVROBIO has funded AVROBIO’s operations to date primarily with proceeds from the sale of preferred stock and AVROBIO’s common stock through AVROBIO’s IPO, and AVROBIO has raised additional capital through subsequent follow-on offerings and AVROBIO’s ATM facility. Through December 31, 2023, AVROBIO had received gross cash proceeds of $87.5 million from sales of AVROBIO’s preferred stock; gross cash proceeds, before deducting underwriting discounts and commissions and expenses, of $428.1 million from sales of AVROBIO’s common stock through AVROBIO’s IPO and follow-on offerings; gross cash proceeds, before deducting commissions and expenses, of $23.5 million from sales of AVROBIO’s common stock in “at-the-market” offerings under AVROBIO’s ATM facility; $15.0 million drawn in term loans under the Term Loan Agreement, which was repaid in full and terminated on June 9, 2023; and gross proceeds, before deducting transaction costs, of $87.5 million from the sale of AVROBIO’s cystinosis gene therapy program. </w:t>
      </w:r>
    </w:p>
    <w:p>
      <w:pPr>
        <w:pStyle w:val="TextBody"/>
        <w:bidi w:val="0"/>
        <w:spacing w:before="240" w:after="0"/>
        <w:jc w:val="left"/>
        <w:rPr>
          <w:rFonts w:ascii="Times New Roman" w:hAnsi="Times New Roman"/>
          <w:sz w:val="20"/>
        </w:rPr>
      </w:pPr>
      <w:r>
        <w:rPr>
          <w:rFonts w:ascii="Times New Roman" w:hAnsi="Times New Roman"/>
          <w:sz w:val="20"/>
        </w:rPr>
        <w:t xml:space="preserve">On July 1, 2019, AVROBIO filed a shelf registration statement on Form S-3 with the SEC (the “July 2019 Shelf”), which covers the offering, issuance and sale by AVROBIO of up to an aggregate of $200.0 million of AVROBIO’s common stock, preferred stock, debt securities, warrants and/or units. AVROBIO simultaneously entered into a Sales Agreement with Cowen and Company, LLC, as sales agent, to provide for the offering, issuance and sale by AVROBIO of up to $50.0 million of AVROBIO’s common stock from time to time in ATM offerings under the July 2019 Shelf. The July 2019 Shelf was declared effective by the SEC on July 10, 2019.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2019, AVROBIO filed a shelf registration statement on Form S-3 with the SEC, or the December 2019 Shelf, which covers the offering, issuance and sale by AVROBIO of up to an aggregate of $250.0 million of AVROBIO’s common stock, preferred stock, debt securities, warrants and/or units. The December 2019 Shelf was declared effective by the SEC on January 14, 2020. </w:t>
      </w:r>
    </w:p>
    <w:p>
      <w:pPr>
        <w:pStyle w:val="TextBody"/>
        <w:bidi w:val="0"/>
        <w:spacing w:before="240" w:after="0"/>
        <w:jc w:val="left"/>
        <w:rPr>
          <w:rFonts w:ascii="Times New Roman" w:hAnsi="Times New Roman"/>
          <w:sz w:val="20"/>
        </w:rPr>
      </w:pPr>
      <w:r>
        <w:rPr>
          <w:rFonts w:ascii="Times New Roman" w:hAnsi="Times New Roman"/>
          <w:sz w:val="20"/>
        </w:rPr>
        <w:t xml:space="preserve">In July 2019, AVROBIO closed an underwritten public offering (the “July 2019 Follow-On Offering”) under the July 2019 Shelf of 7,475,000 shares of AVROBIO’s common stock at a public offering price of $18.50 per share, which included 975,000 shares of AVROBIO’s common stock resulting from the full exercise of the underwriters’ option to purchase additional shares at the public offering price. The net proceeds to AVROBIO from this offering, after deducting underwriting discounts and commissions and other offering expenses payable by AVROBIO, were $129.5 million.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2020, AVROBIO closed an underwritten public offering (the “February 2020 Follow-On Offering”) under the December 2019 Shelf of 4,350,000 shares of AVROBIO’s common stock at a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price of $23.00 per share. The net proceeds to AVROBIO from this offering, after deducting underwriting discounts and commissions and other offering expenses payable by AVROBIO, were $93.6 million. </w:t>
      </w:r>
    </w:p>
    <w:p>
      <w:pPr>
        <w:pStyle w:val="TextBody"/>
        <w:bidi w:val="0"/>
        <w:spacing w:before="240" w:after="0"/>
        <w:jc w:val="left"/>
        <w:rPr>
          <w:rFonts w:ascii="Times New Roman" w:hAnsi="Times New Roman"/>
          <w:sz w:val="20"/>
        </w:rPr>
      </w:pPr>
      <w:r>
        <w:rPr>
          <w:rFonts w:ascii="Times New Roman" w:hAnsi="Times New Roman"/>
          <w:sz w:val="20"/>
        </w:rPr>
        <w:t xml:space="preserve">In June 2020, AVROBIO sold an aggregate of 384,140 shares of common stock under the ATM facility for net proceeds, after deducting commissions and other offering expenses payable by AVROBIO, of $8.1 million.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2020, AVROBIO closed an underwritten public offering (the “November 2020 Follow-On Offering”) of 5,000,000 shares of AVROBIO’s common stock at a public offering price of $15.00 per share. The net proceeds to AVROBIO from the November 2020 Follow-On Offering, after deducting underwriting discounts and commissions and other offering expenses payable by AVROBIO, were $70.2 million. </w:t>
      </w:r>
    </w:p>
    <w:p>
      <w:pPr>
        <w:pStyle w:val="TextBody"/>
        <w:bidi w:val="0"/>
        <w:spacing w:before="240" w:after="0"/>
        <w:jc w:val="left"/>
        <w:rPr>
          <w:rFonts w:ascii="Times New Roman" w:hAnsi="Times New Roman"/>
          <w:sz w:val="20"/>
        </w:rPr>
      </w:pPr>
      <w:r>
        <w:rPr>
          <w:rFonts w:ascii="Times New Roman" w:hAnsi="Times New Roman"/>
          <w:sz w:val="20"/>
        </w:rPr>
        <w:t xml:space="preserve">In May 2021, AVROBIO sold an aggregate of 1,829,268 shares of common stock under the ATM facility for net proceeds, after deducting commissions and other offering expenses payable by AVROBIO, of $14.5 million. As of September 30, 2023, approximately $26.5 million of common stock remained available for future issuance under the ATM facility.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2021 (the “Term Loan Agreement Closing Date”), AVROBIO entered into the Term Loan Agreement. The Term Loan Agreement provided for (i) on the Term Loan Agreement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and (iii) an additional discretionary $15.0 million term loan facility available upon AVROBIO’s request and approval by the Agent and the Lenders, (collectively, the “Term Loans”). AVROBIO drew $15.0 million in term loans on the Term Loan Agreement Closing Date. On June 9, 2023, upon the closing of the Cystinosis Sale, all outstanding amounts due and owed, including principal, interest, and other charges, under the Term Loan Agreement, dated as of November 2, 2021, by and among AVROBIO, SVB and the other parties thereto, were repaid in full and the Term Loan Agreement was terminated. Upon repayment, the obligations of AVROBIO under the Term Loan Agreement were satisfied in full, the Term Loan Agreement and all related loan documents were terminated and all liens and security interests granted thereunder were released and terminated (excluding certain indemnification obligations that expressly survive termination of the Term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July 2022, the July 2019 Shelf expired, and on November 8, 2022, AVROBIO filed a shelf registration statement on Form S-3 with the SEC (the “November 2022 Shelf”), which covered the offering, issuance and sale by AVROBIO of up to an aggregate of $250.0 million of AVROBIO’s common stock, preferred stock, debt securities, warrants and/or units. The December 2019 Shelf expired in December 2022, and the November 2022 Shelf carried forward unsold securities previously covered by the December 2019 Shelf, thus registering an aggregate total of $250.0 million of AVROBIO’s common stock, preferred stock, debt securities, warrants and/or units. In connection with the November 2022 Shelf, AVROBIO simultaneously entered into a new Sales Agreement with Cowen and Company, LLC, as sales agent, to provide for the offering, issuance and sale by AVROBIO of up to $50.0 million of AVROBIO’s common stock from time to time in under the ATM Facility. As of the date hereof, AVROBIO have not made any sales under the ATM Facility. On November 3, 2023, AVROBIO withdrew the November 2022 Shelf. AVROBIO will not make any potential sales under the ATM Facility until a new shelf registration statement on Form S-3 is filed and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AVROBIO had cash and cash equivalents of $98.0 million. Cash in excess of immediate requirements is invested primarily with a view to liquidity and capital preservation. </w:t>
      </w:r>
    </w:p>
    <w:p>
      <w:pPr>
        <w:pStyle w:val="TextBody"/>
        <w:bidi w:val="0"/>
        <w:spacing w:before="240" w:after="0"/>
        <w:jc w:val="left"/>
        <w:rPr>
          <w:rFonts w:ascii="Times New Roman" w:hAnsi="Times New Roman"/>
          <w:sz w:val="20"/>
        </w:rPr>
      </w:pPr>
      <w:r>
        <w:rPr>
          <w:rFonts w:ascii="Times New Roman" w:hAnsi="Times New Roman"/>
          <w:sz w:val="20"/>
        </w:rPr>
        <w:t xml:space="preserve">AVROBIO’s material cash requirements include contractual obligations with third parties. AVROBIO has non-cancelable operating leases for office and laboratory space, which are located in Cambridge, Massachusetts and will expire in April 2024. As of December 31, 2023, AVROBIO expects its future minimum lease payments under this commitment to total approximately $0.9 million in 2024. These minimum lease payments do not include any related common area maintenance charges or real estate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enters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AVROBIO’s service providers, up to the date of cancellation. These payments are not included above as the amount and timing of such payments are not known. </w:t>
      </w:r>
    </w:p>
    <w:p>
      <w:pPr>
        <w:pStyle w:val="TextBody"/>
        <w:bidi w:val="0"/>
        <w:spacing w:before="240" w:after="0"/>
        <w:jc w:val="left"/>
        <w:rPr>
          <w:rFonts w:ascii="Times New Roman" w:hAnsi="Times New Roman"/>
          <w:sz w:val="20"/>
        </w:rPr>
      </w:pPr>
      <w:r>
        <w:rPr>
          <w:rFonts w:ascii="Times New Roman" w:hAnsi="Times New Roman"/>
          <w:sz w:val="20"/>
        </w:rPr>
        <w:t>In addition, pursuant to AVROBIO’s current or former license agreements with UHN, BioMarin, The University of Manchester, Papillon and the Lund University rights holders, AVROBIO is or was required to make certain milestone and royalty payments to AVROBIO’s licensors. See “</w:t>
      </w:r>
      <w:r>
        <w:rPr>
          <w:rFonts w:ascii="Times New Roman" w:hAnsi="Times New Roman"/>
          <w:i/>
          <w:sz w:val="20"/>
        </w:rPr>
        <w:t>Business-License Agreements</w:t>
      </w:r>
      <w:r>
        <w:rPr>
          <w:rFonts w:ascii="Times New Roman" w:hAnsi="Times New Roman"/>
          <w:sz w:val="20"/>
        </w:rPr>
        <w:t xml:space="preserve">” for additional details regarding AVROBIO’s payment obligations to these licensors.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AVROBIO’s cash flows for each of the periods presented (in thousands): </w:t>
      </w:r>
    </w:p>
    <w:p>
      <w:pPr>
        <w:pStyle w:val="TextBody"/>
        <w:bidi w:val="0"/>
        <w:spacing w:before="0" w:after="0"/>
        <w:jc w:val="left"/>
        <w:rPr/>
      </w:pPr>
      <w:r>
        <w:rPr/>
        <w:t> </w:t>
      </w:r>
    </w:p>
    <w:tbl>
      <w:tblPr>
        <w:tblW w:w="8540" w:type="dxa"/>
        <w:jc w:val="left"/>
        <w:tblInd w:w="0" w:type="dxa"/>
        <w:tblLayout w:type="fixed"/>
        <w:tblCellMar>
          <w:top w:w="0" w:type="dxa"/>
          <w:left w:w="0" w:type="dxa"/>
          <w:bottom w:w="0" w:type="dxa"/>
          <w:right w:w="0" w:type="dxa"/>
        </w:tblCellMar>
      </w:tblPr>
      <w:tblGrid>
        <w:gridCol w:w="6185"/>
        <w:gridCol w:w="120"/>
        <w:gridCol w:w="140"/>
        <w:gridCol w:w="755"/>
        <w:gridCol w:w="155"/>
        <w:gridCol w:w="120"/>
        <w:gridCol w:w="140"/>
        <w:gridCol w:w="755"/>
        <w:gridCol w:w="170"/>
      </w:tblGrid>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(63,190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(97,208</w:t>
            </w:r>
          </w:p>
        </w:tc>
        <w:tc>
          <w:tcPr>
            <w:tcW w:w="170" w:type="dxa"/>
            <w:tcBorders/>
            <w:shd w:fill="CCEE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85,076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(267</w:t>
            </w:r>
          </w:p>
        </w:tc>
        <w:tc>
          <w:tcPr>
            <w:tcW w:w="170"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(16,029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262</w:t>
            </w:r>
          </w:p>
        </w:tc>
        <w:tc>
          <w:tcPr>
            <w:tcW w:w="170" w:type="dxa"/>
            <w:tcBorders/>
            <w:shd w:fill="CCEE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increase in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5,857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(97,213</w:t>
            </w:r>
          </w:p>
        </w:tc>
        <w:tc>
          <w:tcPr>
            <w:tcW w:w="17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operating activities used $63.2 million of cash and cash equivalents, resulting from AVROBIO’s net income of $12.2 million, including gain on asset sale of $83.7 million, which was offset by the gain on asset sale that is classified as investing activities, net non-cash charges of $12.7 million and changes in AVROBIO’s operating assets and liabilities of $4.3 million. Net cash used by changes in AVROBIO’s operating assets and liabilities for the year ended December 31, 2023 was primarily due to a $6.7 million decrease in accrued expenses and other current liabilities and a $2.5 million decrease in current and non-current operating lease liabilities, partially offset by a $5.2 million decrease in prepaids and other current assets. The non-cash charges included $6.9 million of stock-based compensation expense, $1.9 million in non-cash asset impairment charges, $1.1 million in non-cash interest expense, $1.9 million in non-cash lease expense, and $0.6 million in depreciation and amortization expense.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operating activities used $97.2 million of cash and cash equivalents, resulting from AVROBIO’s net loss of $(105.9) million and cash used by changes in AVROBIO’s operating assets and liabilities of $7.4 million which was offset by non-cash charges of $16.1 million. Net cash used by changes in AVROBIO’s operating assets and liabilities for the year ended December 31, 2022 consists primarily of a $2.5 million decrease in prepaid expenses and other current assets, a $3.9 million decrease in accrued expenses and other currently liabilities, a $3.1 million decrease in accounts payable, and a $2.9 million decrease in current and non-current operating lease liabilities. The increase in accrued expenses and other current liabilities was primarily due to an increase in accrued compensation and benefit costs.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(used in) investing activities was $85.1 million for the year ended December 31, 2023 compared to $(0.3) million for the year ended December 31, 2022. The increase in cash provided by investing activities is related to the net proceeds received for the sale of the cystinosis program in the second quarter of 2023 for proceeds net of transaction costs of $83.7 million, and $1.4 million in proceeds from the sale of property, plant, and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by financing activities was $16.0 million for the year ended December 31, 2023 compared to net cash provided by financing activities of $0.3 million for the year ended December 31, 2022. The change is related to the repayment of the Term Loan Agreement in the second quarter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Should AVROBIO resume development of its product candidates, AVROBIO would expect its expenses to increase substantially in connection with such activities, particularlywith respect to the preclinical activities and clinical trials of AVROBIO’s product candidates. AVROBIO’s expenses would also increase should AVROBIO: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 its development of its product candidates, including enrollment and dosing of patients in clinical trials;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clinical trials and preclinical studies for AVROBIO’s product candidates;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and develop or in-license or acquire additional product candidates and technologies;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industrialize AVROBIO’s HSC gene therapy approach into a robust, scalable and, if approved, commercially viable process;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marketing approvals for AVROBIO’s product candidates that successfully complete clinical trials,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 candidates for which AVROBIO may obtain marketing approval;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and retains additional personnel, such as clinical, quality control, and scientific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AVROBIO’s infrastructure, office space and facilities to accommodate AVROBIO’s employee base, including adding equipment and physical infrastructure to support AVROBIO’s research and development; and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incur additional public company-related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that AVROBIO can generate product revenue sufficient to achieve profitability, AVROBIO expects to finance AVROBIO’s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AVROBIO’s ability to take specific actions, such as incurring additional debt, making capital expenditures or declaring dividends. If AVROBIO raises additional funds through government and other third-party funding, collaboration agreements, strategic alliances, licensing arrangements or marketing and distribution arrangements, AVROBIO may have to relinquish valuable rights to AVROBIO’s technologies, future revenue streams, research programs or product candidates or grant licenses on terms that may not be favorable to AVROBIO. If AVROBIO is unable to raise additional funds through equity or debt financings when needed, AVROBIO may be required to delay, limit, reduce or terminate AVROBIO’s product development or future commercialization efforts or grant rights to develop and market products or product candidates that AVROBIO would otherwise prefer to develop and market itself. </w:t>
      </w:r>
    </w:p>
    <w:p>
      <w:pPr>
        <w:pStyle w:val="TextBody"/>
        <w:bidi w:val="0"/>
        <w:spacing w:before="360" w:after="0"/>
        <w:jc w:val="left"/>
        <w:rPr>
          <w:rFonts w:ascii="Times New Roman" w:hAnsi="Times New Roman"/>
          <w:b/>
          <w:sz w:val="20"/>
        </w:rPr>
      </w:pPr>
      <w:bookmarkStart w:id="153" w:name="toc770053_158"/>
      <w:bookmarkEnd w:id="153"/>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AVROBIO’s consolidated financial statements are prepared in accordance with GAAP principles in the United States. The preparation of AVROBIO’s consolidated financial statements and related disclosures requires AVROBIO to make estimates and judgments that affect the reported amounts of assets, liabilities, revenue, costs and expenses, and the disclosure of contingent assets and liabilities in AVROBIO’s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AVROBIO evaluates its estimates and assumptions on an ongoing basis. AVROBIO’s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While AVROBIO’s significant accounting policies are described in more detail in Note 2 “</w:t>
      </w:r>
      <w:r>
        <w:rPr>
          <w:rFonts w:ascii="Times New Roman" w:hAnsi="Times New Roman"/>
          <w:i/>
          <w:sz w:val="20"/>
        </w:rPr>
        <w:t>Summary of Significant Accounting Policies”</w:t>
      </w:r>
      <w:r>
        <w:rPr>
          <w:rFonts w:ascii="Times New Roman" w:hAnsi="Times New Roman"/>
          <w:sz w:val="20"/>
        </w:rPr>
        <w:t xml:space="preserve"> to AVROBIO’s consolidated financial statements appearing in its Annual Report on Form 10-K for the fiscal year ended December 31, 2023, filed with the SEC on March 14, 2024, AVROBIO believes that the following accounting policies are those most critical to the judgments and estimates used in the preparation of AVROBIO’s consolidated financial statements.</w:t>
      </w:r>
    </w:p>
    <w:p>
      <w:pPr>
        <w:pStyle w:val="TextBody"/>
        <w:bidi w:val="0"/>
        <w:spacing w:before="360" w:after="0"/>
        <w:jc w:val="left"/>
        <w:rPr>
          <w:rFonts w:ascii="Times New Roman" w:hAnsi="Times New Roman"/>
          <w:b/>
          <w:i/>
          <w:sz w:val="20"/>
        </w:rPr>
      </w:pPr>
      <w:r>
        <w:rPr>
          <w:rFonts w:ascii="Times New Roman" w:hAnsi="Times New Roman"/>
          <w:b/>
          <w:i/>
          <w:sz w:val="20"/>
        </w:rPr>
        <w:t>Accrued 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As part of the process of preparing AVROBIO’s consolidated financial statements, AVROBIO is required to estimate its accrued research and development expenses. This process involves reviewing open contracts and purchase orders, communicating with AVROBIO’s personnel to identify services that have been performed on AVROBIO’s behalf and estimating the level of service performed and the associated cost incurred for the service when AVROBIO has not yet been invoiced or otherwise notified of actual costs. The majority of AVROBIO’s service providers invoice AVROBIO in arrears for services performed, on a pre-determined schedule or when contractual milestones are met; however, some require advanced payments. AVROBIO makes estimates of its accrued expenses as of each balance sheet date in the consolidated financial statements based on facts and circumstances known to AVROBIO at that time. AVROBIO periodically confirms the accuracy of these estimates with the service providers and make adjustments if necessary. Examples of estimated accrued research and development expenses include fees paid to:</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vendors, including central laboratories, in connection with preclinical development activities;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CROs and investigative sites in connection with preclinical and clinical studies; and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75"/>
        <w:gridCol w:w="110"/>
        <w:gridCol w:w="60"/>
        <w:gridCol w:w="9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CMOs in connection with drug substance and drug product formulation of preclinical and clinical trial materials. </w:t>
            </w:r>
          </w:p>
        </w:tc>
      </w:tr>
    </w:tbl>
    <w:p>
      <w:pPr>
        <w:pStyle w:val="TextBody"/>
        <w:bidi w:val="0"/>
        <w:spacing w:before="240" w:after="0"/>
        <w:jc w:val="left"/>
        <w:rPr>
          <w:rFonts w:ascii="Times New Roman" w:hAnsi="Times New Roman"/>
          <w:sz w:val="20"/>
        </w:rPr>
      </w:pPr>
      <w:r>
        <w:rPr>
          <w:rFonts w:ascii="Times New Roman" w:hAnsi="Times New Roman"/>
          <w:sz w:val="20"/>
        </w:rPr>
        <w:t>AVROBIO bases its expenses related to preclinical studies and clinical trials on AVROBIO’s estimates of the services received and efforts expended pursuant to quotes and contracts with multiple research institutions and CROs that conduct and manage preclinical studies and clinical trials on AVROBIO’s behalf. The financial terms of these agreements are subject to negotiation, vary from contract to contract and may result in uneven payment flows. There may be instances in which payments made to AVROBIO’s vendors will exceed the level of services provided and result in a prepayment of the expense. Payments under some of these contracts depend on factors such as the successful enrollment of patients and the completion of clinical trial milestones. In accruing service fees, AVROBIO estimates the time period over which services will be performed and the level of effort to be expended in each period. If the actual timing of the performance of services or the level of effort varies from the estimate, AVROBIO adjusts the accrual or the amount of prepaid expenses accordingly. Although AVROBIO does not expect its estimates to be materially different from amounts actually incurred, AVROBIO’s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AVROBIO’s prior estimates of accrued research and development expenses.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Stock-Based Compensation</w:t>
      </w:r>
    </w:p>
    <w:p>
      <w:pPr>
        <w:pStyle w:val="TextBody"/>
        <w:bidi w:val="0"/>
        <w:spacing w:before="120" w:after="0"/>
        <w:jc w:val="left"/>
        <w:rPr>
          <w:rFonts w:ascii="Times New Roman" w:hAnsi="Times New Roman"/>
          <w:sz w:val="20"/>
        </w:rPr>
      </w:pPr>
      <w:r>
        <w:rPr>
          <w:rFonts w:ascii="Times New Roman" w:hAnsi="Times New Roman"/>
          <w:sz w:val="20"/>
        </w:rPr>
        <w:t>AVROBIO measures stock options and other stock-based awards granted to employees and members of the AVROBIO Board for their services as directors based on the fair value on the date of the grant and recognize the corresponding compensation expense of those awards over the requisite service period, which is generally the vesting period of the respective award. AVROBIO has issued stock options, restricted stock and RSUs with service-based vesting conditions.</w:t>
      </w:r>
    </w:p>
    <w:p>
      <w:pPr>
        <w:pStyle w:val="TextBody"/>
        <w:bidi w:val="0"/>
        <w:spacing w:before="240" w:after="0"/>
        <w:jc w:val="left"/>
        <w:rPr>
          <w:rFonts w:ascii="Times New Roman" w:hAnsi="Times New Roman"/>
          <w:sz w:val="20"/>
        </w:rPr>
      </w:pPr>
      <w:r>
        <w:rPr>
          <w:rFonts w:ascii="Times New Roman" w:hAnsi="Times New Roman"/>
          <w:sz w:val="20"/>
        </w:rPr>
        <w:t xml:space="preserve">Modifications to stock-based awards are treated as an exchange of the original award for a new award with total compensation equal to the grant-date fair value of the original award plus any incremental value of the modification. The incremental value is based on the excess of the fair value of the modified award over the fair value of the original award immediately before the modification.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adoption of Accounting Standards Update (ASU) No. 2018-07, </w:t>
      </w:r>
      <w:r>
        <w:rPr>
          <w:rFonts w:ascii="Times New Roman" w:hAnsi="Times New Roman"/>
          <w:i/>
          <w:sz w:val="20"/>
        </w:rPr>
        <w:t>Compensation—Stock Compensation (Topic 718): Improvements to Nonemployee Share-Based Payment Accounting (ASU 2018-07)</w:t>
      </w:r>
      <w:r>
        <w:rPr>
          <w:rFonts w:ascii="Times New Roman" w:hAnsi="Times New Roman"/>
          <w:sz w:val="20"/>
        </w:rPr>
        <w:t>, as discussed in Note 2 “</w:t>
      </w:r>
      <w:r>
        <w:rPr>
          <w:rFonts w:ascii="Times New Roman" w:hAnsi="Times New Roman"/>
          <w:i/>
          <w:sz w:val="20"/>
        </w:rPr>
        <w:t>Summary of Significant Accounting Policies”</w:t>
      </w:r>
      <w:r>
        <w:rPr>
          <w:rFonts w:ascii="Times New Roman" w:hAnsi="Times New Roman"/>
          <w:sz w:val="20"/>
        </w:rPr>
        <w:t xml:space="preserve"> to AVROBIO’s consolidated financial statements appearing in AVROBIO’s Annual Report on Form 10-K for the fiscal year ended December 31, 2023, filed with the SEC on March 14, 2024, the measurement date for non-employee awards was generally the date the services were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pStyle w:val="TextBody"/>
        <w:bidi w:val="0"/>
        <w:spacing w:before="240" w:after="0"/>
        <w:jc w:val="left"/>
        <w:rPr>
          <w:rFonts w:ascii="Times New Roman" w:hAnsi="Times New Roman"/>
          <w:sz w:val="20"/>
        </w:rPr>
      </w:pPr>
      <w:r>
        <w:rPr>
          <w:rFonts w:ascii="Times New Roman" w:hAnsi="Times New Roman"/>
          <w:sz w:val="20"/>
        </w:rPr>
        <w:t>AVROBIO estimates the fair value of each stock option grant using the Black-Scholes option-pricing model, which uses as inputs the estimated fair value of AVROBIO common stock and assumptions AVROBIO makes for the volatility of AVROBIO common stock, the expected term of AVROBIO stock options, the risk-free interest rate for a period that approximates the expected term of AVROBIO stock options and AVROBIO expected dividend yield.</w:t>
      </w:r>
    </w:p>
    <w:p>
      <w:pPr>
        <w:pStyle w:val="TextBody"/>
        <w:bidi w:val="0"/>
        <w:spacing w:before="240" w:after="0"/>
        <w:jc w:val="left"/>
        <w:rPr>
          <w:rFonts w:ascii="Times New Roman" w:hAnsi="Times New Roman"/>
          <w:sz w:val="20"/>
        </w:rPr>
      </w:pPr>
      <w:r>
        <w:rPr>
          <w:rFonts w:ascii="Times New Roman" w:hAnsi="Times New Roman"/>
          <w:sz w:val="20"/>
        </w:rPr>
        <w:t>AVROBIO determined the assumptions for the Black-Scholes option-pricing model as discussed below. Each of these inputs is subjective and generally requires significant judgment to determine.</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Determination of the Fair Value of Common Stock.</w:t>
            </w:r>
            <w:r>
              <w:rPr>
                <w:rFonts w:ascii="Times New Roman" w:hAnsi="Times New Roman"/>
                <w:sz w:val="20"/>
              </w:rPr>
              <w:t xml:space="preserve"> The fair value of AVROBIO common stock is determined based on the quoted market price of AVROBIO common stock. Prior to AVROBIO’s IPO, there was no public market for AVROBIO common stock, and consequently, the estimated fair value of AVROBIO common stock was determined by the AVROBIO Board as of the date of each option grant, with input from management, considering third-party valuations of AVROBIO common stock as well as the AVROBIO Board’s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Following the closing of AVROBIO’s IPO, it was no longer necessary for the AVROBIO Board to estimate the fair market value of AVROBIO common stock in connection with AVROBIO’s accounting for granted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 The expected term represents the period that the stock-based awards are expected to be outstanding. The expected term of stock options granted has been determined using the simplified method, which uses the midpoint between the vesting date and the contractual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is based on the U.S. Treasury yield curve in effect at the date of grant for zero-coupon U.S. Treasury constant maturity notes with terms approximately equal to the stock-based award’s expected term.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Because AVROBIO does not have long-term trading history of AVROBIO’s common stock, the expected volatility was derived from the average historical stock volatilities of several public companies within AVROBIO’s industry that AVROBIO considers to be comparable to AVROBIO’s business over a period equivalent to the expected term of the stock-based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Dividend Rate.</w:t>
            </w:r>
            <w:r>
              <w:rPr>
                <w:rFonts w:ascii="Times New Roman" w:hAnsi="Times New Roman"/>
                <w:sz w:val="20"/>
              </w:rPr>
              <w:t xml:space="preserve"> The expected dividend is zero as AVROBIO has not paid and does not anticipate paying any dividends in the foreseeable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assumptions used in the Black-Scholes model change significantly, stock-based compensation for future awards may differ materially compared with the awards granted previously.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as defined in the rules and regulations of the SEC. </w:t>
      </w:r>
    </w:p>
    <w:p>
      <w:pPr>
        <w:pStyle w:val="TextBody"/>
        <w:bidi w:val="0"/>
        <w:spacing w:before="360" w:after="0"/>
        <w:jc w:val="left"/>
        <w:rPr>
          <w:rFonts w:ascii="Times New Roman" w:hAnsi="Times New Roman"/>
          <w:b/>
          <w:sz w:val="20"/>
        </w:rPr>
      </w:pPr>
      <w:bookmarkStart w:id="154" w:name="toc770053_159"/>
      <w:bookmarkEnd w:id="154"/>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AVROBIO’s financial position and results of operations is disclosed in AVROBIO’s consolidated financial statements beginning on page F-1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5" w:name="toc770053_160"/>
      <w:bookmarkEnd w:id="155"/>
      <w:r>
        <w:rPr>
          <w:rFonts w:ascii="Times New Roman" w:hAnsi="Times New Roman"/>
          <w:b/>
          <w:sz w:val="20"/>
        </w:rPr>
        <w:t xml:space="preserve">TECTONIC MANAGEMENT’S DISCUSSION AND ANALYSIS OF FINANCIAL CONDITION AND </w:t>
      </w:r>
    </w:p>
    <w:p>
      <w:pPr>
        <w:pStyle w:val="TextBody"/>
        <w:bidi w:val="0"/>
        <w:spacing w:before="0" w:after="0"/>
        <w:jc w:val="center"/>
        <w:rPr>
          <w:rFonts w:ascii="Times New Roman" w:hAnsi="Times New Roman"/>
          <w:b/>
          <w:sz w:val="20"/>
        </w:rPr>
      </w:pPr>
      <w:r>
        <w:rPr>
          <w:rFonts w:ascii="Times New Roman" w:hAnsi="Times New Roman"/>
          <w:b/>
          <w:sz w:val="20"/>
        </w:rPr>
        <w:t xml:space="preserve">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Tectonic’s financial condition and results of operations together with the sectioned titled “Tectonic’s Business” and Tectonic’s financial statements and the related notes appearing elsewhere in this proxy statement/prospectus. Some of the information contained in this discussion and analysis or set forth elsewhere in this proxy statement/prospectus, including information with respect to Tectonic’s plans and strategy for its business and related financing, includes forward-looking statements that involve risks, uncertainties, and assumptions. As a result of many factors, including those factors set forth in the section titled “Risk Factors—Risks Related to Tectonic,” Tectonic’s actual results could differ materially from the results described in or implied by these forward-looking statements. You should carefully read the section titled “Risk Factors—Risks Related to Tectonic” to gain an understanding of the factors that could cause actual results to differ materially from Tectonic’s forward-looking statements. Please also see the section titled “Cautionary Note Regarding Forward-Looking Statements.” </w:t>
      </w:r>
    </w:p>
    <w:p>
      <w:pPr>
        <w:pStyle w:val="TextBody"/>
        <w:bidi w:val="0"/>
        <w:spacing w:before="360" w:after="0"/>
        <w:jc w:val="left"/>
        <w:rPr>
          <w:rFonts w:ascii="Times New Roman" w:hAnsi="Times New Roman"/>
          <w:b/>
          <w:sz w:val="20"/>
        </w:rPr>
      </w:pPr>
      <w:bookmarkStart w:id="156" w:name="toc770053_161"/>
      <w:bookmarkEnd w:id="156"/>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Tectonic is a biotechnology company focused on the discovery and development of therapeutic proteins and antibodies that modulate the activity of GPCRs. The discovery of biologics that can modulate GPCRs has historically been quite challenging. Tectonic has developed a proprietary technology platform called GEODe™, with the aim of addressing these challenges to enable the discovery and development of GPCR-targeted biologic medicines that can modify the course of disease. Tectonic focuses on areas of significant unmet medical need, often where therapeutic options are poor or nonexistent, as these are areas where new medicines have the potential to improve patient quality of life. </w:t>
      </w:r>
    </w:p>
    <w:p>
      <w:pPr>
        <w:pStyle w:val="TextBody"/>
        <w:bidi w:val="0"/>
        <w:spacing w:before="240" w:after="0"/>
        <w:jc w:val="left"/>
        <w:rPr>
          <w:rFonts w:ascii="Times New Roman" w:hAnsi="Times New Roman"/>
          <w:sz w:val="20"/>
        </w:rPr>
      </w:pPr>
      <w:r>
        <w:rPr>
          <w:rFonts w:ascii="Times New Roman" w:hAnsi="Times New Roman"/>
          <w:sz w:val="20"/>
        </w:rPr>
        <w:t xml:space="preserve">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Tectonic believes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Tectonic is focused on developing biologics to address GPCRs with the goal of capturing such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Tectonic uses its proprietary GEODe™ technology platform in an attempt to overcome the known challenges of GPCR-targeted drug discovery. </w:t>
      </w:r>
    </w:p>
    <w:p>
      <w:pPr>
        <w:pStyle w:val="TextBody"/>
        <w:bidi w:val="0"/>
        <w:spacing w:before="240" w:after="0"/>
        <w:jc w:val="left"/>
        <w:rPr>
          <w:rFonts w:ascii="Times New Roman" w:hAnsi="Times New Roman"/>
          <w:sz w:val="20"/>
        </w:rPr>
      </w:pPr>
      <w:r>
        <w:rPr>
          <w:rFonts w:ascii="Times New Roman" w:hAnsi="Times New Roman"/>
          <w:sz w:val="20"/>
        </w:rPr>
        <w:t xml:space="preserve">Tectonic’s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therapeutic potential in the treatment of cardiovascular disease. Unfortunately, the development of a viable therapeutic has been challenging, primarily because of relaxin’s very short half-life. Tectonic believes TX45’s pharmacological profile, the direct result of applying Tectonic’s protein engineering capabilities, has the potential to, can overcome the limitations that have impeded previous attempts to develop relaxin as a therapeutic protein. To interrogate the therapeutic potential of relaxin, Tectonic has identified: Group 2 Pulmonary Hypertension (“PH”) in the setting of Heart Failure with Preserved Ejection Fraction (“HFpEF”) referred to as Group 2 PH /HFpEF hereafter, as the initial disease setting. Tectonic hypothesizes that in this setting, treatment with relaxin could improve hemodynamics through effects on vasodilation and potential remodeling in both the pulmonary vessels and the heart which could translate into a clinically meaningful improvement in exercise capacity in these patients. Clinical trials are planned to confirm this hypothesis. Despite this belief, Tectonic’s business carries substantial risks, including Tectonic’s limited experience in therapeutic discovery and development, and the risk that that the platform may never result in the regulatory approval of a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Since Tectonic’s inception in 2019, Tectonic’s operations have focused on organizing and staffing the company, business planning, raising capital, establishing Tectonic’s intellectual property portfolio and conducting preclinical studies and clinical trials. Tectonic does not have any product candidates approved for sale and has not generated any revenue from product sales. Tectonic has funded its operations primarily with proceeds from sales of Series A-1, A-2, A-3, and A-4 convertible preferred stock (collectively, the “Preferred Stock”), proceeds from issuance of convertible promissory notes, which were all converted to convertible preferred stock in March 2021 and proceeds from issuance of SAFEs in October and December 2023. From inception through December 31, 2023, Tectonic has received $114.7 million in capital contributions from sales of Preferred Stock, issuance of convertible promissory notes, and proceeds from issuance of SAFEs. As of December 31, 2023, Tectonic had $28.8 million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Tectonic has incurred significant operating losses. Tectonic’s net losses were $42.8 million and $32.2 million for the years ended December 31, 2023 and 2022, respectively. As of December 31, 2023, Tectonic had an accumulated deficit of $90.6 million. Tectonic expects to continue to incur significant expenses and operating losses for the foreseeable future. Tectonic anticipates that its expenses will increase significantly in connection with its ongoing activities, as Tectonic: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Tectonic’s ongoing and planned research and development of Tectonic’s lead product candidate TX45 and Tectonic’s other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initiates preclinical studies and clinical trials for any additional product candidates that Tectonic may pursue in the future;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discover and develop additional product candidates and further expand Tectonic’s clinical product pipeline;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scale up internal and external manufacturing capacity with the aim of securing sufficient quantities to meet Tectonic’s capacity requirements for clinical trials and eventual potential commercialization;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sales, marketing and distribution infrastructure to commercialize any product candidate for which Tectonic may obtain regulatory approval;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develops, maintains, expands and protects Tectonic’s intellectual property portfolio;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other product candidates and technologies;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clinical, quality control and manufacturing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clinical, operational, financial and management information systems and personnel, including personnel to support Tectonic’s product development and planned future commercialization efforts;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incurs additional legal, accounting, investor relations and other expenses associated with operating as a public company following the completion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Tectonic will not generate revenue from product sales unless and until Tectonic successfully completes clinical development and obtains regulatory approval for one or more of Tectonic’s product candidates. If Tectonic obtains regulatory approval for any of Tectonic’s product candidates and does not enter into a commercialization partnership, Tectonic expects to incur significant expenses related to developing Tectonic’s internal commercialization capability to support product sales, marketing and distribution. Further, following the completion of the merger, the combined company will continue to incur additional costs associated with operating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As a result, Tectonic will need substantial additional funding to support Tectonic’s continuing operations and pursue Tectonic’s growth strategy. Until such time as Tectonic can generate significant revenue from product sales, if ever, Tectonic expects to finance its operations through a combination of public or private equity offerings, debt financings or other capital sources, which may include collaborations with other companies, marketing, distribution or licensing arrangements with third parties, or other strategic transactions. Tectonic may be unable to raise additional funds or enter into such other agreements or arrangements when needed on favorable terms, or at all. If Tectonic fails to raise capital or enter into such agreements as and when needed, Tectonic may have to significantly delay, reduce or eliminate its product discovery and development programs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pharmaceutical product development, Tectonic is unable to accurately predict the timing or amount of increased expenses or when or if Tectonic will be able to achieve or maintain profitability. Even if Tectonic is able to generate product sales, Tectonic may not become profitable. If Tectonic fails to become profitable or is unable to sustain profitability on a continuing basis, then Tectonic may be unable to continue its operations at planned levels and be forced to reduce or terminate Tectonic’s operations. </w:t>
      </w:r>
    </w:p>
    <w:p>
      <w:pPr>
        <w:pStyle w:val="TextBody"/>
        <w:bidi w:val="0"/>
        <w:spacing w:before="240" w:after="0"/>
        <w:jc w:val="left"/>
        <w:rPr>
          <w:rFonts w:ascii="Times New Roman" w:hAnsi="Times New Roman"/>
          <w:sz w:val="20"/>
        </w:rPr>
      </w:pPr>
      <w:r>
        <w:rPr>
          <w:rFonts w:ascii="Times New Roman" w:hAnsi="Times New Roman"/>
          <w:sz w:val="20"/>
        </w:rPr>
        <w:t>Tectonic expects that its existing cash and cash equivalents upon completion of the merger and Tectonic’s private financings will enable it to fund its operating expenses and capital expenditure requirements into mid-2027. Tectonic has based this estimate on assumptions that may prove to be wrong, and Tectonic could exhaust its available capital resources sooner than Tectonic expects. See “—</w:t>
      </w:r>
      <w:r>
        <w:rPr>
          <w:rFonts w:ascii="Times New Roman" w:hAnsi="Times New Roman"/>
          <w:i/>
          <w:sz w:val="20"/>
        </w:rPr>
        <w:t>Liquidity and Capital Resources</w:t>
      </w:r>
      <w:r>
        <w:rPr>
          <w:rFonts w:ascii="Times New Roman" w:hAnsi="Times New Roman"/>
          <w:sz w:val="20"/>
        </w:rPr>
        <w:t>” and “</w:t>
      </w:r>
      <w:r>
        <w:rPr>
          <w:rFonts w:ascii="Times New Roman" w:hAnsi="Times New Roman"/>
          <w:i/>
          <w:sz w:val="20"/>
        </w:rPr>
        <w:t>Risk Factors—Risks Related to Tectonic’s Financial Position and Need for Additional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Tectonic does not complete the merger, it plans to seek additional funding through private equity financings, debt financings or other capital sources, including collaboration agreements, strategic alliances and licensing arrangements. Tectonic may not be able to obtain financing on acceptable terms, or at all. As of December 31, 2023, Tectonic expects that its existing cash and cash equivalents will not be sufficient to fund Tectonic’s current and planned operations for at least the next twelve months following the issuance date of its consolidated financial statements. Tectonic will need to raise additional capital to finance Tectonic’s operations, which cannot be assured. Tectonic concluded as of March 25, 2024, the issuance date of Tectonic’s consolidated financial statements for the year ended December 31, 2023, that this circumstance raises substantial doubt about Tectonic’s ability to continue as a going concern within twelve months of the issuance date of those financial statements. See Note 1 to Tectonic’s annual consolidated financial statements appearing at the end of this proxy statement/prospectus for additional information on Tectonic’s assessment. </w:t>
      </w:r>
    </w:p>
    <w:p>
      <w:pPr>
        <w:pStyle w:val="TextBody"/>
        <w:bidi w:val="0"/>
        <w:spacing w:before="240" w:after="0"/>
        <w:jc w:val="left"/>
        <w:rPr>
          <w:rFonts w:ascii="Times New Roman" w:hAnsi="Times New Roman"/>
          <w:sz w:val="20"/>
        </w:rPr>
      </w:pPr>
      <w:r>
        <w:rPr>
          <w:rFonts w:ascii="Times New Roman" w:hAnsi="Times New Roman"/>
          <w:sz w:val="20"/>
        </w:rPr>
        <w:t xml:space="preserve">Similarly, in its report on Tectonic’s consolidated financial statements for the year ended December 31, 2023, Tectonic’s independent auditor includes an explanatory paragraph stating that Tectonic’s recurring losses from operations since inception, expectation of generating operating losses in the foreseeable future and need for additional capital to finance Tectonic’s future operations raise substantial doubt about Tectonic’s ability to continue as a going concern.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57" w:name="toc770053_162"/>
      <w:bookmarkEnd w:id="157"/>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Tectonic entered into the Merger Agreement with AVROBIO and Merger Sub. Pursuant to the Merger Agreement, and subject to the satisfaction or waiver of the conditions described in the Merger Agreement, Merger Sub will merge with and into Tectonic, with Tectonic surviving as a wholly owned subsidiary of AVROBIO. The Merger Agreement and the transactions contemplated therein were approved by the members of the AVROBIO Board and Tectonic Board.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effective time, (a) each outstanding share of Tectonic common stock (including shares of Tectonic common stock issued upon conversion of Tectonic preferred stock and the private financing shares) will be converted into the right to receive a number of shares of AVROBIO common stock equal to the exchange ratio; and (b) each then outstanding Tectonic stock option that is outstanding and unexercised immediately prior to the effective time will be assumed by AVROBIO, subject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proposed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Under certain circumstances further described in the Merger Agreement, the ownership percentages may be adjusted up or down including, but not limited to, if AVROBIO’s net cash as of closing is lower than $64.5 million or greater than $65.5 million. AVROBIO management currently anticipates AVROBIO’s net cash as of closing will be approximately $65.0 million to $75.0 million and the currently estimated ownership percentages are based on an assumption of closing net cash of approximately $65.0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Tectonic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of the Merger Agreement, certain investors of Tectonic have entered into a Subscription Agreement with Tectonic, pursuant to which such investors have agreed to purchase Tectonic common stock at a price of $12.39908 per share, and will consummate purchases of Tectonic common stock pursuant to the terms of the Subscription Agreement, for an aggregate purchase price of approximately $96.6 million. The Subscription Agreement is expected to be consummated immediately prior to the closing of the merger. The Subscription Agreement is conditioned upon the satisfaction or waiver of all conditions to the closing of the merger as set forth in the Merger Agreement as well as certain other conditions. The closing of the merger is conditioned upon the satisfaction or waiver of the receipt of cash proceeds not less than $114.5 million in connection with the consummation of the transactions contemplated by the private financings. The shares of Tectonic common stock that are issued pursuant to the Subscription Agreement will be converted into shares of AVROBIO common stock upon the closing of the merger. </w:t>
      </w:r>
    </w:p>
    <w:p>
      <w:pPr>
        <w:pStyle w:val="TextBody"/>
        <w:bidi w:val="0"/>
        <w:spacing w:before="360" w:after="0"/>
        <w:jc w:val="left"/>
        <w:rPr>
          <w:rFonts w:ascii="Times New Roman" w:hAnsi="Times New Roman"/>
          <w:b/>
          <w:sz w:val="20"/>
        </w:rPr>
      </w:pPr>
      <w:bookmarkStart w:id="158" w:name="toc770053_163"/>
      <w:bookmarkEnd w:id="158"/>
      <w:r>
        <w:rPr>
          <w:rFonts w:ascii="Times New Roman" w:hAnsi="Times New Roman"/>
          <w:b/>
          <w:sz w:val="20"/>
        </w:rPr>
        <w:t xml:space="preserve">Macroeconomic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in the global economy presents significant risks to Tectonic’s business. Tectonic is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Tectonic is closely monitoring the impact of the current macroeconomic conditions on all aspects of its business, including the impacts on Tectonic’s participants in its clinical trials, employees, suppliers, vendors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collaboration partners, the ultimate extent of the impact on Tectonic’s business remains highly uncertain and will depend on future developments and factors that continue to evolve. Most of these developments and factors are outside Tectonic’s control and could exist for an extended period of time. Tectonic will continue to evaluate the nature and extent of the potential impacts to Tectonic’s business, results of operations, liquidity and capital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Tectonic has not generated any revenue since its inception and does not expect to generate any revenue from the sale of products in the foreseeable future, if at all. If Tectonic’s development efforts for its product candidates are successful and result in regulatory approval, or in collaboration or license agreements with third parties, Tectonic may generate revenue in the future from product sales or payments from collaboration or license agreements that Tectonic may enter into with third parties, or any combination thereof. Tectonic cannot predict if, when or to what extent Tectonic will generate revenue from the commercialization and sale of Tectonic’s product candidates. Tectonic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Tectonic’s research activities, including Tectonic’s discovery efforts and the development of its programs and platform. These expenses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and share-based compensation expense, for employees engaged in research and development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Tectonic’s programs and Tectonic’s product candidates, including under agreements with third parties;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Tectonic expenses all research and development costs in the periods in which they are incurred. Costs for certain development activities are recognized based on Tectonic’s evaluation of the progress to completion of specific tasks using information and data provided to Tectonic by Tectonic’s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240" w:after="0"/>
        <w:jc w:val="left"/>
        <w:rPr>
          <w:rFonts w:ascii="Times New Roman" w:hAnsi="Times New Roman"/>
          <w:sz w:val="20"/>
        </w:rPr>
      </w:pPr>
      <w:r>
        <w:rPr>
          <w:rFonts w:ascii="Times New Roman" w:hAnsi="Times New Roman"/>
          <w:sz w:val="20"/>
        </w:rPr>
        <w:t xml:space="preserve">Tectonic’s direct research and development expenses relate to the development of Tectonic’s lead product candidate, TX45, as well as the nonclinical safety pharmacology and toxicology testing of Tectonic’s product candidates. Tectonic’s external services expenses consist of the external costs and fees paid to consultants and other research laboratories in connection with Tectonic’s preclinical development and clinical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that are deployed across multiple of Tectonic’s programs, including the HHT program and programs aimed at the discovery and development of potential therapies for fibrotic disease, and its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Tectonic’s discovery efforts and projects are included in unallocated employee-related expenses, laboratory supplies and other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personnel-related costs, including share-based compensation, for Tectonic’s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 </w:t>
      </w:r>
    </w:p>
    <w:p>
      <w:pPr>
        <w:pStyle w:val="TextBody"/>
        <w:bidi w:val="0"/>
        <w:spacing w:before="240" w:after="0"/>
        <w:jc w:val="left"/>
        <w:rPr>
          <w:rFonts w:ascii="Times New Roman" w:hAnsi="Times New Roman"/>
          <w:sz w:val="20"/>
        </w:rPr>
      </w:pPr>
      <w:r>
        <w:rPr>
          <w:rFonts w:ascii="Times New Roman" w:hAnsi="Times New Roman"/>
          <w:sz w:val="20"/>
        </w:rPr>
        <w:t xml:space="preserve">Tectonic anticipates that its general and administrative expenses will increase in the future as the combined company is expected to incur significantly increased accounting, audit, legal, regulatory, compliance, director and officer insurance, and investor and public relations expenses associated with operating as a public company. Tectonic also expects to incur additional intellectual property-related expenses as Tectonic files patent applications to protect innovations arising from Tectonic’s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Preferred Stock Tranche Liability Gain </w:t>
      </w:r>
    </w:p>
    <w:p>
      <w:pPr>
        <w:pStyle w:val="TextBody"/>
        <w:bidi w:val="0"/>
        <w:spacing w:before="120" w:after="0"/>
        <w:jc w:val="left"/>
        <w:rPr>
          <w:rFonts w:ascii="Times New Roman" w:hAnsi="Times New Roman"/>
          <w:sz w:val="20"/>
        </w:rPr>
      </w:pPr>
      <w:r>
        <w:rPr>
          <w:rFonts w:ascii="Times New Roman" w:hAnsi="Times New Roman"/>
          <w:sz w:val="20"/>
        </w:rPr>
        <w:t xml:space="preserve">As part of Tectonic’s issuance of preferred stock, Tectonic provided the investors with the right to purchase additional shares of Series A-1 and Series A-2 convertible preferred stock upon the approval of the Tectonic Board and a majority vote of the holders of the preferred stock. Tectonic recorded this right and obligation to the investors as a preferred stock tranche liability on its consolidated balance sheets and initially recorded the liability at its fair value upon the issuance date of the Preferred Stock. Tectonic remeasured its preferred stock tranche liability to fair value at each reporting date and recognize the changes in fair value as a component of other income (expense), net in Tectonic’s consolidated statements of operations and comprehensive loss. The tranche liability was settled in September 2022.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no outstanding preferred stock tranche liability, as all tranche rights were exercised and the associated liability was settled during the year ended December 31, 2022. </w:t>
      </w:r>
    </w:p>
    <w:p>
      <w:pPr>
        <w:pStyle w:val="TextBody"/>
        <w:bidi w:val="0"/>
        <w:spacing w:before="360" w:after="0"/>
        <w:jc w:val="left"/>
        <w:rPr>
          <w:rFonts w:ascii="Times New Roman" w:hAnsi="Times New Roman"/>
          <w:i/>
          <w:sz w:val="20"/>
        </w:rPr>
      </w:pPr>
      <w:r>
        <w:rPr>
          <w:rFonts w:ascii="Times New Roman" w:hAnsi="Times New Roman"/>
          <w:i/>
          <w:sz w:val="20"/>
        </w:rPr>
        <w:t xml:space="preserve">Loss on Issuance of SAFEs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Tectonic issued SAFEs for proceeds of $34.1 million. The SAFEs were recorded as liabilities in the consolidated balance sheet at their fair value on the issuance dates. Until redemption, the SAFEs are measured at a fair value on a recurring basis, with subsequent changes in fair value recorded in other income and expenses on the consolidated statement of operations and comprehensive loss.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Tectonic’s invested cash balances, which consist of deposit accounts and a sweep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primarily consists of interest expense on finance lease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primarily consists of the difference between transactional currency and functional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Since Tectonic’s inception, it has not recorded any income tax benefits for the net losses it has incurred or for the research and development tax credits earned in each year by Tectonic’s operations in the United States, as Tectonic believes, based upon the weight of available evidence, that it is more likely than not that all of Tectonic’s net operating loss carryforwards and tax credit carryforwards will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Tectonic had federal net operating loss carryforwards of $43.6 million and $29.0 million, respectively. As of December 31, 2023 and 2022, Tectonic had state net operating loss carryforwards of $35.3 million and $26.5 million, respectively. Tectonic’s federal net operating loss carryforwards may be carried forward indefinitely. Tectonic’s state net operating loss carryforwards begin to expire in 2039. As of December 31, 2023, Tectonic capitalized $36.2 million of research and development expenses under the Tax Cuts Jobs Act. Tectonic has recorded a full valuation against Tectonic’s net deferred tax assets at each balance sheet date. </w:t>
      </w:r>
    </w:p>
    <w:p>
      <w:pPr>
        <w:pStyle w:val="TextBody"/>
        <w:bidi w:val="0"/>
        <w:spacing w:before="360" w:after="0"/>
        <w:jc w:val="left"/>
        <w:rPr>
          <w:rFonts w:ascii="Times New Roman" w:hAnsi="Times New Roman"/>
          <w:b/>
          <w:sz w:val="20"/>
        </w:rPr>
      </w:pPr>
      <w:bookmarkStart w:id="159" w:name="toc770053_164"/>
      <w:bookmarkEnd w:id="159"/>
      <w:r>
        <w:rPr>
          <w:rFonts w:ascii="Times New Roman" w:hAnsi="Times New Roman"/>
          <w:b/>
          <w:sz w:val="20"/>
        </w:rPr>
        <w:t xml:space="preserve">Components of Tectonic’s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Tectonic’s results of operations for the years ended December 31, 2023 and 2022: </w:t>
      </w:r>
    </w:p>
    <w:p>
      <w:pPr>
        <w:pStyle w:val="TextBody"/>
        <w:bidi w:val="0"/>
        <w:spacing w:before="0" w:after="0"/>
        <w:jc w:val="left"/>
        <w:rPr/>
      </w:pPr>
      <w:r>
        <w:rPr/>
        <w:t> </w:t>
      </w:r>
    </w:p>
    <w:tbl>
      <w:tblPr>
        <w:tblW w:w="9714" w:type="dxa"/>
        <w:jc w:val="left"/>
        <w:tblInd w:w="0" w:type="dxa"/>
        <w:tblLayout w:type="fixed"/>
        <w:tblCellMar>
          <w:top w:w="0" w:type="dxa"/>
          <w:left w:w="0" w:type="dxa"/>
          <w:bottom w:w="0" w:type="dxa"/>
          <w:right w:w="0" w:type="dxa"/>
        </w:tblCellMar>
      </w:tblPr>
      <w:tblGrid>
        <w:gridCol w:w="4490"/>
        <w:gridCol w:w="120"/>
        <w:gridCol w:w="140"/>
        <w:gridCol w:w="755"/>
        <w:gridCol w:w="155"/>
        <w:gridCol w:w="120"/>
        <w:gridCol w:w="227"/>
        <w:gridCol w:w="1232"/>
        <w:gridCol w:w="155"/>
        <w:gridCol w:w="120"/>
        <w:gridCol w:w="140"/>
        <w:gridCol w:w="755"/>
        <w:gridCol w:w="155"/>
        <w:gridCol w:w="120"/>
        <w:gridCol w:w="60"/>
        <w:gridCol w:w="680"/>
        <w:gridCol w:w="290"/>
      </w:tblGrid>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center"/>
          </w:tcPr>
          <w:p>
            <w:pPr>
              <w:pStyle w:val="TableContents"/>
              <w:bidi w:val="0"/>
              <w:spacing w:before="0" w:after="283"/>
              <w:jc w:val="center"/>
              <w:rPr/>
            </w:pPr>
            <w:r>
              <w:rPr>
                <w:b/>
              </w:rPr>
              <w:t xml:space="preserve">Year Ended </w:t>
            </w:r>
            <w:r>
              <w:rPr/>
              <w:br/>
            </w:r>
            <w:r>
              <w:rPr>
                <w:b/>
              </w:rPr>
              <w:t>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25,654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11,312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44</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7,176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32,830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11,818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(32,830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19,700</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single" w:sz="2" w:space="1" w:color="000000"/>
              </w:pBdr>
              <w:bidi w:val="0"/>
              <w:spacing w:before="0" w:after="0"/>
              <w:jc w:val="left"/>
              <w:rPr/>
            </w:pPr>
            <w:r>
              <w:rPr/>
              <w:t> </w:t>
            </w:r>
          </w:p>
        </w:tc>
        <w:tc>
          <w:tcPr>
            <w:tcW w:w="12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(32,180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(10,643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w:t>
            </w:r>
          </w:p>
        </w:tc>
        <w:tc>
          <w:tcPr>
            <w:tcW w:w="29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pBdr>
                <w:top w:val="double" w:sz="6" w:space="1" w:color="000000"/>
              </w:pBdr>
              <w:bidi w:val="0"/>
              <w:spacing w:before="0" w:after="0"/>
              <w:jc w:val="left"/>
              <w:rPr/>
            </w:pPr>
            <w:r>
              <w:rPr/>
              <w:t> </w:t>
            </w:r>
          </w:p>
        </w:tc>
        <w:tc>
          <w:tcPr>
            <w:tcW w:w="123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66"/>
        <w:gridCol w:w="120"/>
        <w:gridCol w:w="140"/>
        <w:gridCol w:w="680"/>
        <w:gridCol w:w="60"/>
        <w:gridCol w:w="120"/>
        <w:gridCol w:w="247"/>
        <w:gridCol w:w="1210"/>
        <w:gridCol w:w="60"/>
        <w:gridCol w:w="120"/>
        <w:gridCol w:w="140"/>
        <w:gridCol w:w="680"/>
        <w:gridCol w:w="155"/>
        <w:gridCol w:w="120"/>
        <w:gridCol w:w="60"/>
        <w:gridCol w:w="335"/>
        <w:gridCol w:w="292"/>
      </w:tblGrid>
      <w:tr>
        <w:trPr/>
        <w:tc>
          <w:tcPr>
            <w:tcW w:w="5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6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7" w:type="dxa"/>
            <w:gridSpan w:val="6"/>
            <w:tcBorders>
              <w:bottom w:val="single" w:sz="8" w:space="0" w:color="000000"/>
            </w:tcBorders>
            <w:tcMar>
              <w:bottom w:w="28" w:type="dxa"/>
            </w:tcMar>
            <w:vAlign w:val="center"/>
          </w:tcPr>
          <w:p>
            <w:pPr>
              <w:pStyle w:val="TableContents"/>
              <w:bidi w:val="0"/>
              <w:spacing w:before="0" w:after="283"/>
              <w:jc w:val="center"/>
              <w:rPr/>
            </w:pPr>
            <w:r>
              <w:rPr>
                <w:b/>
              </w:rPr>
              <w:t xml:space="preserve">Year Ended </w:t>
            </w:r>
            <w:r>
              <w:rPr/>
              <w:br/>
            </w:r>
            <w:r>
              <w:rPr>
                <w:b/>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2" w:type="dxa"/>
            <w:tcBorders/>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56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20,291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jc w:val="right"/>
              <w:rPr/>
            </w:pPr>
            <w:r>
              <w:rPr/>
              <w:t>11,854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71</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Platform development, early-stage research and unallocated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56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9,174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17</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1,537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(18</w:t>
            </w:r>
          </w:p>
        </w:tc>
        <w:tc>
          <w:tcPr>
            <w:tcW w:w="292" w:type="dxa"/>
            <w:tcBorders/>
            <w:shd w:fill="CCEEFF" w:val="clear"/>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Facility, supplies and 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3,089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50</w:t>
            </w:r>
          </w:p>
        </w:tc>
        <w:tc>
          <w:tcPr>
            <w:tcW w:w="292" w:type="dxa"/>
            <w:tcBorders/>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single" w:sz="2" w:space="1" w:color="000000"/>
              </w:pBdr>
              <w:bidi w:val="0"/>
              <w:spacing w:before="0" w:after="0"/>
              <w:jc w:val="left"/>
              <w:rPr/>
            </w:pPr>
            <w:r>
              <w:rPr/>
              <w:t> </w:t>
            </w:r>
          </w:p>
        </w:tc>
        <w:tc>
          <w:tcPr>
            <w:tcW w:w="12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pBdr>
                <w:top w:val="single" w:sz="2"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r>
        <w:trPr/>
        <w:tc>
          <w:tcPr>
            <w:tcW w:w="56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36,966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25,654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11,312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44</w:t>
            </w:r>
          </w:p>
        </w:tc>
        <w:tc>
          <w:tcPr>
            <w:tcW w:w="292" w:type="dxa"/>
            <w:tcBorders/>
            <w:shd w:fill="CCEEFF" w:val="clear"/>
            <w:vAlign w:val="center"/>
          </w:tcPr>
          <w:p>
            <w:pPr>
              <w:pStyle w:val="TableContents"/>
              <w:bidi w:val="0"/>
              <w:spacing w:before="0" w:after="283"/>
              <w:jc w:val="left"/>
              <w:rPr/>
            </w:pPr>
            <w:r>
              <w:rPr/>
              <w:t>% </w:t>
            </w:r>
          </w:p>
        </w:tc>
      </w:tr>
      <w:tr>
        <w:trPr/>
        <w:tc>
          <w:tcPr>
            <w:tcW w:w="56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pBdr>
                <w:top w:val="double" w:sz="6" w:space="1" w:color="000000"/>
              </w:pBdr>
              <w:bidi w:val="0"/>
              <w:spacing w:before="0" w:after="0"/>
              <w:jc w:val="left"/>
              <w:rPr/>
            </w:pPr>
            <w:r>
              <w:rPr/>
              <w:t> </w:t>
            </w:r>
          </w:p>
        </w:tc>
        <w:tc>
          <w:tcPr>
            <w:tcW w:w="121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pBdr>
                <w:top w:val="double" w:sz="6"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$37.0 million for the year ended December 31, 2023, as compared to $25.7 million for the year ended December 31, 2022. The increase of $11.3 million was primarily due to an increase of $8.4 million in direct research and development expenses which were specifically attributed to Tectonic’s lead product candidate, TX45, as it progressed to phase 1 clinical trials in Q4 2023. The $8.4 million increase in research and development expense for TX45 was primarily due to a $3.6 million increase in CDMO costs associated with TX45’s clinical trial, $3.1 million in external research costs for additional work with external research providers, and $1.9 million increase in clinical trial CRO costs. The increase was partially offset by $0.8 million reduction in lab supplies costs, achieved by purchasing directly from suppliers rather than through marketplaces. The increase of $1.6 million in personnel related costs was primarily due to Tectonic’s increased headcount in its research and development functions as Tectonic continued to develop its lead product candidate and expand Tectonic’s early-stage development product candidate pipeline. The increase of $1.6 million in facility, supplies, and other expenses was primarily due to an increase in facilities costs attributed to increased research activities and an increase in laboratory activities attributable to increased headcount and lead and early-stage product candidate development. The decrease of $0.3 million in external services was primarily due to a decrease in consulting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4565"/>
        <w:gridCol w:w="120"/>
        <w:gridCol w:w="140"/>
        <w:gridCol w:w="560"/>
        <w:gridCol w:w="60"/>
        <w:gridCol w:w="120"/>
        <w:gridCol w:w="292"/>
        <w:gridCol w:w="1168"/>
        <w:gridCol w:w="60"/>
        <w:gridCol w:w="120"/>
        <w:gridCol w:w="219"/>
        <w:gridCol w:w="596"/>
        <w:gridCol w:w="155"/>
        <w:gridCol w:w="60"/>
        <w:gridCol w:w="60"/>
        <w:gridCol w:w="260"/>
        <w:gridCol w:w="290"/>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pPr>
            <w:r>
              <w:rPr>
                <w:b/>
              </w:rPr>
              <w:t xml:space="preserve">Year Ended </w:t>
            </w:r>
            <w:r>
              <w:rPr/>
              <w:br/>
            </w:r>
            <w:r>
              <w:rPr>
                <w:b/>
              </w:rP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related (including share-based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3,937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and consultant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2,037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right"/>
              <w:rPr/>
            </w:pPr>
            <w:r>
              <w:rPr/>
              <w:t>555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29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Facility related and 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1,202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right"/>
              <w:rPr/>
            </w:pPr>
            <w:r>
              <w:rPr/>
              <w:t>(56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pBdr>
                <w:top w:val="single" w:sz="2" w:space="1" w:color="000000"/>
              </w:pBdr>
              <w:bidi w:val="0"/>
              <w:spacing w:before="0" w:after="0"/>
              <w:jc w:val="left"/>
              <w:rPr/>
            </w:pPr>
            <w:r>
              <w:rPr/>
              <w:t> </w:t>
            </w:r>
          </w:p>
        </w:tc>
        <w:tc>
          <w:tcPr>
            <w:tcW w:w="11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pBdr>
                <w:top w:val="single" w:sz="2" w:space="1" w:color="000000"/>
              </w:pBdr>
              <w:bidi w:val="0"/>
              <w:spacing w:before="0" w:after="0"/>
              <w:jc w:val="left"/>
              <w:rPr/>
            </w:pPr>
            <w:r>
              <w:rPr/>
              <w:t> </w:t>
            </w:r>
          </w:p>
        </w:tc>
        <w:tc>
          <w:tcPr>
            <w:tcW w:w="59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26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7,682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w:t>
            </w:r>
          </w:p>
        </w:tc>
        <w:tc>
          <w:tcPr>
            <w:tcW w:w="1168" w:type="dxa"/>
            <w:tcBorders/>
            <w:vAlign w:val="center"/>
          </w:tcPr>
          <w:p>
            <w:pPr>
              <w:pStyle w:val="TableContents"/>
              <w:bidi w:val="0"/>
              <w:spacing w:before="0" w:after="283"/>
              <w:jc w:val="right"/>
              <w:rPr/>
            </w:pPr>
            <w:r>
              <w:rPr/>
              <w:t>7,176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596" w:type="dxa"/>
            <w:tcBorders/>
            <w:vAlign w:val="center"/>
          </w:tcPr>
          <w:p>
            <w:pPr>
              <w:pStyle w:val="TableContents"/>
              <w:bidi w:val="0"/>
              <w:spacing w:before="0" w:after="283"/>
              <w:jc w:val="right"/>
              <w:rPr/>
            </w:pPr>
            <w:r>
              <w:rPr/>
              <w:t>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29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 w:type="dxa"/>
            <w:tcBorders/>
            <w:vAlign w:val="center"/>
          </w:tcPr>
          <w:p>
            <w:pPr>
              <w:pStyle w:val="TableContents"/>
              <w:pBdr>
                <w:top w:val="double" w:sz="6" w:space="1" w:color="000000"/>
              </w:pBdr>
              <w:bidi w:val="0"/>
              <w:spacing w:before="0" w:after="0"/>
              <w:jc w:val="left"/>
              <w:rPr/>
            </w:pPr>
            <w:r>
              <w:rPr/>
              <w:t> </w:t>
            </w:r>
          </w:p>
        </w:tc>
        <w:tc>
          <w:tcPr>
            <w:tcW w:w="11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pBdr>
                <w:top w:val="double" w:sz="6" w:space="1" w:color="000000"/>
              </w:pBdr>
              <w:bidi w:val="0"/>
              <w:spacing w:before="0" w:after="0"/>
              <w:jc w:val="left"/>
              <w:rPr/>
            </w:pPr>
            <w:r>
              <w:rPr/>
              <w:t> </w:t>
            </w:r>
          </w:p>
        </w:tc>
        <w:tc>
          <w:tcPr>
            <w:tcW w:w="59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260"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$7.7 million for the year ended December 31, 2023 as compared to $7.2 million for the year ended December 31, 2022. The increase of $0.5 million was primarily due to an increase of $0.6 million in professional and consultant fees related to the SAFE financings and an increase in audit fees during the year ended December 31, 2023, partially offset by a decrease of $0.1 million in facility related costs and other expenses due to decrease in subscription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Preferred Stock Tranche Liability Gain </w:t>
      </w:r>
    </w:p>
    <w:p>
      <w:pPr>
        <w:pStyle w:val="TextBody"/>
        <w:bidi w:val="0"/>
        <w:spacing w:before="120" w:after="0"/>
        <w:jc w:val="left"/>
        <w:rPr>
          <w:rFonts w:ascii="Times New Roman" w:hAnsi="Times New Roman"/>
          <w:sz w:val="20"/>
        </w:rPr>
      </w:pPr>
      <w:r>
        <w:rPr>
          <w:rFonts w:ascii="Times New Roman" w:hAnsi="Times New Roman"/>
          <w:sz w:val="20"/>
        </w:rPr>
        <w:t xml:space="preserve">There was no preferred stock tranche liability gain for the year ended December 31, 2023, as compared to a preferred stock tranche liability gain of $0.6 million for the year ended December 31, 2022, which was due to the remeasurement of the preferred stock tranche liability prior to the exercise of all tranche rights in September 2022. The gain resulted from the remeasurement of the liability through the settlement date. </w:t>
      </w:r>
    </w:p>
    <w:p>
      <w:pPr>
        <w:pStyle w:val="TextBody"/>
        <w:bidi w:val="0"/>
        <w:spacing w:before="360" w:after="0"/>
        <w:jc w:val="left"/>
        <w:rPr>
          <w:rFonts w:ascii="Times New Roman" w:hAnsi="Times New Roman"/>
          <w:i/>
          <w:sz w:val="20"/>
        </w:rPr>
      </w:pPr>
      <w:r>
        <w:rPr>
          <w:rFonts w:ascii="Times New Roman" w:hAnsi="Times New Roman"/>
          <w:i/>
          <w:sz w:val="20"/>
        </w:rPr>
        <w:t xml:space="preserve">Loss on Issuance of SAFEs </w:t>
      </w:r>
    </w:p>
    <w:p>
      <w:pPr>
        <w:pStyle w:val="TextBody"/>
        <w:bidi w:val="0"/>
        <w:spacing w:before="120" w:after="0"/>
        <w:jc w:val="left"/>
        <w:rPr>
          <w:rFonts w:ascii="Times New Roman" w:hAnsi="Times New Roman"/>
          <w:sz w:val="20"/>
        </w:rPr>
      </w:pPr>
      <w:r>
        <w:rPr>
          <w:rFonts w:ascii="Times New Roman" w:hAnsi="Times New Roman"/>
          <w:sz w:val="20"/>
        </w:rPr>
        <w:t xml:space="preserve">The loss on issuance of SAFEs relates to the October SAFEs whose fair value exceeded the proceeds received of $0.3 million on their issuance date.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SAFE liabilities gain of $1.3 million resulted from the remeasurement of the SAFE liabilities to fair value from the issuance date through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$0.4 million for the year ended December 31, 2023 compared to the year ended December 31, 2022 due to an increase in interest rates in 2023.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was consistent for the year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increased by $0.4 million for the year ended December 31, 2023 compared to the year ended December 31, 2022 due to an increase in the research and development tax refund applied for with Australia. </w:t>
      </w:r>
    </w:p>
    <w:p>
      <w:pPr>
        <w:pStyle w:val="TextBody"/>
        <w:bidi w:val="0"/>
        <w:spacing w:before="360" w:after="0"/>
        <w:jc w:val="left"/>
        <w:rPr>
          <w:rFonts w:ascii="Times New Roman" w:hAnsi="Times New Roman"/>
          <w:b/>
          <w:sz w:val="20"/>
        </w:rPr>
      </w:pPr>
      <w:bookmarkStart w:id="160" w:name="toc770053_165"/>
      <w:bookmarkEnd w:id="160"/>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Tectonic’s inception, Tectonic has incurred significant operating losses. Tectonic expects to incur significant expenses and operating losses for the foreseeable future as Tectonic advance the preclinical and clinical development of Tectonic’s research programs and product candidates. Tectonic expects that its research and development and general and administrative costs will increase in connection with conducting additional preclinical studies and clinical trials for Tectonic’s current and future research programs and product candidates, contracting with CMOs to support preclinical studies and clinical trials, expanding Tectonic’s intellectual property portfolio, and providing general and administrative support for Tectonic’s operations. As a result, Tectonic will need additional capital to fund its operations, which Tectonic may obtain from additional equity or debt financings, collaborations, licensing arrangements or other sources. </w:t>
      </w:r>
    </w:p>
    <w:p>
      <w:pPr>
        <w:pStyle w:val="TextBody"/>
        <w:bidi w:val="0"/>
        <w:spacing w:before="240" w:after="0"/>
        <w:jc w:val="left"/>
        <w:rPr>
          <w:rFonts w:ascii="Times New Roman" w:hAnsi="Times New Roman"/>
          <w:sz w:val="20"/>
        </w:rPr>
      </w:pPr>
      <w:r>
        <w:rPr>
          <w:rFonts w:ascii="Times New Roman" w:hAnsi="Times New Roman"/>
          <w:sz w:val="20"/>
        </w:rPr>
        <w:t xml:space="preserve">Tectonic does not currently have any approved products and has never generated any revenue from product sales. To date, Tectonic has funded its operations primarily through proceeds from sales of preferred stock, proceeds from issuance of convertible promissory notes and proceeds from issuance of SAFEs. From inception through December 31, 2023, Tectonic has received $114.7 million in capital contributions from sales of preferred stock and convertible promissory notes and proceeds from issuance of SAFEs. As of December 31, 2023, Tectonic had $28.8 million in cash and cash equivalents and an accumulated deficit of $90.6 million.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Tectonic’s cash flows for the years ended December 31, 2023 and 2022: </w:t>
      </w:r>
    </w:p>
    <w:p>
      <w:pPr>
        <w:pStyle w:val="TextBody"/>
        <w:bidi w:val="0"/>
        <w:spacing w:before="0" w:after="0"/>
        <w:jc w:val="left"/>
        <w:rPr/>
      </w:pPr>
      <w:r>
        <w:rPr/>
        <w:t> </w:t>
      </w:r>
    </w:p>
    <w:tbl>
      <w:tblPr>
        <w:tblW w:w="8487" w:type="dxa"/>
        <w:jc w:val="left"/>
        <w:tblInd w:w="0" w:type="dxa"/>
        <w:tblLayout w:type="fixed"/>
        <w:tblCellMar>
          <w:top w:w="0" w:type="dxa"/>
          <w:left w:w="0" w:type="dxa"/>
          <w:bottom w:w="0" w:type="dxa"/>
          <w:right w:w="0" w:type="dxa"/>
        </w:tblCellMar>
      </w:tblPr>
      <w:tblGrid>
        <w:gridCol w:w="5480"/>
        <w:gridCol w:w="120"/>
        <w:gridCol w:w="184"/>
        <w:gridCol w:w="993"/>
        <w:gridCol w:w="203"/>
        <w:gridCol w:w="157"/>
        <w:gridCol w:w="184"/>
        <w:gridCol w:w="996"/>
        <w:gridCol w:w="170"/>
      </w:tblGrid>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(40,681</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(27,637</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(279</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(2,088</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33,747</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37,628</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16</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993" w:type="dxa"/>
            <w:tcBorders/>
            <w:vAlign w:val="center"/>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single" w:sz="2" w:space="1" w:color="000000"/>
              </w:pBdr>
              <w:bidi w:val="0"/>
              <w:spacing w:before="0" w:after="0"/>
              <w:jc w:val="left"/>
              <w:rPr/>
            </w:pPr>
            <w:r>
              <w:rPr/>
              <w:t> </w:t>
            </w:r>
          </w:p>
        </w:tc>
        <w:tc>
          <w:tcPr>
            <w:tcW w:w="996"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(7,197</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7,903</w:t>
            </w:r>
          </w:p>
        </w:tc>
        <w:tc>
          <w:tcPr>
            <w:tcW w:w="17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double" w:sz="6" w:space="1" w:color="000000"/>
              </w:pBdr>
              <w:bidi w:val="0"/>
              <w:spacing w:before="0" w:after="0"/>
              <w:jc w:val="left"/>
              <w:rPr/>
            </w:pPr>
            <w:r>
              <w:rPr/>
              <w:t> </w:t>
            </w:r>
          </w:p>
        </w:tc>
        <w:tc>
          <w:tcPr>
            <w:tcW w:w="993" w:type="dxa"/>
            <w:tcBorders/>
            <w:vAlign w:val="center"/>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4" w:type="dxa"/>
            <w:tcBorders/>
            <w:vAlign w:val="center"/>
          </w:tcPr>
          <w:p>
            <w:pPr>
              <w:pStyle w:val="TableContents"/>
              <w:pBdr>
                <w:top w:val="double" w:sz="6" w:space="1" w:color="000000"/>
              </w:pBdr>
              <w:bidi w:val="0"/>
              <w:spacing w:before="0" w:after="0"/>
              <w:jc w:val="left"/>
              <w:rPr/>
            </w:pPr>
            <w:r>
              <w:rPr/>
              <w:t> </w:t>
            </w:r>
          </w:p>
        </w:tc>
        <w:tc>
          <w:tcPr>
            <w:tcW w:w="996"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operating activities used $40.7 million of cash, primarily resulting from a net loss of $42.8 million and changes in Tectonic’s operating assets and liabilities of $0.6 million, offset by non-cash charges of $2.7 million. Non-cash charges primarily consisted of $1.5 million in depreciation and amortization expense, $1.1 million in share-based compensation expense, and $1.1 million in non-cash lease expense, offset by a $1.3 million of change in fair value of the SAFE liabilities Net cash used by changes in Tectonic’s operating assets and liabilities consisted primarily of a $1.0 million decrease in operating lease liabilities, a $1.0 million increase in prepaid and other current assets, and a $0.2 million decrease in accounts payable, offset by a $1.6 million increase in accrued expenses and other current liabilities. The increase in prepaid and other current assets and accrued and other current liabilities and decrease in accounts payable was primarily due to the timing of vendor and research partner payments and invoicing. The decrease in operating lease liabilities was primarily due to the lease payments made in 2023.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operating activities used $27.6 million of cash, primarily resulting from a net loss of $32.2 million, offset by non-cash charges of $2.7 million and changes in Tectonic’s operating assets and liabilities of $1.8 million. Non-cash charges primarily consisted of $1.1 million in share-based compensation expense, $1.0 million in depreciation and amortization expense, $0.9 million in non-cash lease expense and $0.4 million in non-cash expense associated with the issuance of common stock for the exchange of a license, partially offset by $0.6 million in preferred stock tranche liability gain. Net cash provided by changes in Tectonic’s operating assets and liabilities consisted primarily of a $4.5 million increase in accrued expenses and other current liabilities, offset by a $1.2 million decrease in accounts payable and a $1.1 million decrease in operating lease liabilities. The increase in accrued expenses and other current liabilities and decrease in accounts payable were primarily due to the timing of vendor and research partner payments and invoicing. The decrease in operating lease liabilities was primarily due to the lease payments made in 2022.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net cash used in investing activities was $0.3 million and $2.1 million, respectively. The change in net cash used in investing activities during the years ended December 31, 2023 and 2022 was due to a decrease of Tectonic’s purchases of property, equipment, and improvements, which was driven by efforts of Tectonic to be more conservative with cash available in order to focus on research and development as well as the ongoing expenditures from the merger and SAFE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net cash provided by financing activities was $33.7 million and $37.6 million, respectively. Net cash provided by financing activities during the year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31, 2023 was primarily due to Tectonic’s issuance of SAFEs of $34.1 million, offset by $0.5 million of repayment of finance lease obligations. Net cash provided by financing activities during the year ended December 31, 2022 was primarily due to Tectonic’s issuance of preferred stock of $38.0 million, offset by $0.4 million of repayment of finance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Tectonic expects its expenses to increase in connection with its ongoing activities, particularly as Tectonic continues the research and development of, continue or initiate clinical trials of, and seek marketing approval for, Tectonic’s product candidates including its lead product candidate TX45. In addition, if Tectonic obtains marketing approval for TX45 or any of its other product candidates, Tectonic expects to incur significant commercialization expenses related to program sales, marketing, manufacturing and distribution to the extent that such sales, marketing and distribution are not the responsibility of potential collaborators. Furthermore, following the completion of the merger, Tectonic expects to incur additional costs associated with operating as a public company. Accordingly, Tectonic will need to obtain substantial additional funding in connection with its continuing operations. If Tectonic is unable to raise capital when needed or on attractive terms, Tectonic would be forced to delay, reduce or eliminate Tectonic’s research and development programs or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its existing cash and cash equivalents, together with the net proceeds from the merger, will enable Tectonic to fund its operating expenses and capital expenditure requirements for at least the next twelve months. Tectonic’s future capital requirements will depend on many factors, including: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Tectonic’s research and development programs;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Tectonic’s product candidate;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ability to establish and maintain collaborations on favorable terms, if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Tectonic enters into;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Tectonic is obligated to reimburse, or entitled to reimbursement of, clinical trial costs under collaboration agreements,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Tectonic’s intellectual property rights and defending intellectual property-related claims;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Tectonic acquires or in-license other product candidates and technologies;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Tectonic obtains regulatory approvals to market Tectonic’s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Tectonic may never generate the necessary data or results required to obtain marketing approval and achieve product sales. In addition, Tectonic’s product candidates, if approved, may not achieve commercial success. Tectonic’s commercial revenues, if any, will be derived from sales of product candidates that Tectonic does not expect to be commercially available for many years, if at all. Accordingly, Tectonic will need to continue to rely on additional financing to achieve its business objectives. Adequate additional financing may not be available to Tectonic on acceptable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Until such time, if ever, as Tectonic can generate substantial product revenues, Tectonic expects to finance its cash needs through a combination of equity offerings, debt financings, collaborations, strategic alliances and licensing arrangements. Debt financing, if available, may involve agreements that include covenants limiting or restricting Tectonic’s ability to take specific actions, such as incurring additional debt,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Tectonic raises funds through additional collaborations, strategic alliances or licensing arrangements with third parties, Tectonic may have to relinquish valuable rights to Tectonic’s technologies, future revenue streams, research programs or product candidates or to grant licenses on terms that may not be favorable to Tectonic. If Tectonic is unable to raise additional funds through equity or debt financings when needed, Tectonic may be required to delay, limit, reduce or terminate Tectonic’s product development or future commercialization efforts or grant rights to develop and market product candidates that Tectonic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merger, Tectonic expects to incur additional costs associated with operating as a public company. In addition, Tectonic anticipates that Tectonic will need substantial additional funding in connection with Tectonic’s continuing operations. Tectonic projections of operating capital requirements are based on Tectonic’s current operating plan, which includes several assumptions that may prove to be incorrect and Tectonic may use all of its available capital resources sooner than it expects. </w:t>
      </w:r>
    </w:p>
    <w:p>
      <w:pPr>
        <w:pStyle w:val="TextBody"/>
        <w:bidi w:val="0"/>
        <w:spacing w:before="240" w:after="0"/>
        <w:jc w:val="left"/>
        <w:rPr>
          <w:rFonts w:ascii="Times New Roman" w:hAnsi="Times New Roman"/>
          <w:sz w:val="20"/>
        </w:rPr>
      </w:pPr>
      <w:r>
        <w:rPr>
          <w:rFonts w:ascii="Times New Roman" w:hAnsi="Times New Roman"/>
          <w:sz w:val="20"/>
        </w:rPr>
        <w:t xml:space="preserve">Tectonic currently has no ongoing material financing commitments, such as lines of credit or guarantees, that are expected to affect Tectonic’s liquidity over the next five years, other than Tectonic’s lease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Tectonic evaluated certain adverse conditions and events that raise substantial doubt about Tectonic’s ability to continue as a going concern within twelve months after the date that the accompanying financial statements were issued or available to be issued. Since Tectonic’s inception, Tectonic has funded its operations primarily with proceeds from the sale of preferred stock, issuance of convertible promissory notes and issuance of SAFEs. Tectonic has also incurred significant recurring losses, including net losses of $42.8 million and $32.2 million for the years ended December 31, 2023 and 2022, respectively. In addition, Tectonic used $40.7 million and $27.6 million in operations for the years ended December 31, 2023 and 2022, respectively. As of December 31, 2023, Tectonic has an accumulated deficit of $90.6 million. </w:t>
      </w:r>
    </w:p>
    <w:p>
      <w:pPr>
        <w:pStyle w:val="TextBody"/>
        <w:bidi w:val="0"/>
        <w:spacing w:before="360" w:after="0"/>
        <w:jc w:val="left"/>
        <w:rPr>
          <w:rFonts w:ascii="Times New Roman" w:hAnsi="Times New Roman"/>
          <w:b/>
          <w:sz w:val="20"/>
        </w:rPr>
      </w:pPr>
      <w:bookmarkStart w:id="161" w:name="toc770053_166"/>
      <w:bookmarkEnd w:id="161"/>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Tectonic’s contractual obligations and commitments as of December 31, 2023: </w:t>
      </w:r>
    </w:p>
    <w:p>
      <w:pPr>
        <w:pStyle w:val="TextBody"/>
        <w:bidi w:val="0"/>
        <w:spacing w:before="0" w:after="0"/>
        <w:jc w:val="left"/>
        <w:rPr/>
      </w:pPr>
      <w:r>
        <w:rPr/>
        <w:t> </w:t>
      </w:r>
    </w:p>
    <w:tbl>
      <w:tblPr>
        <w:tblW w:w="7299" w:type="dxa"/>
        <w:jc w:val="left"/>
        <w:tblInd w:w="0" w:type="dxa"/>
        <w:tblLayout w:type="fixed"/>
        <w:tblCellMar>
          <w:top w:w="0" w:type="dxa"/>
          <w:left w:w="0" w:type="dxa"/>
          <w:bottom w:w="0" w:type="dxa"/>
          <w:right w:w="0" w:type="dxa"/>
        </w:tblCellMar>
      </w:tblPr>
      <w:tblGrid>
        <w:gridCol w:w="1430"/>
        <w:gridCol w:w="120"/>
        <w:gridCol w:w="199"/>
        <w:gridCol w:w="796"/>
        <w:gridCol w:w="60"/>
        <w:gridCol w:w="120"/>
        <w:gridCol w:w="140"/>
        <w:gridCol w:w="560"/>
        <w:gridCol w:w="60"/>
        <w:gridCol w:w="120"/>
        <w:gridCol w:w="510"/>
        <w:gridCol w:w="949"/>
        <w:gridCol w:w="60"/>
        <w:gridCol w:w="120"/>
        <w:gridCol w:w="40"/>
        <w:gridCol w:w="40"/>
        <w:gridCol w:w="105"/>
        <w:gridCol w:w="210"/>
        <w:gridCol w:w="246"/>
        <w:gridCol w:w="459"/>
        <w:gridCol w:w="60"/>
        <w:gridCol w:w="120"/>
        <w:gridCol w:w="140"/>
        <w:gridCol w:w="56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to 3</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to 5</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4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1,542</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1,534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3,246</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pBdr>
                <w:top w:val="single" w:sz="2" w:space="1" w:color="000000"/>
              </w:pBdr>
              <w:bidi w:val="0"/>
              <w:spacing w:before="0" w:after="0"/>
              <w:jc w:val="left"/>
              <w:rPr/>
            </w:pPr>
            <w:r>
              <w:rPr/>
              <w:t> </w:t>
            </w:r>
          </w:p>
        </w:tc>
        <w:tc>
          <w:tcPr>
            <w:tcW w:w="79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pBdr>
                <w:top w:val="single" w:sz="2" w:space="1" w:color="000000"/>
              </w:pBdr>
              <w:bidi w:val="0"/>
              <w:spacing w:before="0" w:after="0"/>
              <w:jc w:val="left"/>
              <w:rPr/>
            </w:pPr>
            <w:r>
              <w:rPr/>
              <w:t> </w:t>
            </w:r>
          </w:p>
        </w:tc>
        <w:tc>
          <w:tcPr>
            <w:tcW w:w="94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6" w:type="dxa"/>
            <w:tcBorders/>
            <w:vAlign w:val="center"/>
          </w:tcPr>
          <w:p>
            <w:pPr>
              <w:pStyle w:val="TableContents"/>
              <w:pBdr>
                <w:top w:val="single" w:sz="2" w:space="1" w:color="000000"/>
              </w:pBdr>
              <w:bidi w:val="0"/>
              <w:spacing w:before="0" w:after="0"/>
              <w:jc w:val="left"/>
              <w:rPr/>
            </w:pPr>
            <w:r>
              <w:rPr/>
              <w:t> </w:t>
            </w:r>
          </w:p>
        </w:tc>
        <w:tc>
          <w:tcPr>
            <w:tcW w:w="4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2,117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2,627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21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4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4,788</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pBdr>
                <w:top w:val="double" w:sz="6" w:space="1" w:color="000000"/>
              </w:pBdr>
              <w:bidi w:val="0"/>
              <w:spacing w:before="0" w:after="0"/>
              <w:jc w:val="left"/>
              <w:rPr/>
            </w:pPr>
            <w:r>
              <w:rPr/>
              <w:t> </w:t>
            </w:r>
          </w:p>
        </w:tc>
        <w:tc>
          <w:tcPr>
            <w:tcW w:w="79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 w:type="dxa"/>
            <w:tcBorders/>
            <w:vAlign w:val="center"/>
          </w:tcPr>
          <w:p>
            <w:pPr>
              <w:pStyle w:val="TableContents"/>
              <w:pBdr>
                <w:top w:val="double" w:sz="6" w:space="1" w:color="000000"/>
              </w:pBdr>
              <w:bidi w:val="0"/>
              <w:spacing w:before="0" w:after="0"/>
              <w:jc w:val="left"/>
              <w:rPr/>
            </w:pPr>
            <w:r>
              <w:rPr/>
              <w:t> </w:t>
            </w:r>
          </w:p>
        </w:tc>
        <w:tc>
          <w:tcPr>
            <w:tcW w:w="94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6" w:type="dxa"/>
            <w:tcBorders/>
            <w:vAlign w:val="center"/>
          </w:tcPr>
          <w:p>
            <w:pPr>
              <w:pStyle w:val="TableContents"/>
              <w:pBdr>
                <w:top w:val="double" w:sz="6" w:space="1" w:color="000000"/>
              </w:pBdr>
              <w:bidi w:val="0"/>
              <w:spacing w:before="0" w:after="0"/>
              <w:jc w:val="left"/>
              <w:rPr/>
            </w:pPr>
            <w:r>
              <w:rPr/>
              <w:t> </w:t>
            </w:r>
          </w:p>
        </w:tc>
        <w:tc>
          <w:tcPr>
            <w:tcW w:w="45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Tectonic can cancel without a significant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University of Texas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Tectonic executed a research agreement with the University of Texas, whereby the University of Texas and Tectonic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payment due upon the receipt of the final research report by Tectonic, however, the agreement was terminated on June 30, 2022.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Tectonic did not pay any amounts to the University of Texas under the agreement because the joint research activities were not completed before the research agreement terminated. </w:t>
      </w:r>
    </w:p>
    <w:p>
      <w:pPr>
        <w:pStyle w:val="TextBody"/>
        <w:bidi w:val="0"/>
        <w:spacing w:before="360" w:after="0"/>
        <w:jc w:val="left"/>
        <w:rPr>
          <w:rFonts w:ascii="Times New Roman" w:hAnsi="Times New Roman"/>
          <w:i/>
          <w:sz w:val="20"/>
        </w:rPr>
      </w:pPr>
      <w:r>
        <w:rPr>
          <w:rFonts w:ascii="Times New Roman" w:hAnsi="Times New Roman"/>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w:t>
      </w:r>
    </w:p>
    <w:p>
      <w:pPr>
        <w:pStyle w:val="TextBody"/>
        <w:bidi w:val="0"/>
        <w:spacing w:before="240" w:after="0"/>
        <w:jc w:val="left"/>
        <w:rPr>
          <w:rFonts w:ascii="Times New Roman" w:hAnsi="Times New Roman"/>
          <w:sz w:val="20"/>
        </w:rPr>
      </w:pPr>
      <w:r>
        <w:rPr>
          <w:rFonts w:ascii="Times New Roman" w:hAnsi="Times New Roman"/>
          <w:sz w:val="20"/>
        </w:rPr>
        <w:t xml:space="preserve">As partial consideration for the Harvard License Agreement, Tectonic agreed to pay Harvard a one-time license fee of $170,000, with such fee to be paid in equal installments over three years. In July 2022, Tectonic paid Harvard $56,666 and in July 2023 Tectonic paid Harvard $56,667. The final installment of $56,667 under the Harvard License Agreement is due in July 2024. As partial consideration for the Harvard License Agreement, Tectonic entered into a subscription agreement with Harvard in July 2022, pursuant to which Harvard was granted 227,486 shares of common stock of the Company with a fair market value in the mid six digits. </w:t>
      </w:r>
    </w:p>
    <w:p>
      <w:pPr>
        <w:pStyle w:val="TextBody"/>
        <w:bidi w:val="0"/>
        <w:spacing w:before="240" w:after="0"/>
        <w:jc w:val="left"/>
        <w:rPr>
          <w:rFonts w:ascii="Times New Roman" w:hAnsi="Times New Roman"/>
          <w:sz w:val="20"/>
        </w:rPr>
      </w:pPr>
      <w:r>
        <w:rPr>
          <w:rFonts w:ascii="Times New Roman" w:hAnsi="Times New Roman"/>
          <w:sz w:val="20"/>
        </w:rPr>
        <w:t xml:space="preserve">Tectonic is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Tectonic is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Tectonic is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Tectonic receives in connection with a sublicense, strategic partnership or know-how enabled license. With respect to any net sales of licensed products and know-how enabled products sold in certain countries outside of the United States and Europe, Tectonic and Harvard will negotiate a royalty percentage on a country-by-country basis. </w:t>
      </w:r>
    </w:p>
    <w:p>
      <w:pPr>
        <w:pStyle w:val="TextBody"/>
        <w:bidi w:val="0"/>
        <w:spacing w:before="240" w:after="0"/>
        <w:jc w:val="left"/>
        <w:rPr>
          <w:rFonts w:ascii="Times New Roman" w:hAnsi="Times New Roman"/>
          <w:sz w:val="20"/>
        </w:rPr>
      </w:pPr>
      <w:r>
        <w:rPr>
          <w:rFonts w:ascii="Times New Roman" w:hAnsi="Times New Roman"/>
          <w:sz w:val="20"/>
        </w:rPr>
        <w:t>For a more detailed description of this agreement, see the section titled “</w:t>
      </w:r>
      <w:r>
        <w:rPr>
          <w:rFonts w:ascii="Times New Roman" w:hAnsi="Times New Roman"/>
          <w:i/>
          <w:sz w:val="20"/>
        </w:rPr>
        <w:t xml:space="preserve">Tectonic’s Business–Harvard Option and License </w:t>
      </w:r>
      <w:r>
        <w:rPr>
          <w:rFonts w:ascii="Times New Roman" w:hAnsi="Times New Roman"/>
          <w:sz w:val="20"/>
        </w:rPr>
        <w:t xml:space="preserve">Agreement” and note 6 to the consolidated Tectonic financial statements included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Tectonic executed a license agreement with Alloy Therapeutics, LLC (ATX), whereby Tectonic will use ATX technology for the purpose of preclinical development, clinical development and commercialization of potential product candidates, for an initial period of three years, with the option to extend the term for an additional two years. Tectonic will pay ATX a non-refundable and non-creditable annual fee of $0.1 million on each anniversary of the agreement. On November 7, 2022, ATX and Tectonic amended the agreement and extended the period of payment for the first fee due in May 2023. Additionally, Tectonic will be responsible for annual partnering fees if Tectonic decides to pursue clinical development of a product candidate using the ATX technology. The partnering fees may be creditable against future milestone development fees paid by Tectonic. Tectonic will also be responsible to pay ATX development milestone payments for the movement of certain product candidates thought clinical trials, which range from the low six digits to the low seven digits upon completion of each milestone and amount to $4.8 million in total milestone payments under the license agreement. Provided Tectonic is able to commercialize a product using ATX technology, Tectonic 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and 2022, Tectonic paid $0.1 million and $0 to ATX,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Tectonic entered into a discovery agreement with Adimab, LLC (“Adimab”), an antibody discovery company, whereby Tectonic and Adimab are collaborating on human antibody discovery in accordance with an agreed upon research program. Tectonic paid an upfront technology access fee totaling $20,000 upon execution of the agreement during the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Tectonic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Tectonic generates from products that utilize Adimab technology. Tectonic has the right to terminate the agreement if certain criteria are met. During the year ended December 31, 2023, Tectonic incurred $0.1 million of costs associated with the FTEs. </w:t>
      </w:r>
    </w:p>
    <w:p>
      <w:pPr>
        <w:pStyle w:val="TextBody"/>
        <w:bidi w:val="0"/>
        <w:spacing w:before="360" w:after="0"/>
        <w:jc w:val="left"/>
        <w:rPr>
          <w:rFonts w:ascii="Times New Roman" w:hAnsi="Times New Roman"/>
          <w:b/>
          <w:sz w:val="20"/>
        </w:rPr>
      </w:pPr>
      <w:bookmarkStart w:id="162" w:name="toc770053_167"/>
      <w:bookmarkEnd w:id="162"/>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Tectonic’s management’s discussion and analysis of its financial condition and results of operations is based on Tectonic’s consolidated financial statements, which have been prepared in accordance with generally accepted accounting principles in the United States, or GAAP. The preparation of these consolidated financial statements requires Tectonic to make estimates and assumptions that affect the reported amounts of assets and liabilities, the disclosures of contingent assets and liabilities at the date of the consolidated financial statements and the reported amounts of expenses during the reporting periods. Tectonic bases its estimates on historical experience, known trends and events, and various other assumptions that Tectonic believes are reasonable under the circumstances, the results of which form the basis for making judgments about the carrying values of assets and liabilities recorded expenses that are not readily apparent from other sources. Tectonic evaluates its estimates and assumptions on an ongoing basis. Actual results may differ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Tectonic’s significant accounting policies are described in greater detail in Note 2 to Tectonic’s consolidated financial statements appearing at the end of this proxy statement/prospectus, Tectonic believes that the following accounting policies are those most critical to the judgements and estimates used in the preparation of Tectonic’s consolidated financial statements.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Prepaid and Accrued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process of preparing its consolidated financial statements, Tectonic is required to estimate its prepaid and accrued research and development expenses. This process involves estimating the level of service performed and the associated cost incurred for the services when Tectonic has not yet been invoiced or otherwise notified of actual costs. The majority of Tectonics’ service providers invoice Tectonic in arrears for services performed, on a pre-determined schedule or when contractual milestones are met; however, some require advance payments. Tectonic makes estimates of its prepaid and accrued research and development expenses as of each balance sheet date in the consolidated financial statements based on facts and circumstances known to Tectonic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Tectonic does not expect its estimates to be materially different from amounts actually incurred, Tectonic’s understanding of the status and timing of services performed relative to the actual status and timing of services performed may vary and may result in changes in estimates reported in the current period. To date, there have not been any material adjustments to Tectonic’s prior estimates of prepaid and accrued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SAFE Liabilities </w:t>
      </w:r>
    </w:p>
    <w:p>
      <w:pPr>
        <w:pStyle w:val="TextBody"/>
        <w:bidi w:val="0"/>
        <w:spacing w:before="240" w:after="0"/>
        <w:jc w:val="left"/>
        <w:rPr>
          <w:rFonts w:ascii="Times New Roman" w:hAnsi="Times New Roman"/>
          <w:sz w:val="20"/>
        </w:rPr>
      </w:pPr>
      <w:r>
        <w:rPr>
          <w:rFonts w:ascii="Times New Roman" w:hAnsi="Times New Roman"/>
          <w:sz w:val="20"/>
        </w:rPr>
        <w:t xml:space="preserve">Tectonic accounts for the SAFEs as liabilities at fair value and adjusts the liabilities to fair value at each period end date until a triggering event occurs that results in the settlement of the liabilities. Triggering events include an equity financing, public listing transaction, change of control and dissolution. Changes in the liabilities’ fair values are recognized in the Company’s statement of operations and comprehensive loss in change in fair value of SAFE liabilities. The fair value of the SAFEs has been estimated using probability-weighted scenario analyses and discount rates derived by application of the build-up method to reflect the cost of equity. </w:t>
      </w:r>
    </w:p>
    <w:p>
      <w:pPr>
        <w:pStyle w:val="TextBody"/>
        <w:bidi w:val="0"/>
        <w:spacing w:before="240" w:after="0"/>
        <w:jc w:val="left"/>
        <w:rPr>
          <w:rFonts w:ascii="Times New Roman" w:hAnsi="Times New Roman"/>
          <w:sz w:val="20"/>
        </w:rPr>
      </w:pPr>
      <w:r>
        <w:rPr>
          <w:rFonts w:ascii="Times New Roman" w:hAnsi="Times New Roman"/>
          <w:sz w:val="20"/>
        </w:rPr>
        <w:t xml:space="preserve">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 The valuation of the SAFE liabilities at the October issuance date was determined using the same methodology; however, the discount rate was 30.9% due to the higher risk-free interest rate at the valuation date. In October 2023, the probabilities of the occurrence of an equity financing, public listing transaction and dissolution used were 87.5%, 10%, and 2.5%, respectively. The estimated time to redemption used was 1.5 months for an equity financing and 5.5 months for a public listing transaction and dissolution.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Tectonic measures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is recognized in the same manner as if Tectonic had paid cash in exchange for the goods or services, which is generally the over the vesting period of the award. Tectonic uses the straight-line method to recognize the expense of awards with service-based vesting conditions. Tectonic accounts for forfeitures of stock options as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BSM requires the use of assumptions to determine the fair value of the stock options. The determination of fair value of the Tectonic common stock is described below. Other assumptions used in the BSM, the volatility of Tectonic’s common stock, the expected term of Tectonic’s common stock, the risk-free interest rate for a period that approximates the expected term of Tectonic’s common stock and Tectonic’s expected dividend yield, are determined by Tectonic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there has been no public market for Tectonic’s common stock to date, the estimated fair value of Tectonic’s common stock has been determined by Tectonic’s Board as of the date of grant of each stock options, with input from management, considering Tectonic’s most recently available third-party valuations of Tectonic common stock and the Tectonic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and were prepared using the option pricing model (“OPM”). OPM uses option theory to value the various classes of Tectonic’s securities in light of their respective claims to the enterprise value. Total shareholders’ deficit value is allocated to the various share classes based upon their respective claims on a series of call options with strike prices at various value levels depending upon the rights and preferences of each class. A BSM is typically employed in this analysis, with an option term assumption that is consistent with Tectonic’s expected time to a liquidity event and a volatility assumption based on the estimated stock price volatility of a peer group of comparable public companies over a similar term. In addition to considering the results of these third-party valuations, the Tectonic Board considered various objective and subjective factors to determine the fair value of Tectonic’s common stock as of each grant date, including: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prices of Tectonic’s common stock at the time of each grant of 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Tectonics’ research and development programs, including the status of preclinical studies and clinical trials for Tectonic’s product candidates;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stage of development and business strategy;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financial position, including cash on hand, and Tectonic’s historical and forecasted performance and operating results;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Tectonic’s common stock and Tectonic’s Series A convertible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initial public offering, or IPO, merger or sale of Tectonic in light of prevailing market conditions; and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IPOs and market performance of similar companies in the biotechnology industry.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assumptions underlying these valuations represented management’s best estimate, which involved inherent uncertainties and the application of management’s judgment. As a result, if Tectonic had used significantly different assumptions or estimates, the fair value of Tectonic’s common stock and Tectonic’s share-based compensation expense could have been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merger is completed and there is a public trading market for Tectonic’s common stock, it will no longer be necessary for the Tectonic Board to estimate the fair value of Tectonics’ common stock in connection with Tectonics’ accounting for granted stock options or other such awards Tectonic may grant, as the fair value of Tectonic’s common stock and stock options will be determined based on the quoted market price of Tectonic’s common stock. </w:t>
      </w:r>
    </w:p>
    <w:p>
      <w:pPr>
        <w:pStyle w:val="TextBody"/>
        <w:bidi w:val="0"/>
        <w:spacing w:before="360" w:after="0"/>
        <w:jc w:val="left"/>
        <w:rPr>
          <w:rFonts w:ascii="Times New Roman" w:hAnsi="Times New Roman"/>
          <w:b/>
          <w:sz w:val="20"/>
        </w:rPr>
      </w:pPr>
      <w:bookmarkStart w:id="163" w:name="toc770053_168"/>
      <w:bookmarkEnd w:id="163"/>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Tectonic’s financial position, results of operations or cash flows is disclosed in Note 2 to Tectonic’s consolidated financial statements appearing in this prospectus. </w:t>
      </w:r>
    </w:p>
    <w:p>
      <w:pPr>
        <w:pStyle w:val="TextBody"/>
        <w:bidi w:val="0"/>
        <w:spacing w:before="360" w:after="0"/>
        <w:jc w:val="left"/>
        <w:rPr>
          <w:rFonts w:ascii="Times New Roman" w:hAnsi="Times New Roman"/>
          <w:b/>
          <w:sz w:val="20"/>
        </w:rPr>
      </w:pPr>
      <w:bookmarkStart w:id="164" w:name="toc770053_169"/>
      <w:bookmarkEnd w:id="164"/>
      <w:r>
        <w:rPr>
          <w:rFonts w:ascii="Times New Roman" w:hAnsi="Times New Roman"/>
          <w:b/>
          <w:sz w:val="20"/>
        </w:rPr>
        <w:t xml:space="preserve">Qualitative and Quantitative Disclosures about Market Risk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Tectonic’s primary exposure to market risk is to market risk related to interest rate sensitivity, which is affected by changes in the general level of U.S. interest rates. As of December 31, 2023, Tectonic had cash and cash equivalents of $28.8 million, which consisted of cash and money market funds. As of December 31, 2023, Tectonic had a finance lease liability and an operating lease liability of $1.4 million and $3.0 million, respectively. In October 2023 and December 2023, Tectonic issued SAFEs to Tectonic’s investors. Tectonic received the proceeds of $10.1 million from the October issuance and $24.0 million from the December issuance. Interest income and expenses are sensitive to changes in the general level of interest rates. However, due to the nature of these investments, an immediate 10% change in market interest rates would not have a material effect on the fair market value of Tectonic’s investment portfolio.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Tectonic’s results of operations and financial condition are presented based on historical cost. While it is difficult to accurately measure the impact of inflation due to the imprecise nature of the estimates required, Tectonic believes the effects of inflation, if any, on Tectonic’s results of operations and financial condition have been immaterial. Tectonic cannot assure you Tectonic’s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5" w:name="toc770053_170"/>
      <w:bookmarkEnd w:id="165"/>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bookmarkStart w:id="166" w:name="toc770053_171"/>
      <w:bookmarkEnd w:id="166"/>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Resignation of Current Executive Officers of AVROBIO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all of the current executive officers of AVROBIO will resign immediately prior to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and Directors of the Combined Organization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all of the directors of AVROBIO who are not continuing as directors will resign at or prior to the Effective Time. Prior to the Effective Time, the AVROBIO board of directors will elect the current directors of Tectonic to serve as members of the AVROBIO board of directors effective upon consummation of the merger. The combined company’s board of directors will initially be fixed at six members, consisting of (i) five Tectonic Board members, namely Alise Reicin, M.D., Terrance McGuire, Timothy A. Springer, Ph.D., Praveen Tipirneni, M.D. and Stefan Vitorovic, and (ii) one AVROBIO Board member, namely Phillip B. Donenberg. The staggered structure of the current AVROBIO Board will remain in place for the combined company following the completion of the merger. The division of our board into three classes with staggered three year terms will be decided by mutual agreement following the completion of the merger. The number of directors will be distributed among the three classes so that, as nearly as possible, each class will consist of one-third of the directors. A majority of the members of the board of directors of the combined organization following the merger are expected to satisfy the requisite independence requirements for the board of directors of the combined organization, as well as the sophistication and independence requirements for the required committees pursuant to Nasdaq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pursuant to the Merger Agreement, there are no arrangements or understandings between any of the expected directors or executive officers of the combined organization and any other person pursuant to which he or she was or is to be selected as a director or executive officer. There are no family relationships between any of the expected directors or executive officers of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the management team of AVROBIO is expected to be composed of the management team of Tectonic. The following table sets forth the names, ages, as of March 15, 2024 and positions of the individuals who are expected to serve as executives and directors of the combined company upon completion of the merger: </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2225"/>
        <w:gridCol w:w="120"/>
        <w:gridCol w:w="79"/>
        <w:gridCol w:w="346"/>
        <w:gridCol w:w="60"/>
        <w:gridCol w:w="120"/>
        <w:gridCol w:w="495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Executive Officers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Executive Officer and 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Operating Officer and Chief Financial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McNamara,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Scientific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Medical Officer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 Schwabish,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Chief Business Officer</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5075" w:type="dxa"/>
            <w:gridSpan w:val="2"/>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Alise Reicin, M.D.</w:t>
      </w:r>
      <w:r>
        <w:rPr>
          <w:rFonts w:ascii="Times New Roman" w:hAnsi="Times New Roman"/>
          <w:sz w:val="20"/>
        </w:rPr>
        <w:t xml:space="preserve"> has served as Tectonic’s President and Chief Executive Officer since August 2020. Prior to joining Tectonic, Dr. Reicin served as President, Global Clinical Development at Celgene Corporation,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pharmaceutical company, from November 2018 to December 2019 and was a member of the Executive Committee. Prior to Celgene, she served as Head of Global Clinical Development at EMD Serono Inc., a privately held pharmaceutical company, from May 2015 to October 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serves on the board of directors of Homology Medicines, Inc., a public biopharmaceutical company and Sana Biotechnology, Inc., a public cell and gene therapy company. Dr. Reicin earned a B.A. in Biochemistry from Barnard College of Columbia University. She earned a M.D. in Medicine from Harvard University. Tectonic believes that Dr. Reicin is qualified to serve on its board of directors due to her clinical expertise and leadership roles in the biotechnology and biopharmaceuticals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Christian Cortis, Ph.D. </w:t>
      </w:r>
      <w:r>
        <w:rPr>
          <w:rFonts w:ascii="Times New Roman" w:hAnsi="Times New Roman"/>
          <w:sz w:val="20"/>
        </w:rPr>
        <w:t xml:space="preserve">was appointed Tectonic’s Chief Operating Officer in August 2020 and was later also appointed as Tectonic’s Chief Financial Officer. Prior to that, Dr. Cortis served as Tectonic’s Interim CEO from August 2019 to August 2020. Prior to joining Tectonic, Dr. Cortis held positions of increasing responsibility at Agenus, Inc. from 2015 to 2019, where he most recently served as the Chief Strategy Officer and Head of Finance. Dr. Cortis’ experience also includes earlier roles as Head of Business Development for Synta Pharmaceuticals, Inc., and as Principal with Advanced Technology Ventures where he oversaw and participated in investment transactions into private companies in the biotech and healthcare sector. In addition, Dr. Cortis was a member of the board of directors of OpenEye Scientific Software from November 2015 to August 2022 until its acquisition by Cadence Design Systems, Inc. in 2022. Dr. Cortis earned a B.Sc. in Mathematics and Physics from McGill University and a M.Sc. in Applied Physics from Columbia University. Dr. Cortis earned his Ph.D in Applied Mathematics and Theoretical Chemistry from Columbia University. </w:t>
      </w:r>
    </w:p>
    <w:p>
      <w:pPr>
        <w:pStyle w:val="TextBody"/>
        <w:bidi w:val="0"/>
        <w:spacing w:before="240" w:after="0"/>
        <w:jc w:val="left"/>
        <w:rPr>
          <w:rFonts w:ascii="Times New Roman" w:hAnsi="Times New Roman"/>
          <w:sz w:val="20"/>
        </w:rPr>
      </w:pPr>
      <w:r>
        <w:rPr>
          <w:rFonts w:ascii="Times New Roman" w:hAnsi="Times New Roman"/>
          <w:b/>
          <w:i/>
          <w:sz w:val="20"/>
        </w:rPr>
        <w:t>Peter McNamara, Ph.D.</w:t>
      </w:r>
      <w:r>
        <w:rPr>
          <w:rFonts w:ascii="Times New Roman" w:hAnsi="Times New Roman"/>
          <w:sz w:val="20"/>
        </w:rPr>
        <w:t xml:space="preserve"> has served as Tectonic’s Chief Scientific Officer since June 2022. Prior to that, Dr. McNamara served as Senior Vice President, Head of Research at Tectonic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 </w:t>
      </w:r>
    </w:p>
    <w:p>
      <w:pPr>
        <w:pStyle w:val="TextBody"/>
        <w:bidi w:val="0"/>
        <w:spacing w:before="240" w:after="0"/>
        <w:jc w:val="left"/>
        <w:rPr>
          <w:rFonts w:ascii="Times New Roman" w:hAnsi="Times New Roman"/>
          <w:sz w:val="20"/>
        </w:rPr>
      </w:pPr>
      <w:r>
        <w:rPr>
          <w:rFonts w:ascii="Times New Roman" w:hAnsi="Times New Roman"/>
          <w:b/>
          <w:i/>
          <w:sz w:val="20"/>
        </w:rPr>
        <w:t>Marcella K. Ruddy,</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has served as Tectonic’s Chief Medical Officer since July 2021. She has over 20 years of experience in drug development across all stages of clinical drug development. She currently serves as a member of the board of directors of Polarean Imaging plc and Upstream Bio, Inc. and has since August 2022 and January 2023, respectively. Prior to joining Tectonic’s team, Dr. Ruddy was the Head of Clinical Development for the Immunology/Inflammation Therapeutic Area at Regeneron Pharmaceuticals. In that role she led the clinical development of Dupixent®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Marc Schwabish, Ph.D.</w:t>
      </w:r>
      <w:r>
        <w:rPr>
          <w:rFonts w:ascii="Times New Roman" w:hAnsi="Times New Roman"/>
          <w:sz w:val="20"/>
        </w:rPr>
        <w:t xml:space="preserve"> has served as Tectonic’s Chief Business Officer since March 2021. Prior to joining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Heard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Phillip B. Donenberg</w:t>
      </w:r>
      <w:r>
        <w:rPr>
          <w:rFonts w:ascii="Times New Roman" w:hAnsi="Times New Roman"/>
          <w:sz w:val="20"/>
        </w:rPr>
        <w:t xml:space="preserve"> has served as a member of the AVROBIO Board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a gene therapy company, and also has experience serving on the boards of directors of privately held companies. Mr. Donenberg holds a B.S. in accountancy from the University of Illinois Champaign-Urbana College of Business and is a Certified Public Accountant. Mr. Donenberg is expected to be appointed to serve on the board of directors of the combined organization because of his financial expertise and his experience as an executive of companies in the life sciences industry. </w:t>
      </w:r>
    </w:p>
    <w:p>
      <w:pPr>
        <w:pStyle w:val="TextBody"/>
        <w:bidi w:val="0"/>
        <w:spacing w:before="240" w:after="0"/>
        <w:jc w:val="left"/>
        <w:rPr>
          <w:rFonts w:ascii="Times New Roman" w:hAnsi="Times New Roman"/>
          <w:sz w:val="20"/>
        </w:rPr>
      </w:pPr>
      <w:r>
        <w:rPr>
          <w:rFonts w:ascii="Times New Roman" w:hAnsi="Times New Roman"/>
          <w:b/>
          <w:i/>
          <w:sz w:val="20"/>
        </w:rPr>
        <w:t>Terrance McGuire</w:t>
      </w:r>
      <w:r>
        <w:rPr>
          <w:rFonts w:ascii="Times New Roman" w:hAnsi="Times New Roman"/>
          <w:sz w:val="20"/>
        </w:rPr>
        <w:t xml:space="preserve"> has served as a member of the Tectonic Board since Tectonic commenced operations as an independent company in February 2020. Mr. McGuire was a co-founder and is currently a general partner of Polaris Partners. He serves on the board of directors of several private companies and currently serves on the board of directors of Cyclerion Therapeutics Inc., Alector Inc., Seer Inc. and Invivyd Inc. Mr. McGuire has also served on the board of Pulmatrix Inc. Mr. McGuire is the former chairman of the National Venture Capital Association, which represents ninety percent of the venture capitalists in the U.S., chairman of the board of the Thayer School of Engineering at Dartmouth College, and a member of the boards of The David H. Koch Institute for Integrative Cancer Research at the Massachusetts Institute of Technology and The Arthur Rock Center for Entrepreneurship at Harvard Business School. Mr. McGuire earned a B.S. in physics and economics from Hobart College, an M.S. in engineering from The Thayer School at Dartmouth College, and an M.B.A. from Harvard Business School. Mr. McGuire is expected to be appointed to serve on the board of directors of the combined organization because of his extensive experiences as a venture capitalist focused on the biotechnology industry, as well as many years of experience as a director of biotechnology companies guiding them in the execution of their corporate strategy and objectives. </w:t>
      </w:r>
    </w:p>
    <w:p>
      <w:pPr>
        <w:pStyle w:val="TextBody"/>
        <w:bidi w:val="0"/>
        <w:spacing w:before="240" w:after="0"/>
        <w:jc w:val="left"/>
        <w:rPr>
          <w:rFonts w:ascii="Times New Roman" w:hAnsi="Times New Roman"/>
          <w:sz w:val="20"/>
        </w:rPr>
      </w:pPr>
      <w:r>
        <w:rPr>
          <w:rFonts w:ascii="Times New Roman" w:hAnsi="Times New Roman"/>
          <w:b/>
          <w:i/>
          <w:sz w:val="20"/>
        </w:rPr>
        <w:t>Timothy A. Springer</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co-founded Tectonic in June 2019 and has served as a scientific advisor to Tectonic and as a member of the Tectonic Board since June 2019. Dr. Springer served as Chief Executive Officer of Tectonic from June 2019 until August 2019 and as President of Tectonic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Inc. and has served as a scientific advisor and as a member of its board of directors since June 2015. He has also served Selecta Biosciences Inc. as a scientific advisor since December 2008 and as a member of its Board since June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the Canada International Gairdner Award, and the Lasker Basic Medical Research Award. Dr. Springer received a B.A. in Biochemistry from the University of California, Berkeley, and a Ph.D. in Biochemistry and Molecular Biology from Harvard University. Dr. Springer is expected to be appointed to serve on the board of directors of the combined organization because of his extensive knowledge of the integrin field and his investment, business and board experience with biopharmaceutical companies. </w:t>
      </w:r>
    </w:p>
    <w:p>
      <w:pPr>
        <w:pStyle w:val="TextBody"/>
        <w:bidi w:val="0"/>
        <w:spacing w:before="240" w:after="0"/>
        <w:jc w:val="left"/>
        <w:rPr>
          <w:rFonts w:ascii="Times New Roman" w:hAnsi="Times New Roman"/>
          <w:sz w:val="20"/>
        </w:rPr>
      </w:pPr>
      <w:r>
        <w:rPr>
          <w:rFonts w:ascii="Times New Roman" w:hAnsi="Times New Roman"/>
          <w:b/>
          <w:i/>
          <w:sz w:val="20"/>
        </w:rPr>
        <w:t>Praveen Tipirneni</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has served as a member of the Tectonic Board since February 2020. Dr. Tipirneni currently serves as Chief Executive Officer and as a member of the board of directors of Morphic Holding, Inc., a position he has held since July 2015. Dr. Tipirneni received a B.A. in Mechanical Engineering from Massachusetts Institute of Technology, an M.D. from McGill University and an M.B.A. from the Wharton School of Business of the University of Pennsylvania. Dr. Tipirneni is expected to be appointed to serve on the board of directors of the combined organization because of his experience with biotechnology companies, including working with and serving in various executive positions in life sciences companies. </w:t>
      </w:r>
    </w:p>
    <w:p>
      <w:pPr>
        <w:pStyle w:val="TextBody"/>
        <w:bidi w:val="0"/>
        <w:spacing w:before="240" w:after="0"/>
        <w:jc w:val="left"/>
        <w:rPr>
          <w:rFonts w:ascii="Times New Roman" w:hAnsi="Times New Roman"/>
          <w:sz w:val="20"/>
        </w:rPr>
      </w:pPr>
      <w:r>
        <w:rPr>
          <w:rFonts w:ascii="Times New Roman" w:hAnsi="Times New Roman"/>
          <w:b/>
          <w:i/>
          <w:sz w:val="20"/>
        </w:rPr>
        <w:t>Stefan Vitorovic, M.S., M.B.A.,</w:t>
      </w:r>
      <w:r>
        <w:rPr>
          <w:rFonts w:ascii="Times New Roman" w:hAnsi="Times New Roman"/>
          <w:sz w:val="20"/>
        </w:rPr>
        <w:t xml:space="preserve"> has served as a member of our board of directors since August 2021. Mr. Vitorovic is the co-founder and Managing Director of Vida Ventures, a role he has served in since January 2017.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 (NYSE: ZBH)). Prior to TPG, Mr. Vitorovic was an investment banker at Credit Suisse’s healthcare banking group from 2004 to 2008. Mr. Vitorovic currently serves on the board of directors of Vigil Neuroscience, Inc. (NASDAQ: VIGL), Volastra Therapeutics, Inc., and Souffle Therapeutics, Inc. He was previously a board observer of Oyster Point Pharma, Inc. (formerly NASDAQ: OYST), Dyne Therapeutics (NASDAQ: DYN) and Sutro Biopharma, Inc. (NASDAQ: STRO), and a board member of Kyverna Therapeutics, Inc. (NASDAQ: KYTX) and Praxis Precision Medicines, Inc. (NASDAQ: PRAX) from 2018 to 2022. He received a B.S. with Honors in Biological Sciences and an M.S. in Biology from Stanford University, where he conducted biomedical research in the lab of Dr. Helen Blau at Stanford Medical School. Mr. Vitorovic received his M.B.A. from Harvard Business School. We believe Mr. Vitorovic is qualified to serve on our board of directors because of his deep expertise in life sciences research and investing, as well as his extensive experience in new company formation and operations. </w:t>
      </w:r>
    </w:p>
    <w:p>
      <w:pPr>
        <w:pStyle w:val="TextBody"/>
        <w:bidi w:val="0"/>
        <w:spacing w:before="360" w:after="0"/>
        <w:jc w:val="left"/>
        <w:rPr>
          <w:rFonts w:ascii="Times New Roman" w:hAnsi="Times New Roman"/>
          <w:b/>
          <w:sz w:val="20"/>
        </w:rPr>
      </w:pPr>
      <w:bookmarkStart w:id="167" w:name="toc770053_172"/>
      <w:bookmarkEnd w:id="167"/>
      <w:r>
        <w:rPr>
          <w:rFonts w:ascii="Times New Roman" w:hAnsi="Times New Roman"/>
          <w:b/>
          <w:sz w:val="20"/>
        </w:rPr>
        <w:t xml:space="preserve">Election of Officers </w:t>
      </w:r>
    </w:p>
    <w:p>
      <w:pPr>
        <w:pStyle w:val="TextBody"/>
        <w:bidi w:val="0"/>
        <w:spacing w:before="120" w:after="0"/>
        <w:jc w:val="left"/>
        <w:rPr>
          <w:rFonts w:ascii="Times New Roman" w:hAnsi="Times New Roman"/>
          <w:sz w:val="20"/>
        </w:rPr>
      </w:pPr>
      <w:r>
        <w:rPr>
          <w:rFonts w:ascii="Times New Roman" w:hAnsi="Times New Roman"/>
          <w:sz w:val="20"/>
        </w:rPr>
        <w:t xml:space="preserve">Each executive officer will serve at the discretion of the combined company’s board of directors and holds office until his or her successor is duly elected and qualified or until his or her earlier resignation or removal. </w:t>
      </w:r>
    </w:p>
    <w:p>
      <w:pPr>
        <w:pStyle w:val="TextBody"/>
        <w:bidi w:val="0"/>
        <w:spacing w:before="360" w:after="0"/>
        <w:jc w:val="left"/>
        <w:rPr>
          <w:rFonts w:ascii="Times New Roman" w:hAnsi="Times New Roman"/>
          <w:b/>
          <w:sz w:val="20"/>
        </w:rPr>
      </w:pPr>
      <w:bookmarkStart w:id="168" w:name="toc770053_173"/>
      <w:bookmarkEnd w:id="168"/>
      <w:r>
        <w:rPr>
          <w:rFonts w:ascii="Times New Roman" w:hAnsi="Times New Roman"/>
          <w:b/>
          <w:sz w:val="20"/>
        </w:rPr>
        <w:t xml:space="preserve">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All of AVROBIO’s current directors, other than Phillip B. Donenberg, are expected to resign from their positions as directors of AVROBIO, effective as of the effective time. The AVROBIO Board currently consists of seven members, divided into three staggered classes, with one class to be elected at each annual meeting to serve for a three-year term. The staggered structure of the board of directors will remain in place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completion of the merger. It is anticipated that the incoming directors will be appointed to applicable vacant director seats of the combined company’s board of directors following the resignation of the AVROBIO directors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proposed combined company’s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AVROBIO and Tectonic anticipate that the board of directors of the combined company will establish an audit committee, a compensation committee and a nominating and corporate governance committee, each of which will operate pursuant to a charter adopted by the board of directors of the combined company. AVROBIO and Tectonic believe that following the completion of the merger the functioning and composition of these committees will comply with the requirements of Sarbanes-Oxley Act of 2002, Nasdaq listing rules and SEC rules and regulations. The board of directors of the combined company may also establish other committees from time to time to assist the combined company and its board of directors. Each of the audit committee, compensation committee and nominating and corporate governance committee is expected to have the responsibilities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audit committee are expected to be Phillip Donenberg, Terrance McGuire and Stefan Vitorovic, each of whom qualifies as an independent director for audit committee purposes, as defined under the rules of the SEC and the applicable Nasdaq listing rules and has sufficient knowledge in financial and auditing matters to serve on the combined company’s audit committee. Phillip Donenberg is expected to chair the audit committee. Philip Donenberg is an “audit committee financial expert” as defined in Item 407(d)(5)(ii) of Regulation S-K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audit committee will be to oversee the combined company’s accounting and financial reporting processes, including the audits of the financial statements, and the internal and external audit processes. The audit committee will also oversee the system of internal controls established by management and AVROBIO’s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compensation committee are expected to be Praveen Tipirneni and Stefan Vitorovic, each of whom qualifies as an independent director, as defined under applicable Nasdaq listing rules and also meets the additional, heightened independence criteria applicable to members of the compensation committee. Praveen Tipirneni is expected to chair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the combined company’s compensation committee will be to periodically review and approve the compensation and other benefits for the combined company’s senior officers and directors. This will include reviewing and approving corporate goals and objectives relevant to the compensation of the combined company’s executive officers, evaluating the performance of these officers in light of the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objectives and setting the officers’ compensation. The compensation committee will also administer and make recommendations to the combined company’s board of directors regarding equity incentive plans that are subject to the board of directors’ approval and approve the grant of equity awards under the plans.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members of the combined company’s nominating and corporate governance committee are expected to be Timothy Springer and Terrance McGuire, each of whom qualifies as an independent director, as defined under applicable Nasdaq listing rules. Timothy Springer is expected to chair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nominating and corporate governance committee will be responsible for engaging in succession planning for the combined company’s board of directors, developing and recommending to the combined company’s board of directors criteria for identifying and evaluating qualified director candidates and making recommendations to the combined company’s board of directors regarding candidates for election or reelection to the board of directors at each annual stockholders’ meeting. In addition, the nominating and corporate governance committee will be responsible for overseeing the combined company’s corporate governance practices and making recommendations to the board of directors concerning corporate governance matters. The nominating and corporate governance committee will also be responsible for making recommendations to the board of directors concerning the structure, composition and functioning of the combined company’s board of directors and its committees. </w:t>
      </w:r>
    </w:p>
    <w:p>
      <w:pPr>
        <w:pStyle w:val="TextBody"/>
        <w:bidi w:val="0"/>
        <w:spacing w:before="360" w:after="0"/>
        <w:jc w:val="left"/>
        <w:rPr>
          <w:rFonts w:ascii="Times New Roman" w:hAnsi="Times New Roman"/>
          <w:b/>
          <w:sz w:val="20"/>
        </w:rPr>
      </w:pPr>
      <w:bookmarkStart w:id="169" w:name="toc770053_174"/>
      <w:bookmarkEnd w:id="169"/>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the combined company’s compensation committee has at any time been one of the officers or employees of the combined company since its inception. None of the combined company’s expected executive officers currently serves, or in the past fiscal year has served, as a member of the board of directors or compensation committee of any entity that has one or more executive officers that is or are expected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bookmarkStart w:id="170" w:name="toc770053_175"/>
      <w:bookmarkEnd w:id="170"/>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merger, the combined company will adopt a Code of Conduct and Ethics that establishes the standards of ethical conduct applicable to all of the combined company’s directors, officers and employees. The full text of the combined company’s Code of Conduct and Ethics will be posted on the combined company’s website at </w:t>
      </w:r>
      <w:r>
        <w:rPr>
          <w:rFonts w:ascii="Times New Roman" w:hAnsi="Times New Roman"/>
          <w:i/>
          <w:sz w:val="20"/>
        </w:rPr>
        <w:t>www.tectonictx.com</w:t>
      </w:r>
      <w:r>
        <w:rPr>
          <w:rFonts w:ascii="Times New Roman" w:hAnsi="Times New Roman"/>
          <w:sz w:val="20"/>
        </w:rPr>
        <w:t xml:space="preserve">. The Code of Conduct and Ethics will address, among other matters, compliance with laws and policies, conflicts of interest, corporate opportunities, regulatory reporting, external communications, confidentiality requirements, insider trading, proper use of assets and how to report compliance concerns. The combined company intends to disclose any amendments to the Code of Conduct and Ethics, or any waivers of its requirements, on its website to the extent required by applicable rules. The combined company’s audit committee will be responsible for applying and interpreting the Code of Conduct and Ethics in situations where questions are presented to it. Information contained on, or that can be accessed through, the combined company’s website is not incorporated by reference into this proxy statement/prospectus, and you should not consider information on the combined company’s website to be part of this proxy statement/prospectus. </w:t>
      </w:r>
    </w:p>
    <w:p>
      <w:pPr>
        <w:pStyle w:val="TextBody"/>
        <w:bidi w:val="0"/>
        <w:spacing w:before="360" w:after="0"/>
        <w:jc w:val="left"/>
        <w:rPr>
          <w:rFonts w:ascii="Times New Roman" w:hAnsi="Times New Roman"/>
          <w:b/>
          <w:sz w:val="20"/>
        </w:rPr>
      </w:pPr>
      <w:bookmarkStart w:id="171" w:name="toc770053_176"/>
      <w:bookmarkEnd w:id="171"/>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Prior to the merger, Tectonic did not have a formal policy to provide any cash or equity compensation to its non-employee directors for their service on the Tectonic Board or committees of the Tectonic Board. Tectonic’s non-employee director compensation is described in the section titled “</w:t>
      </w:r>
      <w:r>
        <w:rPr>
          <w:rFonts w:ascii="Times New Roman" w:hAnsi="Times New Roman"/>
          <w:i/>
          <w:sz w:val="20"/>
        </w:rPr>
        <w:t>Tectonic’s Executive and Director Compensation</w:t>
      </w:r>
      <w:r>
        <w:rPr>
          <w:rFonts w:ascii="Times New Roman" w:hAnsi="Times New Roman"/>
          <w:sz w:val="20"/>
        </w:rPr>
        <w:t xml:space="preserve">” beginning on page 297 of this proxy statement/prospectus. Except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determinations with respect to director compensation after the closing have not yet been made. In connection with closing of the merger, it is expected that the board of directors of the combined company will adopt a non-employee director compensation policy, designed to enable the combined company to attract and retain, on a long-term basis, highly qualified non-employee directors and align its directors’ interests with those of its stockholders. Employee directors will not receive additional compensation for their services as directors. Each director who is not an employee will be paid cash compensation for serving on the board of directors of the combined company,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non-employee elected or appointed to the board of directors of the combined company will be granted an initial stock option award and an annual stock option award,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reimburse its non-employee directors for reasonable travel and out-of-pocket expenses incurred in connection with attending the board of director and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2" w:name="toc770053_177"/>
      <w:bookmarkEnd w:id="172"/>
      <w:r>
        <w:rPr>
          <w:rFonts w:ascii="Times New Roman" w:hAnsi="Times New Roman"/>
          <w:b/>
          <w:sz w:val="20"/>
        </w:rPr>
        <w:t xml:space="preserve">CERTAIN RELATIONSHIPS AND RELATED PARTY TRANSACTIONS </w:t>
      </w:r>
    </w:p>
    <w:p>
      <w:pPr>
        <w:pStyle w:val="TextBody"/>
        <w:bidi w:val="0"/>
        <w:spacing w:before="0" w:after="0"/>
        <w:jc w:val="center"/>
        <w:rPr>
          <w:rFonts w:ascii="Times New Roman" w:hAnsi="Times New Roman"/>
          <w:b/>
          <w:sz w:val="20"/>
        </w:rPr>
      </w:pPr>
      <w:r>
        <w:rPr>
          <w:rFonts w:ascii="Times New Roman" w:hAnsi="Times New Roman"/>
          <w:b/>
          <w:sz w:val="20"/>
        </w:rPr>
        <w:t xml:space="preserve">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agreements and other arrangements with AVROBIO’s and Tectonic’s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w:t>
      </w:r>
      <w:r>
        <w:rPr>
          <w:rFonts w:ascii="Times New Roman" w:hAnsi="Times New Roman"/>
          <w:i/>
          <w:sz w:val="20"/>
        </w:rPr>
        <w:t>Tectonic Executive and Director Compensation</w:t>
      </w:r>
      <w:r>
        <w:rPr>
          <w:rFonts w:ascii="Times New Roman" w:hAnsi="Times New Roman"/>
          <w:sz w:val="20"/>
        </w:rPr>
        <w:t>” and “</w:t>
      </w:r>
      <w:r>
        <w:rPr>
          <w:rFonts w:ascii="Times New Roman" w:hAnsi="Times New Roman"/>
          <w:i/>
          <w:sz w:val="20"/>
        </w:rPr>
        <w:t>AVROBIO Executive Compensation</w:t>
      </w:r>
      <w:r>
        <w:rPr>
          <w:rFonts w:ascii="Times New Roman" w:hAnsi="Times New Roman"/>
          <w:sz w:val="20"/>
        </w:rPr>
        <w:t xml:space="preserve">,” beginning on pages 427 and 284, respectively, of this proxy statement/prospectus, the following is a description of each transaction involving AVROBIO since January 1, 2022, each transaction involving Tectonic since January 1, 2022 and each currently proposed transaction in which: </w:t>
      </w:r>
    </w:p>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Tectonic or AVROBIO has been or is to be a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Tectonic’s or AVROBIO’s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Tectonic’s or AVROBIO’s directors, executive officers or holders of more than 5% of Tectonic’s or AVROBIO’s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Tectonic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Private Financings </w:t>
      </w:r>
    </w:p>
    <w:p>
      <w:pPr>
        <w:pStyle w:val="TextBody"/>
        <w:bidi w:val="0"/>
        <w:spacing w:before="120" w:after="0"/>
        <w:jc w:val="left"/>
        <w:rPr>
          <w:rFonts w:ascii="Times New Roman" w:hAnsi="Times New Roman"/>
          <w:i/>
          <w:sz w:val="20"/>
        </w:rPr>
      </w:pPr>
      <w:r>
        <w:rPr>
          <w:rFonts w:ascii="Times New Roman" w:hAnsi="Times New Roman"/>
          <w:i/>
          <w:sz w:val="20"/>
        </w:rPr>
        <w:t xml:space="preserve">Series A Preferred Stock Financing – Subsequent Milestone Closing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Tectonic Board determined that Tectonic had achieved the milestone events pursuant to the terms of its Series A Preferred Stock Purchase Agreement and issued and sold to certain investors (i) an aggregate additional 2,450,163 shares of Tectonic’s Series A-1 Preferred Stock, and (ii) an additional 437,282 shares of Tectonic’s Series A-2 Preferred Stock in a subsequent closing, at a purchase price of $13.1876 per share for an aggregate purchase price of $38,028,475.61 (the “Milestone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Tectonic Series A Preferred Stock by Tectonic’s related persons in the Milestone Closing: </w:t>
      </w:r>
    </w:p>
    <w:p>
      <w:pPr>
        <w:pStyle w:val="TextBody"/>
        <w:bidi w:val="0"/>
        <w:spacing w:before="0" w:after="0"/>
        <w:jc w:val="left"/>
        <w:rPr/>
      </w:pPr>
      <w:r>
        <w:rPr/>
        <w:t> </w:t>
      </w:r>
    </w:p>
    <w:tbl>
      <w:tblPr>
        <w:tblW w:w="7098" w:type="dxa"/>
        <w:jc w:val="left"/>
        <w:tblInd w:w="0" w:type="dxa"/>
        <w:tblLayout w:type="fixed"/>
        <w:tblCellMar>
          <w:top w:w="0" w:type="dxa"/>
          <w:left w:w="0" w:type="dxa"/>
          <w:bottom w:w="0" w:type="dxa"/>
          <w:right w:w="0" w:type="dxa"/>
        </w:tblCellMar>
      </w:tblPr>
      <w:tblGrid>
        <w:gridCol w:w="3275"/>
        <w:gridCol w:w="120"/>
        <w:gridCol w:w="73"/>
        <w:gridCol w:w="981"/>
        <w:gridCol w:w="60"/>
        <w:gridCol w:w="120"/>
        <w:gridCol w:w="73"/>
        <w:gridCol w:w="981"/>
        <w:gridCol w:w="60"/>
        <w:gridCol w:w="120"/>
        <w:gridCol w:w="60"/>
        <w:gridCol w:w="110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b/>
              </w:rPr>
            </w:pPr>
            <w:r>
              <w:rPr>
                <w:b/>
              </w:rPr>
              <w:t>Stockholder</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A-1</w:t>
              <w:br/>
              <w:t>Preferred</w:t>
              <w:br/>
              <w:t>Stock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A-2</w:t>
              <w:br/>
              <w:t>Preferred</w:t>
              <w:br/>
              <w:t>Stock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971,238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437,282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18,574,998</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Ventures(1)</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659,980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8,703,552</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568,716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7,499,999</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Founders Capital Fund I, L.P.(3)</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18,957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249,997</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Reicin Inc.(4)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11,374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149,995</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642,161 shares purchased by Vida Ventures II, LLC (“Vida II Main Fund”) and (ii) 17,819 shares purchased by Vida Ventures II-A, LLC (“Vida II Parallel Fund,” and together with the Vida II Main Fund, “Vida II”). VV Manager II, LLC (“VV Manager II”) is the manager of Vida II. Stefan Vitorovic serves as a director on the Tectonic Board and is a member of the investment committee of VV Manager II, which is affiliated with Vida Ventures. Entities affiliated with Vida Ventures collectively hold more than five percent of Tectonic’s outstanding capital stock.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Polaris Partners IX, L.P. (“PP IX”) owns more than five percent of Tectonic’s outstanding capital stock. Terrance McGuire serves as a director on the Tectonic Board and holds an interest in Polaris Partners GP IX, L.L.C., the general partner of PP IX.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Terrance McGuire serves as a director on the Tectonic Board and is a managing member of Polaris Founders Capital Management Co. I, L.L.C., the general partner of Polaris Founders Capital Fund I,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(4)</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Reicin Inc. is controlled by Cheryl Reicin. Dr. Reicin is the sister of Dr. Reicin, who serves as the Chief Executive Officer of Tectonic and a director on the Tectonic Board.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Tectonic Subscription Agreement and Company SAFEs </w:t>
      </w:r>
    </w:p>
    <w:p>
      <w:pPr>
        <w:pStyle w:val="TextBody"/>
        <w:bidi w:val="0"/>
        <w:spacing w:before="120" w:after="0"/>
        <w:jc w:val="left"/>
        <w:rPr>
          <w:rFonts w:ascii="Times New Roman" w:hAnsi="Times New Roman"/>
          <w:sz w:val="20"/>
        </w:rPr>
      </w:pPr>
      <w:r>
        <w:rPr>
          <w:rFonts w:ascii="Times New Roman" w:hAnsi="Times New Roman"/>
          <w:sz w:val="20"/>
        </w:rPr>
        <w:t xml:space="preserve">On January 30, 2024, concurrently with the execution and delivery of the Merger Agreement, Tectonic entered into the Subscription Agreement with certain investors named therein, pursuant to which such investors agreed to purchase shares of Tectonic common stock, at a purchase price of $12.39908 per share, and certain investors have consummated or will consummate certain additional purchases of Tectonic common stock pursuant to the terms of the Company SAFEs entered into by such investors and Tectonic, for an aggregate purchase price among the private financings contemplated by the Subscription Agreement and such Company SAFEs of approximately $130.7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commitments to purchase Tectonic common stock pursuant to the Subscription Agreement and the entry into the Company SAFEs by Tectonic’s related persons: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4310"/>
        <w:gridCol w:w="120"/>
        <w:gridCol w:w="60"/>
        <w:gridCol w:w="110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41,999,997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8,999,989</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7,499,987</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Founders Capital Fund II, L.P.(4)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1,499,991</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Dr. Timothy A. Springer serves as a director on the Tectonic Board.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PP IX owns more than five percent of Tectonic’s outstanding capital stock. Terrance McGuire serves as a director on the Tectonic Board and holds an interest in Polaris Partners GP IX, L.L.C., the general partner of PP IX.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and commitments to purchase Tectonic common stock pursuant to the Subscription Agreement. Stefan Vitorovic serves as a director on the Tectonic Board and is a member of the investment committee of VV Manager II, LLC, which is affiliated with Vida Ventures. Entities affiliated with Vida Ventures collectively own more than five percent of Tectonic’s outstanding capital stock.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commitments to purchase Tectonic common stock pursuant to the Subscription Agreement. Terrance McGuire serves as a director on the Tectonic Board and is a managing member of Polaris Founders Capital Management Co. II, L.L.C., the general partner of Polaris Founders Capital Fund II, L.P. </w:t>
            </w:r>
          </w:p>
        </w:tc>
      </w:tr>
    </w:tbl>
    <w:tbl>
      <w:tblPr>
        <w:tblW w:w="8815" w:type="dxa"/>
        <w:jc w:val="left"/>
        <w:tblInd w:w="0" w:type="dxa"/>
        <w:tblLayout w:type="fixed"/>
        <w:tblCellMar>
          <w:top w:w="0" w:type="dxa"/>
          <w:left w:w="0" w:type="dxa"/>
          <w:bottom w:w="0" w:type="dxa"/>
          <w:right w:w="0" w:type="dxa"/>
        </w:tblCellMar>
      </w:tblPr>
      <w:tblGrid>
        <w:gridCol w:w="305"/>
        <w:gridCol w:w="8510"/>
      </w:tblGrid>
      <w:tr>
        <w:trPr/>
        <w:tc>
          <w:tcPr>
            <w:tcW w:w="305" w:type="dxa"/>
            <w:tcBorders/>
            <w:vAlign w:val="center"/>
          </w:tcPr>
          <w:p>
            <w:pPr>
              <w:pStyle w:val="TableContents"/>
              <w:bidi w:val="0"/>
              <w:spacing w:before="0" w:after="283"/>
              <w:jc w:val="left"/>
              <w:rPr/>
            </w:pPr>
            <w:r>
              <w:rPr/>
              <w:t>(5)</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entry into the Company SAFEs. Dr. Andrew Kruse serves as a director on the Tectonic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Tectonic’s Series A preferred stock financing, Tectonic entered into investors’ rights, voting and right of first refusal and co-sale agreements containing registration rights, information rights, voting rights and rights of first refusal, among other things, with certain holders of Tectonic’s preferred stock and certain holders of Tectonic’s common stock. These stockholder agreements will terminate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Support Agreements Under the Merger </w:t>
      </w:r>
    </w:p>
    <w:p>
      <w:pPr>
        <w:pStyle w:val="TextBody"/>
        <w:bidi w:val="0"/>
        <w:spacing w:before="120" w:after="0"/>
        <w:jc w:val="left"/>
        <w:rPr>
          <w:rFonts w:ascii="Times New Roman" w:hAnsi="Times New Roman"/>
          <w:sz w:val="20"/>
        </w:rPr>
      </w:pPr>
      <w:r>
        <w:rPr>
          <w:rFonts w:ascii="Times New Roman" w:hAnsi="Times New Roman"/>
          <w:sz w:val="20"/>
        </w:rPr>
        <w:t xml:space="preserve">Certain Tectonic stockholders are parties to support agreements with Tectonic pursuant to which, among other things, each such stockholder, solely in his, her or its capacity as a Tectonic stockholder, has agreed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such stockholder’s shares of Tectonic capital stock in favor of (i) the adoption of the Merger Agreement, (ii) the approval of the merger and related transactions contemplated by the Merger Agreement, (iii) the approval of an amendment to Tectonic’s certificate of incorporation to increase its authorized stock, (iv) to the extent such person is entitled to vote or exercise a right to consent with respect to such matter, effecting the preferred stock conversion immediately prior to conversion of the Company SAFEs, which Company SAFEs conversion shall occur immediately prior to the private placement financings, (v) waiving any preemptive right, right of participation, right of maintenance, anti-dilution right or any similar right as may otherwise be provided to such stockholder under Tectonic’s certificate of incorporation or bylaws in connection with the merger and related transactions contemplated by the Merger Agreement and (vi) against any Acquisition Proposal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30, 2024, the Tectonic stockholders that are party to a support agreement with Tectonic held shares of Tectonic capital stock representing approximately 88.0% of the voting power of Tectonic. These stockholders include executive officers and directors of Tectonic, as well as certain other stockholders owning a significant portion of the outstanding shares of Tectonic capital stock. Following the effectiveness of the Registration Statement on Form S-4 of which this proxy statement/prospectus is a part and pursuant to the Merger Agreement, Tectonic stockholders holding a sufficient number of shares of Tectonic capital stock to adopt the Merger Agreement and approve the merger and related transactions contemplated by the Merger Agreement will execute a written consent providing for such adoption and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Tectonic has entered, or will enter prior to the closing of the merger, into indemnification agreements with each of its directors and executive officers. These agreements will, among other things, require Tectonic to indemnify these individuals for certain expenses (including attorneys’ fees), judgments, fines and settlement amounts reasonably incurred by such person in any action or proceeding, including any action by or in Tectonic’s right, on account of any services undertaken by such person on Tectonic’s behalf or that person’s status as a member of the Tectonic Board to the maximum extent allowed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stockholders of AVROBIO and Tectonic have entered into the Lock-Up Agreements with AVROBIO, pursuant to which such parties have agreed not to, except in limited circumstances, sell or transfer their shares of AVROBIO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Tectonic stockholders who have executed Lock-Up Agreements as of January 30, 2024, owned in the aggregate, approximately 88.0% of the shares of Tectonic’s outstanding capital stock. </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Lock-Up Agreements does not purport to be complete and is qualified in its entirety by the full text of the form of Lock-Up Agreement, which is attached hereto as</w:t>
      </w:r>
      <w:r>
        <w:rPr>
          <w:rFonts w:ascii="Times New Roman" w:hAnsi="Times New Roman"/>
          <w:sz w:val="20"/>
          <w:u w:val="single"/>
        </w:rPr>
        <w:t> Annex 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While Tectonic does not have a formal written policy or procedure for the review, approval or ratification of related party transactions, it has been the practice of the Tectonic Board to consider the nature of and business reason for such transactions, how the terms of such transactions compared to those which might be obtained from unaffiliated third parties and whether such transactions were otherwise fair to and in the best interests of, or not contrary to, Tectonic’s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the audit committee of the board of directors of the combined organization will apply AVROBIO’s related party transaction policy, described above, until such time as the board of directors of the combined organization shall amend the policy. All of the Tectonic transactions described in this section were entered into prior to the application of this policy to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73" w:name="toc770053_179"/>
      <w:bookmarkEnd w:id="173"/>
      <w:r>
        <w:rPr>
          <w:rFonts w:ascii="Times New Roman" w:hAnsi="Times New Roman"/>
          <w:b/>
          <w:sz w:val="20"/>
        </w:rPr>
        <w:t xml:space="preserve">AVROBIO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a smaller reporting company, AVROBIO is required under SEC rules to disclose any transaction for the last two completed fiscal years or any currently proposed transaction in which AVROBIO is a participant and in which any related person has or will have a direct or indirect material interest involving an amount in excess of $120,000 or 1% of the average of AVROBIO’s total assets at year-end for the last two fiscal years. A related person is any executive officer, director, nominee for director or holder of 5% or more of AVROBIO’s common stock or an immediate family member of any of those persons. </w:t>
      </w:r>
    </w:p>
    <w:p>
      <w:pPr>
        <w:pStyle w:val="TextBody"/>
        <w:bidi w:val="0"/>
        <w:spacing w:before="240" w:after="0"/>
        <w:jc w:val="left"/>
        <w:rPr>
          <w:rFonts w:ascii="Times New Roman" w:hAnsi="Times New Roman"/>
          <w:sz w:val="20"/>
        </w:rPr>
      </w:pPr>
      <w:r>
        <w:rPr>
          <w:rFonts w:ascii="Times New Roman" w:hAnsi="Times New Roman"/>
          <w:sz w:val="20"/>
        </w:rPr>
        <w:t>Other than the compensation agreements and other arrangements described under the sections titled “</w:t>
      </w:r>
      <w:r>
        <w:rPr>
          <w:rFonts w:ascii="Times New Roman" w:hAnsi="Times New Roman"/>
          <w:i/>
          <w:sz w:val="20"/>
        </w:rPr>
        <w:t>AVROBIO’s Executive Compensation</w:t>
      </w:r>
      <w:r>
        <w:rPr>
          <w:rFonts w:ascii="Times New Roman" w:hAnsi="Times New Roman"/>
          <w:sz w:val="20"/>
        </w:rPr>
        <w:t>” and “</w:t>
      </w:r>
      <w:r>
        <w:rPr>
          <w:rFonts w:ascii="Times New Roman" w:hAnsi="Times New Roman"/>
          <w:i/>
          <w:sz w:val="20"/>
        </w:rPr>
        <w:t>AVROBIO’s Director Compensation</w:t>
      </w:r>
      <w:r>
        <w:rPr>
          <w:rFonts w:ascii="Times New Roman" w:hAnsi="Times New Roman"/>
          <w:sz w:val="20"/>
        </w:rPr>
        <w:t xml:space="preserve">” beginning on pages 284 and 294, respectively, of this proxy statement/prospectus and the transactions described below, since January 1, 2022, there has not been and there is not currently proposed, any transaction or series of similar transactions to which AVROBIO is, or will be, a party in which the amount involved exceeded, or will exceed, $120,000 (or, if less, one percent of the average of AVROBIO’s total assets amounts at December 31, 2022 and 2023) and in which any director, executive officer, holder of five percent or more of any class of AVROBIO’s capital stock or any member of the immediate family of, or entities affiliated with, any of the foregoing persons,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Agreements and Related Agreements with University Health Network </w:t>
      </w:r>
    </w:p>
    <w:p>
      <w:pPr>
        <w:pStyle w:val="TextBody"/>
        <w:bidi w:val="0"/>
        <w:spacing w:before="120" w:after="0"/>
        <w:jc w:val="left"/>
        <w:rPr>
          <w:rFonts w:ascii="Times New Roman" w:hAnsi="Times New Roman"/>
          <w:i/>
          <w:sz w:val="20"/>
        </w:rPr>
      </w:pPr>
      <w:r>
        <w:rPr>
          <w:rFonts w:ascii="Times New Roman" w:hAnsi="Times New Roman"/>
          <w:i/>
          <w:sz w:val="20"/>
        </w:rPr>
        <w:t xml:space="preserve">Fabry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AVROBIO entered into an option agreement with UHN pursuant to which UHN granted AVROBIO an exclusive option to enter into an exclusive license under certain intellectual property rights related to Fabry disease. On November 4, 2016, AVROBIO executed its option and entered into an exclusive license agreement with UHN. Under this agreement (the “Fabry license agreement”), UHN granted AVROBIO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Fabry license agreement, AVROBIO paid to UHN a one-time upfront fee and was obligated to pay an annual maintenance fee until the first sale of a licensed product in certain markets. AVROBIO was also required to make payments to UHN in connection with the achievement of certain development and regulatory milestones in an aggregate amount of up to CAD$2.45 million, as well as royalties on a country-by-country basis of a low to mid-single digit percentage on annual sales of licensed products and a lower single digit royalty in certain circumstances. Additionally, AVROBIO was required to pay a low double digit percentage of all sublicensing revenue. AVROBIO also made a philanthropic commitment to donate funds to organizations for the benefit of the Canadian Fabry community in an amount equal to a low double digit percentage of AVROBIO’s royalty payments and regulatory milestone payments, up to a maximum of CAD$500,000 in any calendar year. In connection with this agreement, AVROBIO also entered into three separate letter agreements with UHN, dated November 4, 2016, June 2, 2017 and December 11, 2019, pursuant to which AVROBIO agreed to provide certain funding and costs and expenses associated with a clinical trial conducted by UHN for the treatment of Fabry disease. For the years ended December 31, 2022 and 2023, AVROBIO paid $161 and $93 thousand, respectively, to UHN in connection with these agreements, which consists of reimbursable funded study trial costs and license maintenance fees. Effective as of January 4, 2024, AVROBIO terminated the Fabry license agreement with UHN. Following the termination of the Fabry license agreement, AVROBIO does not have any remaining financial obligations to UHN pursuant to the Fabry license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Interleukin-12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2016, AVROBIO entered into an exclusive license agreement (the “IL-12 Agreement”) with UHN pursuant to which UHN granted AVROBIO an exclusive license to certain intellectual property rights relating to Interleukin-12 proteins (“IL-12”). AVROBIO entered into an amendment to the IL-12 Agreement on September 28, 2017. Under the IL-12 Agreement, as amended (the “Amended IL-12 Agreement”),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 an upfront license fee and reimbursement of certain patent expenses, and AVROBIO was also obligated to pay an annual license fee as well as payments in connection with the achievement of certain performance and development milestones for an aggregate total of up to CAD$19.275 million in milestone payments. Additionally, the Amended IL-12 Agreement required AVROBIO to pay a low to mid-single digit royalty percentage on annual sales of licensed products, and a low double digit percentage of all sublicensing revenue. For the years ended December 31, 2022 and 2023, AVROBIO paid $39 and $37 thousand to UHN under the Amended IL-12 Agreement, respectively, which consists of license maintenance fees. Effective as of August 24, 2023, AVROBIO and UHN agreed to terminate the Amended IL-12 Agreement. Following the termination of the Amended IL-12 Agreement, AVROBIO does not have any remaining financial obligations to UHN pursuant to the Amended IL-12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Amended IL-12 Agreement, AVROBIO has also entered into two separate sponsored research agreements with UHN, one in March 2017 and one in July 2017. The March 2017 agreement was amended and restated and subsequently amended in November 2017. Pursuant to each of these sponsored research agreements, AVROBIO agreed to fund certain research projects related to IL-12 and Fabry disease, including salaries of certain researchers of up to CAD$200,000 and CAD$164,652 under the March 2017 and July 2017 agreements,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At the time AVROBIO entered into each of the above agreements with UHN, other than the letter agreement dated December 11, 2019, UHN was a greater than 5% beneficial owner of AVROBIO’s outstanding capital stock. Additionally, Christopher Paige is a senior scientist at UHN and is currently a member of the AVROBIO Board. As an inventor of certain of the intellectual property rights related to IL-12 that AVROBIO licenses from UHN, Dr. Paige would have been entitled to a portion of the consideration that AVROBIO would have been required to pay to UHN pursuant to the Amended IL-12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AVROBIO’s prior preferred stock financings, AVROBIO entered into investors’ rights, voting and right of first refusal and co-sale agreements containing registration rights, information rights, voting rights and rights of first refusal, among other things, with certain holders of AVROBIO’s preferred stock and certain holders of AVROBIO’s common stock. These stockholder agreements terminated upon the closing of AVROBIO’s IPO, except for the registration rights granted under its investors’ rights agreement, which terminated five years following AVROBIO’s IPO.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stockholders of AVROBIO holding approximately 10.8% of the outstanding shares of AVROBIO common stock as of January 30, 2024 entered into support agreements with AVRO. These stockholders include executive officers and directors of AVROBIO, as well as certain other stockholders owning a significant portion of the outstanding shares of AVROBIO capital stock. </w:t>
      </w:r>
    </w:p>
    <w:p>
      <w:pPr>
        <w:pStyle w:val="TextBody"/>
        <w:bidi w:val="0"/>
        <w:spacing w:before="240" w:after="0"/>
        <w:jc w:val="left"/>
        <w:rPr>
          <w:rFonts w:ascii="Times New Roman" w:hAnsi="Times New Roman"/>
          <w:sz w:val="20"/>
        </w:rPr>
      </w:pPr>
      <w:r>
        <w:rPr>
          <w:rFonts w:ascii="Times New Roman" w:hAnsi="Times New Roman"/>
          <w:sz w:val="20"/>
        </w:rPr>
        <w:t>For a more detailed discussion of the support agreements, please see the section titled “</w:t>
      </w:r>
      <w:r>
        <w:rPr>
          <w:rFonts w:ascii="Times New Roman" w:hAnsi="Times New Roman"/>
          <w:i/>
          <w:sz w:val="20"/>
        </w:rPr>
        <w:t>Agreements Related to the Merger—Support Agreements</w:t>
      </w:r>
      <w:r>
        <w:rPr>
          <w:rFonts w:ascii="Times New Roman" w:hAnsi="Times New Roman"/>
          <w:sz w:val="20"/>
        </w:rPr>
        <w:t xml:space="preserve">” beginning on page 263 of this proxy statement/prospectus. The foregoing description of the support agreements does not purport to be complete and is qualified in its entirety by the full text of the form of AVROBIO support agreement, which is attached hereto as </w:t>
      </w:r>
      <w:r>
        <w:rPr>
          <w:rFonts w:ascii="Times New Roman" w:hAnsi="Times New Roman"/>
          <w:sz w:val="20"/>
          <w:u w:val="single"/>
        </w:rPr>
        <w:t>Annex C</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AVROBIO has entered into and in the future plans to enter into agreements to indemnify AVROBIO’s directors and executive officers. These agreements, among other things, require AVROBIO to indemnify these individuals for certain expenses (including attorneys’ fees), judgments, fines and settlement amounts reasonably incurred by such person in any action or proceeding, including any action by or in AVROBIO’s right, on account of any services undertaken by such person on behalf of AVROBIO or that person’s status as a member of the AVROBIO Board or as an officer of AVROBIO to the maximum extent allowed under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executive officers, directors and stockholders of AVROBIO and Tectonic have entered into the Lock-Up Agreements with AVROBIO, pursuant to which such parties have agreed not to, except in limited circumstances, sell or transfer their shares of AVROBIO common stock, for the 180-day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AVROBIO stockholders who have executed Lock-Up Agreements as of January 30, 2024, owned in the aggregate, approximately 10.8% of the shares of AVROBIO’s then outstanding capital stock. </w:t>
      </w:r>
    </w:p>
    <w:p>
      <w:pPr>
        <w:pStyle w:val="TextBody"/>
        <w:bidi w:val="0"/>
        <w:spacing w:before="240" w:after="0"/>
        <w:jc w:val="left"/>
        <w:rPr>
          <w:rFonts w:ascii="Times New Roman" w:hAnsi="Times New Roman"/>
          <w:sz w:val="20"/>
        </w:rPr>
      </w:pPr>
      <w:r>
        <w:rPr>
          <w:rFonts w:ascii="Times New Roman" w:hAnsi="Times New Roman"/>
          <w:sz w:val="20"/>
        </w:rPr>
        <w:t>For a more detailed discussion of the Lock-Up Agreements, please see the section titled “</w:t>
      </w:r>
      <w:r>
        <w:rPr>
          <w:rFonts w:ascii="Times New Roman" w:hAnsi="Times New Roman"/>
          <w:i/>
          <w:sz w:val="20"/>
        </w:rPr>
        <w:t>Agreements Related to the Merger—Lock-Up Agreements</w:t>
      </w:r>
      <w:r>
        <w:rPr>
          <w:rFonts w:ascii="Times New Roman" w:hAnsi="Times New Roman"/>
          <w:sz w:val="20"/>
        </w:rPr>
        <w:t xml:space="preserve">” beginning on page 264 of this proxy statement/prospectus. The foregoing description of the Lock-Up Agreements does not purport to be complete and is qualified in its entirety by the full text of the form of Lock-Up Agreement, which is attached hereto as </w:t>
      </w:r>
      <w:r>
        <w:rPr>
          <w:rFonts w:ascii="Times New Roman" w:hAnsi="Times New Roman"/>
          <w:sz w:val="20"/>
          <w:u w:val="single"/>
        </w:rPr>
        <w:t>Annex 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The AVROBIO Board reviews and approves transactions with directors, officers and holders of five percent or more of AVROBIO’s voting securities and their affiliates, each a related party. AVROBIO adopted a written related person transaction policy that requires related party transactions to be approved by AVROBIO’s Audit Committee. Pursuant to this policy, the Audit Committee has the primary responsibility for reviewing and approving or disapproving “related party transactions,” which are transactions between AVROBIO and related persons in which a related person has or will have a direct or indirect material interest. For purposes of this policy, a related person will be defined as a director, executive officer, nominee for director, or greater than 5% beneficial owner of AVROBIO common stock, in each case since the beginning of the most recently completed year, and their immediate family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4" w:name="toc770053_180"/>
      <w:bookmarkEnd w:id="174"/>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discussion in this section, a one-for-ten reverse stock split of AVROBIO common stock has been assumed, and any references herein to the proposed one-for-ten reverse stock split shall account for such assumption.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2024, AVROBIO, Inc. (“AVROBIO”), Tectonic Therapeutic, Inc. (“Tectonic”), and AVROBIO Merger Subsidiary, Inc., a direct, wholly owned subsidiary of AVROBIO (“Merger Sub”) entered into an agreement and plan of merger and reorganization (the “Merger Agreement”), pursuant to which Merger Sub will merge with and into Tectonic, with Tectonic surviving as a wholly owned subsidiary of AVROBIO (such transaction, the “merger”). Upon completion of the merger, the business of Tectonic will continue as the business of the surviving corporation, referred to herein as the “combined company.” After the completion of the merger, AVROBIO will change its corporate name to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merger (the “effective time” or the “Closing”) and related transactions, each share of Tectonic common stock outstanding immediately prior to the effective time, including outstanding and unvested Tectonic Restricted Stock (defined in Note 1 of the accompanying notes), will be converted into the right to receive 14,895,913 shares of AVROBIO common stock in the aggregate, 16,057 shares of which will be subject to the same vesting provisions as those immediately prior to the merger, based on an exchange ratio determined in accordance with the terms of the Merger Agreement (the “Exchange Ratio”). The number of shares of Tectonic common stock outstanding immediately prior to the effective time includes Tectonic common stock issued upon conversion of each share of Tectonic convertible preferred stock, and shares of Tectonic common stock issued in connection with the Subscription Agreements and Company SAFEs as defined in Note 1 of the accompanying notes (together with the merger, the “Transactions”). The Exchange Ratio is currently estimated to be 0.74 shares of AVROBIO common stock for each share of Tectonic common stock after giving effect to the proposed one-for-ten reverse stock split of AVROBIO common stock, and is subject to change to account for, among other things, whether AVROBIO’s net cash balance (as defined in the Merger Agreement) is less than $64.5 million or greater than $65.5 million as of the Closing. The preliminary estimated Exchange Ratio reflects the assumption that AVROBIO’s net cash as of the Closing will be $65.0 million. Management currently anticipates that AVROBIO’s net cash as of the Closing will be approximately $65.0 million to $75.0 million, see Note 1 of the accompanying notes for additional discussion.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AVROBIO and Tectonic as of December 31, 2023, and depicts the accounting of the Transactions under U.S. generally accepted accounting principles (“pro forma balance sheet transaction accounting adjustments”). The unaudited pro forma condensed combined statement of operations for the year ended December 31, 2023 combines the historical results of AVROBIO and Tectonic for this period and depicts the pro forma balance sheet transaction accounting adjustments assuming that those adjustments were made as of January 1, 2023 (“pro forma statement of operations transaction accounting adjustments”). Collectively, pro forma balance sheet transaction accounting adjustments and pro forma statement of operations transaction accounting adjustments are referred to as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Tectonic for the years ended December 31, 2023 and 2022,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AVROBIO for the years ended December 31, 2023 and 2022, and the related notes included elsewhere in this proxy statement/prospectus;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sections titled “</w:t>
            </w:r>
            <w:r>
              <w:rPr>
                <w:rFonts w:ascii="Times New Roman" w:hAnsi="Times New Roman"/>
                <w:i/>
                <w:sz w:val="20"/>
              </w:rPr>
              <w:t>AVROBIO’s Management’s Discussion and Analysis of Financial Condition and Results of Operations</w:t>
            </w:r>
            <w:r>
              <w:rPr>
                <w:rFonts w:ascii="Times New Roman" w:hAnsi="Times New Roman"/>
                <w:sz w:val="20"/>
              </w:rPr>
              <w:t>,” “</w:t>
            </w:r>
            <w:r>
              <w:rPr>
                <w:rFonts w:ascii="Times New Roman" w:hAnsi="Times New Roman"/>
                <w:i/>
                <w:sz w:val="20"/>
              </w:rPr>
              <w:t>Tectonic’s Management’s Discussion and Analysis of Financial Condition and Results of Operation</w:t>
            </w:r>
            <w:r>
              <w:rPr>
                <w:rFonts w:ascii="Times New Roman" w:hAnsi="Times New Roman"/>
                <w:sz w:val="20"/>
              </w:rPr>
              <w:t xml:space="preserve">,” and other financial information relating to AVROBIO and Tectonic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AVROBIO and Tectonic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2023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78"/>
        <w:gridCol w:w="120"/>
        <w:gridCol w:w="224"/>
        <w:gridCol w:w="1401"/>
        <w:gridCol w:w="155"/>
        <w:gridCol w:w="60"/>
        <w:gridCol w:w="197"/>
        <w:gridCol w:w="1068"/>
        <w:gridCol w:w="155"/>
        <w:gridCol w:w="60"/>
        <w:gridCol w:w="180"/>
        <w:gridCol w:w="1130"/>
        <w:gridCol w:w="155"/>
        <w:gridCol w:w="60"/>
        <w:gridCol w:w="60"/>
        <w:gridCol w:w="140"/>
        <w:gridCol w:w="286"/>
        <w:gridCol w:w="60"/>
        <w:gridCol w:w="170"/>
        <w:gridCol w:w="975"/>
        <w:gridCol w:w="171"/>
      </w:tblGrid>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6" w:type="dxa"/>
            <w:gridSpan w:val="10"/>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br/>
              <w:t>AVROBIO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br/>
              <w:t>Tectonic</w:t>
              <w:br/>
              <w:t>Therapeutic</w:t>
              <w:br/>
              <w:t>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gridSpan w:val="2"/>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98,020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28,769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94,600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219,023</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(k)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Restricted cash</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(k)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1,958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2,685</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100,261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30,884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90,563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221,708</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Operating right-of-use 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(j)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2,669</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Finance right-of-use assets, net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1,437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1,437</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Property, equipment and improvements, net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3,122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3,122</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offering costs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Restricted cash, net of current portion</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(k)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587</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31</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101,093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39,399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229,554</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14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double" w:sz="6" w:space="1" w:color="000000"/>
              </w:pBdr>
              <w:bidi w:val="0"/>
              <w:spacing w:before="0" w:after="0"/>
              <w:jc w:val="left"/>
              <w:rPr/>
            </w:pPr>
            <w:r>
              <w:rPr/>
              <w:t> </w:t>
            </w:r>
          </w:p>
        </w:tc>
        <w:tc>
          <w:tcPr>
            <w:tcW w:w="10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Liabilities, Convertible Preferred Stock and Stockholders’ Equity (Deficit)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401"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283"/>
              <w:jc w:val="right"/>
              <w:rPr/>
            </w:pPr>
            <w:r>
              <w:rPr/>
              <w:t>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436</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5,449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8,141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(g)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28,588</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(c)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7,096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(h)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SAFE liabilities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30,515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liability—current portion</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1,348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1,348</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Finance lease liability—current portion</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475</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6,354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40,888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(16,395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30,847</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Operating lease liability—net of current portion</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1,644</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Finance lease liability—net of current portion</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876</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liabilities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6,354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43,408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(16,395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33,367</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Tectonic convertible preferred stock (Series A-1, A-2, A-3 and A-4), </w:t>
              <w:br/>
              <w:t>$0.0001 par value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Stockholders’ equity (deficit):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AVROBIO common stock, $0.0001 par value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(b)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(l)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(l)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Tectonic common stock, $0.0001 par value</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(d)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(e)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(f)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(a)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(l)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Additional paid-in capital</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572,010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5,979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80,626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(d)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290,410</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94,599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(e)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(a)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(g)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(b)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(489,509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(l)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(11</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Accumulated deficit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(477,275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(90,604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(f)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(94,214</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(c)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(7,096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(h)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(i)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286" w:type="dxa"/>
            <w:tcBorders/>
            <w:vAlign w:val="center"/>
          </w:tcPr>
          <w:p>
            <w:pPr>
              <w:pStyle w:val="TableContents"/>
              <w:bidi w:val="0"/>
              <w:spacing w:before="0" w:after="283"/>
              <w:jc w:val="left"/>
              <w:rPr/>
            </w:pPr>
            <w:r>
              <w:rPr/>
              <w:t>(j)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7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4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6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489,513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286" w:type="dxa"/>
            <w:tcBorders/>
            <w:shd w:fill="CCEEFF" w:val="clear"/>
            <w:vAlign w:val="center"/>
          </w:tcPr>
          <w:p>
            <w:pPr>
              <w:pStyle w:val="TableContents"/>
              <w:bidi w:val="0"/>
              <w:spacing w:before="0" w:after="283"/>
              <w:jc w:val="left"/>
              <w:rPr/>
            </w:pPr>
            <w:r>
              <w:rPr/>
              <w:t>(l)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stockholders’ equity (deficit)</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401" w:type="dxa"/>
            <w:tcBorders/>
            <w:vAlign w:val="center"/>
          </w:tcPr>
          <w:p>
            <w:pPr>
              <w:pStyle w:val="TableContents"/>
              <w:bidi w:val="0"/>
              <w:spacing w:before="0" w:after="283"/>
              <w:jc w:val="right"/>
              <w:rPr/>
            </w:pPr>
            <w:r>
              <w:rPr/>
              <w:t>94,739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186,084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196,187</w:t>
            </w:r>
          </w:p>
        </w:tc>
        <w:tc>
          <w:tcPr>
            <w:tcW w:w="171" w:type="dxa"/>
            <w:tcBorders/>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14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single" w:sz="2" w:space="1" w:color="000000"/>
              </w:pBdr>
              <w:bidi w:val="0"/>
              <w:spacing w:before="0" w:after="0"/>
              <w:jc w:val="left"/>
              <w:rPr/>
            </w:pPr>
            <w:r>
              <w:rPr/>
              <w:t> </w:t>
            </w:r>
          </w:p>
        </w:tc>
        <w:tc>
          <w:tcPr>
            <w:tcW w:w="106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3378"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401" w:type="dxa"/>
            <w:tcBorders/>
            <w:shd w:fill="CCEEFF" w:val="clear"/>
            <w:vAlign w:val="center"/>
          </w:tcPr>
          <w:p>
            <w:pPr>
              <w:pStyle w:val="TableContents"/>
              <w:bidi w:val="0"/>
              <w:spacing w:before="0" w:after="283"/>
              <w:jc w:val="right"/>
              <w:rPr/>
            </w:pPr>
            <w:r>
              <w:rPr/>
              <w:t>101,093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39,399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89,062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229,554</w:t>
            </w:r>
          </w:p>
        </w:tc>
        <w:tc>
          <w:tcPr>
            <w:tcW w:w="171" w:type="dxa"/>
            <w:tcBorders/>
            <w:shd w:fill="CCEEFF" w:val="clear"/>
            <w:vAlign w:val="center"/>
          </w:tcPr>
          <w:p>
            <w:pPr>
              <w:pStyle w:val="TableContents"/>
              <w:bidi w:val="0"/>
              <w:spacing w:before="0" w:after="283"/>
              <w:jc w:val="left"/>
              <w:rPr/>
            </w:pPr>
            <w:r>
              <w:rPr/>
              <w:t> </w:t>
            </w:r>
          </w:p>
        </w:tc>
      </w:tr>
      <w:tr>
        <w:trPr/>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14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pBdr>
                <w:top w:val="double" w:sz="6" w:space="1" w:color="000000"/>
              </w:pBdr>
              <w:bidi w:val="0"/>
              <w:spacing w:before="0" w:after="0"/>
              <w:jc w:val="left"/>
              <w:rPr/>
            </w:pPr>
            <w:r>
              <w:rPr/>
              <w:t> </w:t>
            </w:r>
          </w:p>
        </w:tc>
        <w:tc>
          <w:tcPr>
            <w:tcW w:w="106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i/>
          <w:sz w:val="18"/>
        </w:rPr>
      </w:pPr>
      <w:r>
        <w:rPr>
          <w:rFonts w:ascii="Times New Roman" w:hAnsi="Times New Roman"/>
          <w:i/>
          <w:sz w:val="18"/>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center"/>
        <w:rPr>
          <w:rFonts w:ascii="Times New Roman" w:hAnsi="Times New Roman"/>
          <w:sz w:val="20"/>
        </w:rPr>
      </w:pPr>
      <w:r>
        <w:rPr>
          <w:rFonts w:ascii="Times New Roman" w:hAnsi="Times New Roman"/>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6"/>
        <w:gridCol w:w="60"/>
        <w:gridCol w:w="183"/>
        <w:gridCol w:w="1442"/>
        <w:gridCol w:w="155"/>
        <w:gridCol w:w="60"/>
        <w:gridCol w:w="214"/>
        <w:gridCol w:w="1501"/>
        <w:gridCol w:w="155"/>
        <w:gridCol w:w="60"/>
        <w:gridCol w:w="204"/>
        <w:gridCol w:w="1106"/>
        <w:gridCol w:w="155"/>
        <w:gridCol w:w="60"/>
        <w:gridCol w:w="273"/>
        <w:gridCol w:w="60"/>
        <w:gridCol w:w="140"/>
        <w:gridCol w:w="1100"/>
        <w:gridCol w:w="155"/>
        <w:gridCol w:w="60"/>
        <w:gridCol w:w="276"/>
      </w:tblGrid>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8" w:type="dxa"/>
            <w:gridSpan w:val="8"/>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r>
        <w:trPr/>
        <w:tc>
          <w:tcPr>
            <w:tcW w:w="27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br/>
              <w:t>AVROBIO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br/>
              <w:t>Tectonic</w:t>
              <w:br/>
              <w:t>Therapeutic Inc.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47,700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283"/>
              <w:jc w:val="right"/>
              <w:rPr/>
            </w:pPr>
            <w:r>
              <w:rPr/>
              <w:t>572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87,082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1,844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right"/>
              <w:rPr/>
            </w:pPr>
            <w:r>
              <w:rPr/>
              <w:t>7(a)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23,967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7,682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7,096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7(b)</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816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right"/>
              <w:rPr/>
            </w:pPr>
            <w:r>
              <w:rPr/>
              <w:t>7(c)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2,356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71,667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12,684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83,736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83,736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(1,877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10,192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(12,684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44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2,420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396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446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(3,610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right"/>
              <w:rPr/>
            </w:pPr>
            <w:r>
              <w:rPr/>
              <w:t>7(d)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2,342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1,825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12,534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(15,848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(46,137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144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50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0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12,157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1106" w:type="dxa"/>
            <w:tcBorders/>
            <w:vAlign w:val="center"/>
          </w:tcPr>
          <w:p>
            <w:pPr>
              <w:pStyle w:val="TableContents"/>
              <w:bidi w:val="0"/>
              <w:spacing w:before="0" w:after="283"/>
              <w:jc w:val="right"/>
              <w:rPr/>
            </w:pPr>
            <w:r>
              <w:rPr/>
              <w:t>(15,848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(46,514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double" w:sz="6" w:space="1" w:color="000000"/>
              </w:pBdr>
              <w:bidi w:val="0"/>
              <w:spacing w:before="0" w:after="0"/>
              <w:jc w:val="left"/>
              <w:rPr/>
            </w:pPr>
            <w:r>
              <w:rPr/>
              <w:t> </w:t>
            </w:r>
          </w:p>
        </w:tc>
        <w:tc>
          <w:tcPr>
            <w:tcW w:w="110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for the period attributable to equity holders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12,157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 - basic</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44,327,204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2,373,674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19,224,806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7(f)</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 - basic</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(18.04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common shares outstanding - diluted</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44,567,918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2,373,674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19,248,878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7(f)</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 - diluted</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2" w:type="dxa"/>
            <w:tcBorders/>
            <w:shd w:fill="CCEEFF" w:val="clear"/>
            <w:vAlign w:val="center"/>
          </w:tcPr>
          <w:p>
            <w:pPr>
              <w:pStyle w:val="TableContents"/>
              <w:bidi w:val="0"/>
              <w:spacing w:before="0" w:after="283"/>
              <w:jc w:val="right"/>
              <w:rPr/>
            </w:pPr>
            <w:r>
              <w:rPr/>
              <w:t>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501" w:type="dxa"/>
            <w:tcBorders/>
            <w:shd w:fill="CCEEFF" w:val="clear"/>
            <w:vAlign w:val="center"/>
          </w:tcPr>
          <w:p>
            <w:pPr>
              <w:pStyle w:val="TableContents"/>
              <w:bidi w:val="0"/>
              <w:spacing w:before="0" w:after="283"/>
              <w:jc w:val="right"/>
              <w:rPr/>
            </w:pPr>
            <w:r>
              <w:rPr/>
              <w:t>(18.04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2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144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50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5" w:name="toc770053_181"/>
      <w:bookmarkEnd w:id="175"/>
      <w:r>
        <w:rPr>
          <w:rFonts w:ascii="Times New Roman" w:hAnsi="Times New Roman"/>
          <w:b/>
          <w:sz w:val="20"/>
        </w:rPr>
        <w:t xml:space="preserve">NOTES TO UNAUDITED PRO FORMA CONDENSED COMBINED FINANCIAL INFORMATION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215"/>
        <w:gridCol w:w="2255"/>
      </w:tblGrid>
      <w:tr>
        <w:trPr/>
        <w:tc>
          <w:tcPr>
            <w:tcW w:w="215" w:type="dxa"/>
            <w:tcBorders/>
            <w:vAlign w:val="center"/>
          </w:tcPr>
          <w:p>
            <w:pPr>
              <w:pStyle w:val="TableContents"/>
              <w:bidi w:val="0"/>
              <w:spacing w:before="0" w:after="283"/>
              <w:jc w:val="left"/>
              <w:rPr>
                <w:b/>
              </w:rPr>
            </w:pPr>
            <w:r>
              <w:rPr>
                <w:b/>
              </w:rPr>
              <w:t>1.</w:t>
            </w:r>
          </w:p>
        </w:tc>
        <w:tc>
          <w:tcPr>
            <w:tcW w:w="2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30, 2024, AVROBIO, Tectonic and Merger Sub entered into the Merger Agreement pursuant to which Merger Sub will merge with and into Tectonic, with Tectonic surviving as a wholly owned subsidiary of AVROBIO. Subject to the terms and conditions of the Merger Agreement, at Closing: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a)</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Tectonic common stock, including outstanding and unvested Tectonic Restricted Stock (defined below), after giving effect to the Transactions, will be converted into the right to receive a number of shares of AVROBIO’s common stock, based on the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and unexercised option to purchase shares of Tectonic common stock (“Tectonic options”) immediately prior to Closing will be assumed by AVROBIO and will be converted into an option to purchase shares of AVROBIO common stock, with necessary adjustments to the number of shares and exercise price to reflect the Exchange Ratio;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Tectonic restricted common stock outstanding and unvested immediately prior to Closing (“Tectonic Restricted Stock”) that is assumed by AVROBIO in the merger will remain unvested to the same extent and will be subject to the same repurchase option, risk of forfeiture or other condition under any applicable restricted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board of directors of AVROBIO will take actions to accelerate the vesting of certain outstanding options to purchase AVROBIO common stock, after giving effect to the proposed one-for-ten reverse stock split, held by a current employee, director or consultant of AVROBIO as of the closing of the merger, and accelerate the vesting and settle into shares of AVROBIO common stock each outstanding restricted stock unit (“RSU”) in respect of AVROBIO common stock that vests solely on the basis of time. The acceleration of vesting of AVROBIO’s options and RSUs occurs either upon a change of control as defined, pursuant to the terms of the original awards, or a modification of the awards as a result of the merger. The post-merger stock-based compensation expense, including the incremental fair value of the AVROBIO’s options and RSUs associated with the modification to accelerate vesting is expected to be immaterial at Closing and is not included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AVROBIO stockholders as of immediately prior to the merger are expected to own approximately 22.3% of the outstanding capital stock of the combined company on a fully diluted basis, former Tectonic stockholders are expected to own approximately 39.8% of the outstanding capital stock of the combined company on a fully diluted basis, and investors participating in the Subscription Agreements and Company SAFEs are expected to own approximately 28% and 10% of the outstanding capital stock of the combined company, respectively, on a fully diluted basis. Tectonic stockholders are expected to receive approximately 14,895,913 shares of AVROBIO common stock in connection with the merger, including 16,057 shares of AVROBIO common stock subject to vesting terms, based on the number of shares of Tectonic common stock outstanding immediately prior to the merger, including Tectonic Restricted Stock, the number of shares Tectonic common stock issued to investors participating in the Subscription Agreements and Company SAFEs, and Tectonic convertible preferred stock outstanding as of December 31, 2023, which will be converted into shares of Tectonic common stock on a one-for-one basis immediately prior to the closing of the merger. These estimates are subject to certain inputs, which include, but are not limited to, (i) the assumption that AVROBIO’s net cash at the Closing will be approximately $65.0 million, (ii) the proposed one-for-ten reverse stock split of AVROBIO common stock, and (iii) aggregate proceeds from the Private Financing Transactions (defined below) of $130.7 million. Tectonic Management does not currently expect the proceeds received from the Private Financing Transactions to change from the assumed $130.7 million. The following table summarizes the pro forma number of shares of common stock of the combined company outstanding following the consummation of the Transactions for the estimated range of AVROBIO net cash at Closing. Management currently anticipates that AVROBIO’s net cash as of the Closing will be approximately $65.0 million to $75.0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3403"/>
        <w:gridCol w:w="120"/>
        <w:gridCol w:w="92"/>
        <w:gridCol w:w="1572"/>
        <w:gridCol w:w="78"/>
        <w:gridCol w:w="156"/>
        <w:gridCol w:w="156"/>
        <w:gridCol w:w="989"/>
        <w:gridCol w:w="275"/>
        <w:gridCol w:w="60"/>
        <w:gridCol w:w="89"/>
        <w:gridCol w:w="1546"/>
        <w:gridCol w:w="76"/>
        <w:gridCol w:w="153"/>
        <w:gridCol w:w="156"/>
        <w:gridCol w:w="989"/>
        <w:gridCol w:w="295"/>
      </w:tblGrid>
      <w:tr>
        <w:trPr/>
        <w:tc>
          <w:tcPr>
            <w:tcW w:w="3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40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Pro Forma</w:t>
              <w:br/>
              <w:t>(Assuming AVROBIO Net</w:t>
              <w:br/>
              <w:t>Cash at Closing of</w:t>
              <w:br/>
              <w:t>$65.0 Million)</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Assuming AVROBIO Net</w:t>
              <w:br/>
              <w:t>Cash at Closing of</w:t>
              <w:br/>
              <w:t>$75.0 Million</w:t>
            </w:r>
          </w:p>
        </w:tc>
        <w:tc>
          <w:tcPr>
            <w:tcW w:w="295" w:type="dxa"/>
            <w:tcBorders/>
            <w:vAlign w:val="center"/>
          </w:tcPr>
          <w:p>
            <w:pPr>
              <w:pStyle w:val="TableContents"/>
              <w:bidi w:val="0"/>
              <w:spacing w:before="0" w:after="283"/>
              <w:jc w:val="left"/>
              <w:rPr/>
            </w:pPr>
            <w:r>
              <w:rPr/>
              <w:t> </w:t>
            </w:r>
          </w:p>
        </w:tc>
      </w:tr>
      <w:tr>
        <w:trPr/>
        <w:tc>
          <w:tcPr>
            <w:tcW w:w="340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Capitalization Summary Upon Consummation of the Merger</w:t>
            </w:r>
          </w:p>
        </w:tc>
        <w:tc>
          <w:tcPr>
            <w:tcW w:w="120" w:type="dxa"/>
            <w:tcBorders/>
            <w:vAlign w:val="center"/>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Owned</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Ownership</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Owned</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Ownership</w:t>
            </w:r>
          </w:p>
        </w:tc>
        <w:tc>
          <w:tcPr>
            <w:tcW w:w="295" w:type="dxa"/>
            <w:tcBorders/>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Tectonic stockholders (1)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7,045,695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6,276,338</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35</w:t>
            </w:r>
          </w:p>
        </w:tc>
        <w:tc>
          <w:tcPr>
            <w:tcW w:w="295" w:type="dxa"/>
            <w:tcBorders/>
            <w:shd w:fill="CCEEFF" w:val="cle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 stockholders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right"/>
              <w:rPr/>
            </w:pPr>
            <w:r>
              <w:rPr/>
              <w:t>4,555,562</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4,555,562</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26</w:t>
            </w:r>
          </w:p>
        </w:tc>
        <w:tc>
          <w:tcPr>
            <w:tcW w:w="295" w:type="dxa"/>
            <w:tcBorders/>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Company SAFEs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2,049,253</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1,825,485</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10</w:t>
            </w:r>
          </w:p>
        </w:tc>
        <w:tc>
          <w:tcPr>
            <w:tcW w:w="295" w:type="dxa"/>
            <w:tcBorders/>
            <w:shd w:fill="CCEEFF" w:val="cle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Subscription Agreements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right"/>
              <w:rPr/>
            </w:pPr>
            <w:r>
              <w:rPr/>
              <w:t>5,800,965</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46" w:type="dxa"/>
            <w:tcBorders/>
            <w:vAlign w:val="center"/>
          </w:tcPr>
          <w:p>
            <w:pPr>
              <w:pStyle w:val="TableContents"/>
              <w:bidi w:val="0"/>
              <w:spacing w:before="0" w:after="283"/>
              <w:jc w:val="right"/>
              <w:rPr/>
            </w:pPr>
            <w:r>
              <w:rPr/>
              <w:t>5,167,527</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29</w:t>
            </w:r>
          </w:p>
        </w:tc>
        <w:tc>
          <w:tcPr>
            <w:tcW w:w="295" w:type="dxa"/>
            <w:tcBorders/>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72"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single" w:sz="2" w:space="1" w:color="000000"/>
              </w:pBdr>
              <w:bidi w:val="0"/>
              <w:spacing w:before="0" w:after="0"/>
              <w:jc w:val="left"/>
              <w:rPr/>
            </w:pPr>
            <w:r>
              <w:rPr/>
              <w:t> </w:t>
            </w:r>
          </w:p>
        </w:tc>
        <w:tc>
          <w:tcPr>
            <w:tcW w:w="1546"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72" w:type="dxa"/>
            <w:tcBorders/>
            <w:shd w:fill="CCEEFF" w:val="clear"/>
            <w:vAlign w:val="center"/>
          </w:tcPr>
          <w:p>
            <w:pPr>
              <w:pStyle w:val="TableContents"/>
              <w:bidi w:val="0"/>
              <w:spacing w:before="0" w:after="283"/>
              <w:jc w:val="right"/>
              <w:rPr/>
            </w:pPr>
            <w:r>
              <w:rPr/>
              <w:t>19,451,475</w:t>
            </w:r>
          </w:p>
        </w:tc>
        <w:tc>
          <w:tcPr>
            <w:tcW w:w="7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17,824,912</w:t>
            </w:r>
          </w:p>
        </w:tc>
        <w:tc>
          <w:tcPr>
            <w:tcW w:w="76"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100</w:t>
            </w:r>
          </w:p>
        </w:tc>
        <w:tc>
          <w:tcPr>
            <w:tcW w:w="295" w:type="dxa"/>
            <w:tcBorders/>
            <w:shd w:fill="CCEEFF" w:val="clear"/>
            <w:vAlign w:val="center"/>
          </w:tcPr>
          <w:p>
            <w:pPr>
              <w:pStyle w:val="TableContents"/>
              <w:bidi w:val="0"/>
              <w:spacing w:before="0" w:after="283"/>
              <w:jc w:val="left"/>
              <w:rPr/>
            </w:pPr>
            <w:r>
              <w:rPr/>
              <w:t>% </w:t>
            </w:r>
          </w:p>
        </w:tc>
      </w:tr>
      <w:tr>
        <w:trPr/>
        <w:tc>
          <w:tcPr>
            <w:tcW w:w="34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72"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pBdr>
                <w:top w:val="double" w:sz="6" w:space="1" w:color="000000"/>
              </w:pBdr>
              <w:bidi w:val="0"/>
              <w:spacing w:before="0" w:after="0"/>
              <w:jc w:val="left"/>
              <w:rPr/>
            </w:pPr>
            <w:r>
              <w:rPr/>
              <w:t> </w:t>
            </w:r>
          </w:p>
        </w:tc>
        <w:tc>
          <w:tcPr>
            <w:tcW w:w="1546"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pro forma assumption that AVROBIO net cash at Closing will be $65.0 million, shares of common stock of the combined company expected to be received by former Tectonic stockholders include 16,057 shares that are subject to vesting conditions, based on the number of shares of Tectonic Restricted Stock on the date of this proxy statement/prospectus and the preliminary estimated Exchange Ratio of 0.74. Assuming AVROBIO net cash at Closing of $75.0 million, 14,304 shares of common stock of the combined company expected to be received by former Tectonic stockholders will be subject to the vesting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Assuming AVROBIO net cash at Closing of $75.0 million, the pro forma combined basic and diluted net loss per share for the year ended December 31, 2023 would be $(2.64).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subject to certain closing conditions, including, among other things, (1) approval by AVROBIO stockholders, including approval to amend AVROBIO’s certificate of incorporation to effect the proposed one-for-ten reverse stock split of AVROBIO common stock, (2) approval by the requisite Tectonic stockholders of the adoption and approval of the Merger Agreement and the transactions contemplated thereby, (3) Nasdaq’s approval of the listing of the shares of AVROBIO common stock to be issued in connection with the merger and (4) the effectiveness of a registration statement filed with the SEC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for AVROBIO employees include entitlement to change in control payments for certain executives, and severance and retention bonus payments for certain non-executives, the aggregate of which will be treated as pre-merger compensation expense of AVROBIO and will be reflected as an increase to accrued expenses of AVROBIO, which will be assumed by the combined company at Closing. Prior to the Closing, AVROBIO also discontinued its research and development activities and terminated and/or expired its leases. Additionally, AVROBIO’s current Directors &amp; Officers (D&amp;O) policy will be fully utilized at Closing. </w:t>
      </w:r>
    </w:p>
    <w:p>
      <w:pPr>
        <w:pStyle w:val="TextBody"/>
        <w:bidi w:val="0"/>
        <w:spacing w:before="360" w:after="0"/>
        <w:jc w:val="left"/>
        <w:rPr>
          <w:rFonts w:ascii="Times New Roman" w:hAnsi="Times New Roman"/>
          <w:i/>
          <w:sz w:val="20"/>
        </w:rPr>
      </w:pPr>
      <w:r>
        <w:rPr>
          <w:rFonts w:ascii="Times New Roman" w:hAnsi="Times New Roman"/>
          <w:i/>
          <w:sz w:val="20"/>
        </w:rPr>
        <w:t xml:space="preserve">Private Financing Transactions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parties have entered into certain subscription agreements (the “Subscription Agreements”) with Tectonic to purchase, prior to the consummation of the merger, approximately 7,790,889 shares of Tectonic common stock at a purchase price of $12.40 per share for an aggregate purchase price of approximately $96.6 million. Shares of Tectonic common stock issued pursuant to the Subscription Agreements will be converted into shares of AVROBIO common stock at the Closing based on the Exchange Ratio, pursuant to the Merger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Company SAFEs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to December 2023, Tectonic entered into various simple agreements for future equity (the “Company SAFEs”) with existing investors, who are also related parties of Tectonic and received $34.1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representing the aggregate purchase amount. Tectonic accounts for the Company SAFEs as a liability pursuant to Accounting Standards Codification 480, </w:t>
      </w:r>
      <w:r>
        <w:rPr>
          <w:rFonts w:ascii="Times New Roman" w:hAnsi="Times New Roman"/>
          <w:i/>
          <w:sz w:val="20"/>
        </w:rPr>
        <w:t xml:space="preserve">Distinguishing Liabilities from Equity. </w:t>
      </w:r>
      <w:r>
        <w:rPr>
          <w:rFonts w:ascii="Times New Roman" w:hAnsi="Times New Roman"/>
          <w:sz w:val="20"/>
        </w:rPr>
        <w:t xml:space="preserve">The Company SAFEs were initially measured at their fair value upon issuance. In addition, until redemption, the Company SAFEs are measured at fair value on a recurring basis with subsequent changes in fair value recorded in the Tectonic’s statement of operations and comprehensive loss. Under the terms of the Company SAFEs, in the event of a public listing transaction such as on initial public offering or a reverse merger with a public company, the Company SAFEs will be redeemed through delivery of a variable number of shares of Tectonic common stock determined by dividing the Company SAFEs purchase amount by the offering or conversion price in the respective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from the private financing transactions (the Subscription Agreements and the Company SAFEs) is approximately $130.7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AVROBIO and its designated rights agent will enter into a Contingent Value Rights Agreement (the “CVR Agreement”). Pursuant to the CVR Agreement, each holder of AVROBIO common stock immediately prior to the effective time, will be entitled to receive a contractual contingent value right (“CVR”) subject to and in accordance with the terms and conditions of the CVR Agreement, representing the contractual right to receive a pro rata portion of 80% of the net proceeds, if any, as a result of an AVROBIO disposition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CVRs represent contingent consideration in the merger, however the unaudited pro forma condensed combined financial information does not include the fair value of contingent consideration related to the CVRs as the fair value of the CVRs is expected to be nominal at Closing.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215"/>
        <w:gridCol w:w="1850"/>
      </w:tblGrid>
      <w:tr>
        <w:trPr/>
        <w:tc>
          <w:tcPr>
            <w:tcW w:w="215" w:type="dxa"/>
            <w:tcBorders/>
            <w:vAlign w:val="center"/>
          </w:tcPr>
          <w:p>
            <w:pPr>
              <w:pStyle w:val="TableContents"/>
              <w:bidi w:val="0"/>
              <w:spacing w:before="0" w:after="283"/>
              <w:jc w:val="left"/>
              <w:rPr>
                <w:b/>
              </w:rPr>
            </w:pPr>
            <w:r>
              <w:rPr>
                <w:b/>
              </w:rPr>
              <w:t>2.</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is prepared in accordance with Article 11 of SEC Regulation S-X. The adjustments presented in the unaudited pro forma condensed combined financial information have been identified and presented to provide relevant information necessary for an understanding of the combined company upon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cash used in AVROBIO’s operations, and (iii) other changes in AVROBIO’s assets and liabilities, which are expected to be completed after the Closing, and these differences could have a material impact on the accompanying unaudited pro forma condensed combined financial information and the combined company’s future results of operations and financial position.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283"/>
              <w:jc w:val="left"/>
              <w:rPr>
                <w:b/>
              </w:rPr>
            </w:pPr>
            <w:r>
              <w:rPr>
                <w:b/>
              </w:rPr>
              <w:t>3.</w:t>
            </w:r>
          </w:p>
        </w:tc>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the accompanying unaudited pro forma combined financial information, Management was not aware of any material differences between Tectonic’s accounting policies and the accounting policies of AVROBIO. Following the consummation of the merger, Tectonic will conduct a more detailed review of AVROBIO’s accounting policies. As a result, Tectonic may identify differences between the accounting policies of the two companies that, when conformed, could have had a material impact on the accompanying unaudited pro forma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2545" w:type="dxa"/>
        <w:jc w:val="left"/>
        <w:tblInd w:w="0" w:type="dxa"/>
        <w:tblLayout w:type="fixed"/>
        <w:tblCellMar>
          <w:top w:w="0" w:type="dxa"/>
          <w:left w:w="0" w:type="dxa"/>
          <w:bottom w:w="0" w:type="dxa"/>
          <w:right w:w="0" w:type="dxa"/>
        </w:tblCellMar>
      </w:tblPr>
      <w:tblGrid>
        <w:gridCol w:w="215"/>
        <w:gridCol w:w="2330"/>
      </w:tblGrid>
      <w:tr>
        <w:trPr/>
        <w:tc>
          <w:tcPr>
            <w:tcW w:w="215" w:type="dxa"/>
            <w:tcBorders/>
            <w:vAlign w:val="center"/>
          </w:tcPr>
          <w:p>
            <w:pPr>
              <w:pStyle w:val="TableContents"/>
              <w:bidi w:val="0"/>
              <w:spacing w:before="0" w:after="283"/>
              <w:jc w:val="left"/>
              <w:rPr>
                <w:b/>
              </w:rPr>
            </w:pPr>
            <w:r>
              <w:rPr>
                <w:b/>
              </w:rPr>
              <w:t>4.</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for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will be accounted for under U.S. generally accepted accounting principles (“GAAP”) as an in-substance reverse recapitalization of AVROBIO by Tectonic. Under this method of accounting, Tectonic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75"/>
        <w:gridCol w:w="110"/>
        <w:gridCol w:w="60"/>
        <w:gridCol w:w="8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stockholders will own a substantial majority of the voting rights in the combined company;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largest stockholder will retain the largest interest in the combined company;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 will designate a majority of the initial members of the board of directors of the combined company;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Tectonic’s executive management team will become the management of the combined company; and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Tectonic Therapeutic, Inc. and will be headquartered in Massachusetts.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Tectonic being treated as the accounting acquirer, Tectonic’s assets and liabilities will be recorded at their pre-combination carrying amounts. AVROBIO’s assets and liabilities will be measured and recognized at their fair values as of the effective time, which are expected to approximate the carrying value of the acquired cash and other non-operating assets, with no goodwill or other intangible assets recorded. Any difference between the consideration transferred and the fair value of the net assets of AVROBIO following the determination of the actual consideration transferred for AVROBIO will be reflected as an adjustment to additional paid-in capital. For periods prior to Closing, the historical financial statements of Tectonic shall become the historical financial statements of the combined company.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Preliminary Estimated Consideration Transferred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estimated preliminary purchase price, which represents the consideration transferred to AVROBIO stockholders in the merger, is calculated based on the fair value of the common stock of the combined company that AVROBIO stockholders will own as of the Closing of the Transaction because, with no active trading market for shares of Tectonic, the fair value of the AVROBIO common stock represents a more reliable measure of the fair value of consideration transferred in the merger. Accordingly, the accompanying unaudited pro forma combined financial information reflects an estimated preliminary purchase price of approximately $59.9 million. The following summarizes the preliminary estimate of the purchase price to be paid in the merger, after giving effect to the proposed one-for-ten reverse stock split of AVROBIO common stock (in thousands, except share and per share amounts): </w:t>
      </w:r>
    </w:p>
    <w:p>
      <w:pPr>
        <w:pStyle w:val="TextBody"/>
        <w:bidi w:val="0"/>
        <w:spacing w:before="0" w:after="0"/>
        <w:jc w:val="left"/>
        <w:rPr/>
      </w:pPr>
      <w:r>
        <w:rPr/>
        <w:t> </w:t>
      </w:r>
    </w:p>
    <w:tbl>
      <w:tblPr>
        <w:tblW w:w="10035" w:type="dxa"/>
        <w:jc w:val="left"/>
        <w:tblInd w:w="0" w:type="dxa"/>
        <w:tblLayout w:type="fixed"/>
        <w:tblCellMar>
          <w:top w:w="0" w:type="dxa"/>
          <w:left w:w="0" w:type="dxa"/>
          <w:bottom w:w="0" w:type="dxa"/>
          <w:right w:w="0" w:type="dxa"/>
        </w:tblCellMar>
      </w:tblPr>
      <w:tblGrid>
        <w:gridCol w:w="8720"/>
        <w:gridCol w:w="120"/>
        <w:gridCol w:w="140"/>
        <w:gridCol w:w="980"/>
        <w:gridCol w:w="75"/>
      </w:tblGrid>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number of common shares of the combined company to be owned by AVROBIO stockholders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4,539,525</w:t>
            </w:r>
          </w:p>
        </w:tc>
        <w:tc>
          <w:tcPr>
            <w:tcW w:w="75"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Multiplied by the estimated fair value per share of AVROBIO common stock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13.00</w:t>
            </w:r>
          </w:p>
        </w:tc>
        <w:tc>
          <w:tcPr>
            <w:tcW w:w="75" w:type="dxa"/>
            <w:tcBorders/>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59,014</w:t>
            </w:r>
          </w:p>
        </w:tc>
        <w:tc>
          <w:tcPr>
            <w:tcW w:w="75"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fair value of assumed AVROBIO stock-based awards based on pre-merger service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923</w:t>
            </w:r>
          </w:p>
        </w:tc>
        <w:tc>
          <w:tcPr>
            <w:tcW w:w="75" w:type="dxa"/>
            <w:tcBorders/>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estimated purchase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59,937</w:t>
            </w:r>
          </w:p>
        </w:tc>
        <w:tc>
          <w:tcPr>
            <w:tcW w:w="75" w:type="dxa"/>
            <w:tcBorders/>
            <w:shd w:fill="CCEEFF" w:val="clear"/>
            <w:vAlign w:val="center"/>
          </w:tcPr>
          <w:p>
            <w:pPr>
              <w:pStyle w:val="TableContents"/>
              <w:bidi w:val="0"/>
              <w:spacing w:before="0" w:after="283"/>
              <w:jc w:val="left"/>
              <w:rPr/>
            </w:pPr>
            <w:r>
              <w:rPr/>
              <w:t> </w:t>
            </w:r>
          </w:p>
        </w:tc>
      </w:tr>
      <w:tr>
        <w:trPr/>
        <w:tc>
          <w:tcPr>
            <w:tcW w:w="8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final purchase price will be determined based on the number of shares of AVROBIO common stock that AVROBIO stockholders own immediately prior to the closing of the merger. For purposes of this unaudited pro forma condensed combined financial information, the estimated number of shares, after giving effect to the proposed one-for-ten reverse stock split of AVROBIO common stock, represents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4,465,374 shares of AVROBIO common stock outstanding as of December 31, 2023, 22,409 shares of AVROBIO common stock issued subsequent to December 31, 2023 and 51,742 unvested RSUs outstanding as of the date of this proxy statement/prospectus which will become vested in full upon the closing of the merger in accordance with the terms of the original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preliminary purchase price is based on the closing price of AVROBIO common stock on the Nasdaq Global Market on March 15, 2024, and adjusted to give effect to the proposed one-for-ten reverse stock split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estimated acquisition-date fair value of the assumed AVROBIO equity awards attributable to pre-merger service expected to be outstanding as of the effective time. This is included as an adjustment to the unaudited pro forma condensed combined balance sheet by crediting and debiting additional paid-in capital, resulting in no impact to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actual purchase price for the net assets of AVROBIO will vary based on, among other things, the net cash calculation prior to Closing, the exchange ratio and the AVROBIO share price at Closing. As such, the estimated purchase price consideration reflected in the unaudited pro forma condensed combined financial information does not purport to represent what the actual purchase price consideration will be when the merger is completed. The actual purchase price will fluctuate until the effective time, and the final valuation of the purchase price consideration could differ significantly from the current estimate.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15"/>
        <w:gridCol w:w="8210"/>
      </w:tblGrid>
      <w:tr>
        <w:trPr/>
        <w:tc>
          <w:tcPr>
            <w:tcW w:w="215" w:type="dxa"/>
            <w:tcBorders/>
            <w:vAlign w:val="center"/>
          </w:tcPr>
          <w:p>
            <w:pPr>
              <w:pStyle w:val="TableContents"/>
              <w:bidi w:val="0"/>
              <w:spacing w:before="0" w:after="283"/>
              <w:jc w:val="left"/>
              <w:rPr>
                <w:b/>
              </w:rPr>
            </w:pPr>
            <w:r>
              <w:rPr>
                <w:b/>
              </w:rPr>
              <w:t>5.</w:t>
            </w:r>
          </w:p>
        </w:tc>
        <w:tc>
          <w:tcPr>
            <w:tcW w:w="8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of AVROBIO Common Stock Issued to Tectonic Stockholders upon Closing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Closing, all outstanding shares of Tectonic common stock (including shares of Tectonic common stock issued upon conversion of Tectonic convertible preferred stock and shares of Tectonic common stock issued in connection with the Subscription Agreements and Company SAFEs) will be exchanged for shares of AVROBIO common stock based on the preliminary estimated Exchange Ratio of 0.74, determined in accordance with the terms of the Merger Agreement and after giving effect to the proposed one-for-ten reverse stock split of AVROBIO common stock. The estimated number of shares of AVROBIO common stock that AVROBIO expects to issue to Tectonic’s stockholders assumes AVROBIO’s net cash at Closing is $65.0 million and is determined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50"/>
        <w:gridCol w:w="120"/>
        <w:gridCol w:w="60"/>
        <w:gridCol w:w="1100"/>
        <w:gridCol w:w="75"/>
      </w:tblGrid>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Tectonic common stock outstanding as of December 31, 2023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2,634,246</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 stock option exercises subsequent to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2,874</w:t>
            </w:r>
          </w:p>
        </w:tc>
        <w:tc>
          <w:tcPr>
            <w:tcW w:w="75" w:type="dxa"/>
            <w:tcBorders/>
            <w:vAlign w:val="center"/>
          </w:tcPr>
          <w:p>
            <w:pPr>
              <w:pStyle w:val="TableContents"/>
              <w:bidi w:val="0"/>
              <w:spacing w:before="0" w:after="283"/>
              <w:jc w:val="left"/>
              <w:rPr/>
            </w:pPr>
            <w:r>
              <w:rPr/>
              <w:t> </w:t>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Tectonic common stock to be issued upon conversion of Tectonic convertible preferred stock, see Note 6(d)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Tectonic common stock to be issued in connection with the Subscription Agreements, see Note 6(e)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7,790,889</w:t>
            </w:r>
          </w:p>
        </w:tc>
        <w:tc>
          <w:tcPr>
            <w:tcW w:w="75" w:type="dxa"/>
            <w:tcBorders/>
            <w:vAlign w:val="center"/>
          </w:tcPr>
          <w:p>
            <w:pPr>
              <w:pStyle w:val="TableContents"/>
              <w:bidi w:val="0"/>
              <w:spacing w:before="0" w:after="283"/>
              <w:jc w:val="left"/>
              <w:rPr/>
            </w:pPr>
            <w:r>
              <w:rPr/>
              <w:t> </w:t>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Tectonic common stock to be issued upon redemption of the Company SAFEs, see Note 6(f)</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2,752,216</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Tectonic common shares outstanding prior to the closing of the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20,005,708</w:t>
            </w:r>
          </w:p>
        </w:tc>
        <w:tc>
          <w:tcPr>
            <w:tcW w:w="75" w:type="dxa"/>
            <w:tcBorders/>
            <w:vAlign w:val="center"/>
          </w:tcPr>
          <w:p>
            <w:pPr>
              <w:pStyle w:val="TableContents"/>
              <w:bidi w:val="0"/>
              <w:spacing w:before="0" w:after="283"/>
              <w:jc w:val="left"/>
              <w:rPr/>
            </w:pPr>
            <w:r>
              <w:rPr/>
              <w:t> </w:t>
            </w:r>
          </w:p>
        </w:tc>
      </w:tr>
      <w:tr>
        <w:trPr/>
        <w:tc>
          <w:tcPr>
            <w:tcW w:w="8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0.74</w:t>
            </w:r>
          </w:p>
        </w:tc>
        <w:tc>
          <w:tcPr>
            <w:tcW w:w="75" w:type="dxa"/>
            <w:tcBorders/>
            <w:shd w:fill="CCEEFF" w:val="clear"/>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Estimated shares of AVROBIO common stock expected to be issued to Tectonic stockholders </w:t>
              <w:br/>
              <w:t>upon closing of the merger (2)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14,895,913</w:t>
            </w:r>
          </w:p>
        </w:tc>
        <w:tc>
          <w:tcPr>
            <w:tcW w:w="75" w:type="dxa"/>
            <w:tcBorders/>
            <w:vAlign w:val="center"/>
          </w:tcPr>
          <w:p>
            <w:pPr>
              <w:pStyle w:val="TableContents"/>
              <w:bidi w:val="0"/>
              <w:spacing w:before="0" w:after="283"/>
              <w:jc w:val="left"/>
              <w:rPr/>
            </w:pPr>
            <w:r>
              <w:rPr/>
              <w:t> </w:t>
            </w:r>
          </w:p>
        </w:tc>
      </w:tr>
      <w:tr>
        <w:trPr/>
        <w:tc>
          <w:tcPr>
            <w:tcW w:w="8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Tectonic common stock outstanding include 35,494 shares of unvested Tectonic Restricted Stock as of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shares of AVROBIO common stock expected to be issued to Tectonic stockholders at Closing, including 16,057 shares of AVROBIO common stock subject to the same vesting conditions, based on 21,565 shares of Tectonic Restricted Stock on the date of this proxy statement/prospectus and the preliminary estimated Exchange Ratio of 0.74.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merger, AVROBIO will assume all of the outstanding options to acquire Tectonic common stock and such stock options will become exercisable for shares of AVROBIO common stock following the merger.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215"/>
        <w:gridCol w:w="8435"/>
      </w:tblGrid>
      <w:tr>
        <w:trPr/>
        <w:tc>
          <w:tcPr>
            <w:tcW w:w="215" w:type="dxa"/>
            <w:tcBorders/>
            <w:vAlign w:val="center"/>
          </w:tcPr>
          <w:p>
            <w:pPr>
              <w:pStyle w:val="TableContents"/>
              <w:bidi w:val="0"/>
              <w:spacing w:before="0" w:after="283"/>
              <w:jc w:val="left"/>
              <w:rPr>
                <w:b/>
              </w:rPr>
            </w:pPr>
            <w:r>
              <w:rPr>
                <w:b/>
              </w:rPr>
              <w:t>6.</w:t>
            </w:r>
          </w:p>
        </w:tc>
        <w:tc>
          <w:tcPr>
            <w:tcW w:w="84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Balance Sheet as of December 31,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485"/>
        <w:gridCol w:w="7550"/>
      </w:tblGrid>
      <w:tr>
        <w:trPr/>
        <w:tc>
          <w:tcPr>
            <w:tcW w:w="485" w:type="dxa"/>
            <w:tcBorders/>
            <w:vAlign w:val="center"/>
          </w:tcPr>
          <w:p>
            <w:pPr>
              <w:pStyle w:val="TableContents"/>
              <w:bidi w:val="0"/>
              <w:spacing w:before="0" w:after="283"/>
              <w:jc w:val="left"/>
              <w:rPr/>
            </w:pPr>
            <w:r>
              <w:rPr/>
              <w:t>6(A)</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balance sheet of AVROBIO as of December 31, 2023.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470"/>
        <w:gridCol w:w="7400"/>
      </w:tblGrid>
      <w:tr>
        <w:trPr/>
        <w:tc>
          <w:tcPr>
            <w:tcW w:w="470" w:type="dxa"/>
            <w:tcBorders/>
            <w:vAlign w:val="center"/>
          </w:tcPr>
          <w:p>
            <w:pPr>
              <w:pStyle w:val="TableContents"/>
              <w:bidi w:val="0"/>
              <w:spacing w:before="0" w:after="283"/>
              <w:jc w:val="left"/>
              <w:rPr/>
            </w:pPr>
            <w:r>
              <w:rPr/>
              <w:t>6(B)</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balance sheet of Tectonic as of December 31,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Balance Sheet Transaction Accounting Adjustments: </w:t>
      </w:r>
    </w:p>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410"/>
        <w:gridCol w:w="7325"/>
      </w:tblGrid>
      <w:tr>
        <w:trPr/>
        <w:tc>
          <w:tcPr>
            <w:tcW w:w="410" w:type="dxa"/>
            <w:tcBorders/>
            <w:vAlign w:val="center"/>
          </w:tcPr>
          <w:p>
            <w:pPr>
              <w:pStyle w:val="TableContents"/>
              <w:bidi w:val="0"/>
              <w:spacing w:before="0" w:after="283"/>
              <w:jc w:val="left"/>
              <w:rPr/>
            </w:pPr>
            <w:r>
              <w:rPr/>
              <w:t>6(a)</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exercise of 2,874 Tectonic stock options subsequent to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6(b)</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AVROBIO’s common stock activity subsequent to December 31, 2023, including the exercise of 2,835 stock options, release of 19,097 RSUs and the issuance of 477 shares under AVROBIO’s 2018 Employee Stock Purchase Plan, after giving effect to the proposed one-for-ten reverse stock split of AVROBIO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incremental compensation expense of $4.2 million related to severance, retention bonuses and change in control payments resulting from pre-existing employment agreements or from approval from AVROBIO’s board of directors that is expected to be incurred upon closing of the merger. The pro forma adjustment is reflected as a decrease in cash of $3.1 million for the severance and retention bonuses payments made subsequent to December 31, 2023, an increase in accrued expenses of $1.1 million for the remaining amounts to be paid subsequent to the Closing, and an increase to accumulated deficit of $4.2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6(d)</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automatic conversion, on a one-to-one basis, of all outstanding shares of Tectonic convertible preferred stock, with a carrying amount of $80.6 million, into 6,825,483 shares of Tectonic common stock immediately prior to the merger. Tectonic convertible preferred stock outstanding is comprised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70"/>
        <w:gridCol w:w="120"/>
        <w:gridCol w:w="60"/>
        <w:gridCol w:w="980"/>
        <w:gridCol w:w="75"/>
      </w:tblGrid>
      <w:tr>
        <w:trPr/>
        <w:tc>
          <w:tcPr>
            <w:tcW w:w="8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Tectonic Convertible Preferred Stock</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4,118,120</w:t>
            </w:r>
          </w:p>
        </w:tc>
        <w:tc>
          <w:tcPr>
            <w:tcW w:w="75" w:type="dxa"/>
            <w:tcBorders/>
            <w:shd w:fill="CCEEFF" w:val="clear"/>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1,649,188</w:t>
            </w:r>
          </w:p>
        </w:tc>
        <w:tc>
          <w:tcPr>
            <w:tcW w:w="75" w:type="dxa"/>
            <w:tcBorders/>
            <w:vAlign w:val="center"/>
          </w:tcPr>
          <w:p>
            <w:pPr>
              <w:pStyle w:val="TableContents"/>
              <w:bidi w:val="0"/>
              <w:spacing w:before="0" w:after="283"/>
              <w:jc w:val="left"/>
              <w:rPr/>
            </w:pPr>
            <w:r>
              <w:rPr/>
              <w:t> </w:t>
            </w:r>
          </w:p>
        </w:tc>
      </w:tr>
      <w:tr>
        <w:trPr/>
        <w:tc>
          <w:tcPr>
            <w:tcW w:w="8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696,516</w:t>
            </w:r>
          </w:p>
        </w:tc>
        <w:tc>
          <w:tcPr>
            <w:tcW w:w="75" w:type="dxa"/>
            <w:tcBorders/>
            <w:shd w:fill="CCEEFF" w:val="clear"/>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361,659</w:t>
            </w:r>
          </w:p>
        </w:tc>
        <w:tc>
          <w:tcPr>
            <w:tcW w:w="75" w:type="dxa"/>
            <w:tcBorders/>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Tectonic convertible preferred stock converted to shares of Tectonic common stock immediately prior to the merger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8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6(e)</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issuance of 7,790,889 shares of Tectonic common stock pursuant to the Subscription Agreements entered into concurrently with the execution of the Merger Agreement, for an aggregate purchase price of $96.6 million. The proceeds received in connection with the Subscription Agreements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recorded net of transaction costs deemed to be direct and incremental costs of the equity financing in the amount of approximately $2.0 million. The issuance of shares in connection with the Subscription Agreements are recorded as the issuance of Tectonic common stock at par value, with the remaining amount recorded to additional paid-in-capital.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6(f)</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pursuant to the terms of the Company SAFEs, the automatic redemption of the principal balance of the Company SAFEs of $34.1 million, in the event of a public listing transaction, into 2,752,216 shares of Tectonic common stock at the estimated conversion price of $12.40 per share immediately prior to the closing of the merger, and the change in fair value of the SAFE liabilities of $3.6 million immediately prior to the redemption, which represents the difference between principal balance and the fair value of the Company SAFEs as of December 31, 2023, as an increase to accumulated deficit. The redemption is recorded as the issuance of Tectonic common stock at par value, with the remaining amount recorded to additional paid-in-capital.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6(g)</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transaction costs of $7.5 million that are expected to be incurred by Tectonic in connection with the merger, such as advisory, legal and auditor fees, as an increase in accrued expenses of $6.8 million for transaction costs not yet reflected in the historical financial statements, the derecognition of the deferred offering costs of $0.7 million included in the historical financial statements, and a reduction to additional paid-in capital of $7.5 million in the unaudited pro forma condensed combined balance sheet. As the merger will be accounted for as a reverse recapitalization equivalent to the issuance of equity for the net assets, primarily cash, of AVROBIO, these direct and incremental costs are treated as a reduction of the net proceeds received within additional paid-in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6(h)</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transaction costs of $7.1 million, not yet reflected in the historical financial statements, which are expected to be incurred by AVROBIO in connection with the merger, such as advisory, legal and auditor fees and including the estimated $2.5 million cost of a D&amp;O tail policy, as an increase in accrued expenses and accumulated deficit in the unaudited pro forma condensed combined balance sheet.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6(i)</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derecognize $1.4 million of AVROBIO’s prepaid expenses consisting of $0.6 million of prepaid research and development expenses related to discontinued research and development activities and $0.8 million of prepaid insurance primarily related to the current AVROBIO’s D&amp;O policy that will be fully utilized at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6(j)</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derecognition of AVROBIO’s operating leases that will be terminated or expire prior to the closing of the merger. The operating lease right-of-use assets of $0.4 million and related operating lease liabilities of $0.9 million, will be derecognized, resulting in a $0.5 million gain on termination of 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6(k)</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$0.7 million of AVROBIO’s restricted cash, consisting of cash used to secure letters of credit in connection with AVROBIO’s lease agreements and corporate credit card program that will be terminated prior to the closing of the merger, to cash and cash equivalents.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6(l)</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recapitalization of Tectonic, pursuant to the Merger Agreement, through the contribution of 20,005,708 shares of Tectonic common stock (see Note 5), and the issuance of 14,895,913 shares of AVROBIO common stock, reflecting the estimated Exchange Ratio of 0.74 after giving effect to the proposed one-for-ten reverse stock split of AVROBIO common stock, and to reflect the derecognition of the accumulated deficit of AVROBIO which is reversed to additional paid-in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derecognition of accumulated deficit of AVROBIO of $489.5 million is determined as follows (in thousands): </w:t>
      </w:r>
    </w:p>
    <w:p>
      <w:pPr>
        <w:pStyle w:val="TextBody"/>
        <w:bidi w:val="0"/>
        <w:spacing w:before="0" w:after="0"/>
        <w:jc w:val="left"/>
        <w:rPr/>
      </w:pPr>
      <w:r>
        <w:rPr/>
        <w:t> </w:t>
      </w:r>
    </w:p>
    <w:tbl>
      <w:tblPr>
        <w:tblW w:w="10115" w:type="dxa"/>
        <w:jc w:val="left"/>
        <w:tblInd w:w="0" w:type="dxa"/>
        <w:tblLayout w:type="fixed"/>
        <w:tblCellMar>
          <w:top w:w="0" w:type="dxa"/>
          <w:left w:w="0" w:type="dxa"/>
          <w:bottom w:w="0" w:type="dxa"/>
          <w:right w:w="0" w:type="dxa"/>
        </w:tblCellMar>
      </w:tblPr>
      <w:tblGrid>
        <w:gridCol w:w="8885"/>
        <w:gridCol w:w="120"/>
        <w:gridCol w:w="140"/>
        <w:gridCol w:w="800"/>
        <w:gridCol w:w="170"/>
      </w:tblGrid>
      <w:tr>
        <w:trPr/>
        <w:tc>
          <w:tcPr>
            <w:tcW w:w="8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 of AVROBIO as of 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477,275</w:t>
            </w:r>
          </w:p>
        </w:tc>
        <w:tc>
          <w:tcPr>
            <w:tcW w:w="170"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expense related to severance, retention bonuses and change in control payments, see Note 6(c)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4,200</w:t>
            </w:r>
          </w:p>
        </w:tc>
        <w:tc>
          <w:tcPr>
            <w:tcW w:w="170"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AVROBIO, see Note 6(h)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7,096</w:t>
            </w:r>
          </w:p>
        </w:tc>
        <w:tc>
          <w:tcPr>
            <w:tcW w:w="170"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Derecognition of prepaid research and development and prepaid insurance, see Note 6(i)</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1,388</w:t>
            </w:r>
          </w:p>
        </w:tc>
        <w:tc>
          <w:tcPr>
            <w:tcW w:w="170"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termination of operating leases, see Note 6(j)</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(446</w:t>
            </w:r>
          </w:p>
        </w:tc>
        <w:tc>
          <w:tcPr>
            <w:tcW w:w="170"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adjustment to derecognize the accumulated deficit of AVROBIO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489,513</w:t>
            </w:r>
          </w:p>
        </w:tc>
        <w:tc>
          <w:tcPr>
            <w:tcW w:w="170" w:type="dxa"/>
            <w:tcBorders/>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215"/>
        <w:gridCol w:w="7190"/>
      </w:tblGrid>
      <w:tr>
        <w:trPr/>
        <w:tc>
          <w:tcPr>
            <w:tcW w:w="215" w:type="dxa"/>
            <w:tcBorders/>
            <w:vAlign w:val="center"/>
          </w:tcPr>
          <w:p>
            <w:pPr>
              <w:pStyle w:val="TableContents"/>
              <w:bidi w:val="0"/>
              <w:spacing w:before="0" w:after="283"/>
              <w:jc w:val="left"/>
              <w:rPr>
                <w:b/>
              </w:rPr>
            </w:pPr>
            <w:r>
              <w:rPr>
                <w:b/>
              </w:rPr>
              <w:t>7.</w:t>
            </w:r>
          </w:p>
        </w:tc>
        <w:tc>
          <w:tcPr>
            <w:tcW w:w="7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based on preliminary estimates that could change materially as additional information is obtained,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9"/>
        <w:gridCol w:w="9776"/>
      </w:tblGrid>
      <w:tr>
        <w:trPr/>
        <w:tc>
          <w:tcPr>
            <w:tcW w:w="429" w:type="dxa"/>
            <w:tcBorders/>
            <w:vAlign w:val="center"/>
          </w:tcPr>
          <w:p>
            <w:pPr>
              <w:pStyle w:val="TableContents"/>
              <w:bidi w:val="0"/>
              <w:spacing w:before="0" w:after="283"/>
              <w:jc w:val="left"/>
              <w:rPr/>
            </w:pPr>
            <w:r>
              <w:rPr/>
              <w:t>7(A)</w:t>
            </w:r>
          </w:p>
        </w:tc>
        <w:tc>
          <w:tcPr>
            <w:tcW w:w="9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and comprehensive income (loss) of AVROBIO for the year ended December 31, 2023. </w:t>
            </w:r>
          </w:p>
        </w:tc>
      </w:tr>
    </w:tbl>
    <w:tbl>
      <w:tblPr>
        <w:tblW w:w="10205" w:type="dxa"/>
        <w:jc w:val="left"/>
        <w:tblInd w:w="0" w:type="dxa"/>
        <w:tblLayout w:type="fixed"/>
        <w:tblCellMar>
          <w:top w:w="0" w:type="dxa"/>
          <w:left w:w="0" w:type="dxa"/>
          <w:bottom w:w="0" w:type="dxa"/>
          <w:right w:w="0" w:type="dxa"/>
        </w:tblCellMar>
      </w:tblPr>
      <w:tblGrid>
        <w:gridCol w:w="434"/>
        <w:gridCol w:w="9771"/>
      </w:tblGrid>
      <w:tr>
        <w:trPr/>
        <w:tc>
          <w:tcPr>
            <w:tcW w:w="434" w:type="dxa"/>
            <w:tcBorders/>
            <w:vAlign w:val="center"/>
          </w:tcPr>
          <w:p>
            <w:pPr>
              <w:pStyle w:val="TableContents"/>
              <w:bidi w:val="0"/>
              <w:spacing w:before="0" w:after="283"/>
              <w:jc w:val="left"/>
              <w:rPr/>
            </w:pPr>
            <w:r>
              <w:rPr/>
              <w:t>7(B)</w:t>
            </w:r>
          </w:p>
        </w:tc>
        <w:tc>
          <w:tcPr>
            <w:tcW w:w="97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and comprehensive loss of Tectonic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Tectonic’s history of net losses and valuation allowance, management assumed an effective tax rate of 0%. Therefore, the pro forma adjustments to the unaudited pro forma condensed combined statement of operations resulted in no additional income tax adjustment to the unaudited pro forma condensed combined financial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Statement of Operations Transaction Accounting Adjustments: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7(a)</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preliminary estimated incremental compensation expense related to severance, retention bonuses and change in control payments recorded in research and development expenses of $1.8 million and general and administrative expenses of $2.4 million, resulting from pre-existing employment agreements or from approval from AVROBIO’s board of directors that will be incurred upon Closing assuming that the adjustment described in Note 6(c)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7(b)</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AVROBIO’s estimated advisory, legal, audit and other costs related to the merger, including the estimated cost of a D&amp;O tail policy, that are not recorded in its historical financial statements as an increase to general and administrative expenses in the unaudited pro forma condensed combined statement of operations for the year ended December 31, 2023 assuming that the adjustment described in Note 6(h)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7(c)</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derecognition of AVROBIO’s prepaid research and development expenses of $0.6 million related to discontinued research and development activities, and prepaid insurance of $0.8 million primarily related to the current AVROBIO D&amp;O policy that will be fully utilized at Closing, assuming the adjustment made in Note 6(i) was made on January 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pPr>
            <w:r>
              <w:rPr/>
              <w:t>7(d)</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adjustment of the SAFE liabilities to fair value immediately prior to the redemption of the Company SAFEs, assuming that the adjustment described in Note 6(f)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7(e)</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gain on termination of AVROBIO’s operating leases of $0.5 million, relating to AVROBIO’s operating leases that will be terminated or expire prior to the closing of the merger assuming that the adjustment described in Note 6(j) was made on January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7(f)</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 forma combined basic and diluted net income (loss) per share has been adjusted to reflect the pro forma net loss for the year ended December 31, 2023. In addition, the number of shares used in calculating the pro forma combined basic and diluted net loss per share has been adjusted to reflect the estimated total number of shares of common stock of the combined company for the presenting period, after giving effect to the proposed one-for-ten reverse stock split of AVROBIO common stock. For the year ended December 31, 2023, the pro forma weighted average shares have been calculated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10"/>
        <w:gridCol w:w="120"/>
        <w:gridCol w:w="60"/>
        <w:gridCol w:w="1100"/>
        <w:gridCol w:w="60"/>
        <w:gridCol w:w="120"/>
        <w:gridCol w:w="60"/>
        <w:gridCol w:w="1100"/>
        <w:gridCol w:w="75"/>
      </w:tblGrid>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Basic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Diluted</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weighted-average number of Tectonic common shares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2,373,674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2,373,674</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 stock option exercises subsequent to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2,874</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Impact of Tectonic convertible preferred stock assuming conversion as of January 1, 2023, see Note 6(d)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Impact of Tectonic private financing transactions assuming consummation of the merger as of January 1, 2023, see Note 6(e) and 6(f)</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10,543,105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10,543,105</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19,745,136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19,745,136</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Application of exchange ratio to historical Tectonic weighted-average shares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0.74</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Tectonic weighted-average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14,701,898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14,701,898</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Historical weighted-average number of AVROBIO common shares outstanding, after giving effect to the proposed one-for-ten reverse stock split of AVROBIO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4,432,720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4,456,792</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AVROBIO common stock issued subsequent to December 31, 2023, assuming consummation of the merger as of January 1, 2023, see Note 6(b)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22,409</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awards subject to outstanding AVROBIO RSUs that fully vest upon consummation of the merger (1)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67,779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67,779</w:t>
            </w:r>
          </w:p>
        </w:tc>
        <w:tc>
          <w:tcPr>
            <w:tcW w:w="75" w:type="dxa"/>
            <w:tcBorders/>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common shares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19,224,806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19,248,878</w:t>
            </w:r>
          </w:p>
        </w:tc>
        <w:tc>
          <w:tcPr>
            <w:tcW w:w="75" w:type="dxa"/>
            <w:tcBorders/>
            <w:shd w:fill="CCEEFF" w:val="clear"/>
            <w:vAlign w:val="center"/>
          </w:tcPr>
          <w:p>
            <w:pPr>
              <w:pStyle w:val="TableContents"/>
              <w:bidi w:val="0"/>
              <w:spacing w:before="0" w:after="283"/>
              <w:jc w:val="left"/>
              <w:rPr/>
            </w:pPr>
            <w:r>
              <w:rPr/>
              <w:t> </w:t>
            </w:r>
          </w:p>
        </w:tc>
      </w:tr>
      <w:tr>
        <w:trPr/>
        <w:tc>
          <w:tcPr>
            <w:tcW w:w="7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AVROBIO RSUs expected to be outstanding as of the Closing, after giving effect to the proposed one-for-ten reverse stock split of AVROBIO common stock, including 51,742 RSUs that vest in full immediately prior to the Closing in accordance with the terms of the original awards and 16,037 RSUs that vest in full as a result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6" w:name="toc770053_182"/>
      <w:bookmarkEnd w:id="176"/>
      <w:r>
        <w:rPr>
          <w:rFonts w:ascii="Times New Roman" w:hAnsi="Times New Roman"/>
          <w:b/>
          <w:sz w:val="20"/>
        </w:rPr>
        <w:t xml:space="preserve">DESCRIPTION OF AVROBIO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AVROBIO capital stock and provisions of AVROBIO’s charter and bylaws are summaries and are qualified by reference to such charter and bylaws and applicable provisions of Delaware corporate law. Copies of these documents are filed as exhibits to the registration statement of which this proxy statement/prospectus forms part. </w:t>
      </w:r>
    </w:p>
    <w:p>
      <w:pPr>
        <w:pStyle w:val="TextBody"/>
        <w:bidi w:val="0"/>
        <w:spacing w:before="360" w:after="0"/>
        <w:jc w:val="left"/>
        <w:rPr>
          <w:rFonts w:ascii="Times New Roman" w:hAnsi="Times New Roman"/>
          <w:b/>
          <w:sz w:val="20"/>
        </w:rPr>
      </w:pPr>
      <w:bookmarkStart w:id="177" w:name="toc770053_183"/>
      <w:bookmarkEnd w:id="177"/>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AVROBIO’s authorized capital stock consists of 150,000,000 shares of AVROBIO common stock, par value $0.0001 per share, and 10,000,000 shares of AVROBIO preferred stock, par value $0.0001 per share. </w:t>
      </w:r>
    </w:p>
    <w:p>
      <w:pPr>
        <w:pStyle w:val="TextBody"/>
        <w:bidi w:val="0"/>
        <w:spacing w:before="360" w:after="0"/>
        <w:jc w:val="left"/>
        <w:rPr>
          <w:rFonts w:ascii="Times New Roman" w:hAnsi="Times New Roman"/>
          <w:b/>
          <w:sz w:val="20"/>
        </w:rPr>
      </w:pPr>
      <w:bookmarkStart w:id="178" w:name="toc770053_184"/>
      <w:bookmarkEnd w:id="178"/>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entitled to receive dividends ratably, if any, as may be declared by the AVROBIO Board out of legally available funds, subject to any preferential dividend rights of any AVROBIO preferred stock then outstanding. </w:t>
      </w:r>
    </w:p>
    <w:p>
      <w:pPr>
        <w:pStyle w:val="TextBody"/>
        <w:bidi w:val="0"/>
        <w:spacing w:before="360" w:after="0"/>
        <w:jc w:val="left"/>
        <w:rPr>
          <w:rFonts w:ascii="Times New Roman" w:hAnsi="Times New Roman"/>
          <w:i/>
          <w:sz w:val="20"/>
        </w:rPr>
      </w:pPr>
      <w:r>
        <w:rPr>
          <w:rFonts w:ascii="Times New Roman" w:hAnsi="Times New Roman"/>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entitled to one vote for each share of AVROBIO common stock held of record for the election of directors of AVROBIO and on all matters submitted to a vote of the stockholders. The holders of AVROBIO common stock do not have any cumulative voting rights.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AVROBIO’s dissolution, liquidation or winding up, holders of AVROBIO’s common stock are entitled to share ratably in all assets remaining after payment of all debts and other liabilities and any liquidation preference of any outstanding preferred stock. All outstanding shares are fully paid and non-assessable.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AVROBIO common stock are not entitled to preemptive, subscription, redemption or conversion rights, and no sinking fund provisions are applicable to AVROBIO common stock. </w:t>
      </w:r>
    </w:p>
    <w:p>
      <w:pPr>
        <w:pStyle w:val="TextBody"/>
        <w:bidi w:val="0"/>
        <w:spacing w:before="360" w:after="0"/>
        <w:jc w:val="left"/>
        <w:rPr>
          <w:rFonts w:ascii="Times New Roman" w:hAnsi="Times New Roman"/>
          <w:b/>
          <w:sz w:val="20"/>
        </w:rPr>
      </w:pPr>
      <w:bookmarkStart w:id="179" w:name="toc770053_185"/>
      <w:bookmarkEnd w:id="179"/>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for 10,000,000 authorized shares of preferred stock. The existence of authorized but unissued shares of preferred stock may enable the AVROBIO Board to discourage an attempt to obtain control of AVROBIO by means of a merger, tender offer, proxy contest or otherwise. For example, if in the due exercise of its fiduciary obligations, the AVROBIO Board were to determine that a takeover proposal is not in the best interests of AVROBIO stockholders, the AVROBIO Board could cause shares of preferred stock to be issued without stockholder approval in one or more private offerings or other transactions that might dilute the voting or other rights of the proposed acquirer or insurgent stockholder or stockholder group. In this regard, AVROBIO’s charter grants the AVROBIO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AVROBIO.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180" w:name="toc770053_186"/>
      <w:bookmarkEnd w:id="180"/>
      <w:r>
        <w:rPr>
          <w:rFonts w:ascii="Times New Roman" w:hAnsi="Times New Roman"/>
          <w:b/>
          <w:sz w:val="20"/>
        </w:rPr>
        <w:t xml:space="preserve">Anti-Takeover Effects of Delaware Law and Provisions of AVROBIO’s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of AVROBIO’s charter and bylaws could have the effect of delaying, deferring or discouraging another party from acquiring control of AVROBIO. These provisions, which are summarized below, are expected to discourage certain types of coercive takeover practices and inadequate takeover bids and, as a consequence, they might also inhibit temporary fluctuations in the market price of AVROBIO common stock that often result from actual or rumored hostile takeover attempts. These provisions are also designed in part to encourage anyone seeking to acquire control of AVROBIO to first negotiate with its board of directors. These provisions might also have the effect of preventing changes in AVROBIO’s management. It is possible that these provisions could make it more difficult to accomplish transactions that stockholders might otherwise deem to be in their best interests. However, AVROBIO holds that the advantages gained by protecting its ability to negotiate with any unsolicited and potentially unfriendly acquirer outweigh the disadvantages of discouraging such proposals, including those priced above the then-current market value of AVROBIO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AVROBIO is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or by any direct or indirect majority-owned subsidiary of the corporation of any stock of the corporation or any subsidiary to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or any direct or indirect majority-owned subsidiary.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 </w:t>
      </w:r>
    </w:p>
    <w:p>
      <w:pPr>
        <w:pStyle w:val="TextBody"/>
        <w:bidi w:val="0"/>
        <w:spacing w:before="360" w:after="0"/>
        <w:jc w:val="left"/>
        <w:rPr>
          <w:rFonts w:ascii="Times New Roman" w:hAnsi="Times New Roman"/>
          <w:i/>
          <w:sz w:val="20"/>
        </w:rPr>
      </w:pPr>
      <w:r>
        <w:rPr>
          <w:rFonts w:ascii="Times New Roman" w:hAnsi="Times New Roman"/>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for the division of the AVROBIO Board into three classes serving staggered three-year terms, with one class being elected each year. AVROBIO’s charter also provides that directors may be removed only for cause and then only by the affirmative vote of the holders of two-thirds or more of the shares then entitled to vote at an election of directors. Furthermore, any vacancy on the AVROBIO Board, however occurring, including a vacancy resulting from an increase in the size of the AVROBIO Board, may only be filled by the affirmative vote of a majority of AVROBIO’s directors then in office even if less than a quorum. The classification of directors, together with the limitations on removal of directors and treatment of vacancies, has the effect of making it more difficult for stockholders to change the composition of the AVROBIO Board. </w:t>
      </w:r>
    </w:p>
    <w:p>
      <w:pPr>
        <w:pStyle w:val="TextBody"/>
        <w:bidi w:val="0"/>
        <w:spacing w:before="360" w:after="0"/>
        <w:jc w:val="left"/>
        <w:rPr>
          <w:rFonts w:ascii="Times New Roman" w:hAnsi="Times New Roman"/>
          <w:i/>
          <w:sz w:val="20"/>
        </w:rPr>
      </w:pPr>
      <w:r>
        <w:rPr>
          <w:rFonts w:ascii="Times New Roman" w:hAnsi="Times New Roman"/>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AVROBIO’s bylaws or removal of directors by AVROBIO stockholders without holding a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Meetings of Stockholder </w:t>
      </w:r>
    </w:p>
    <w:p>
      <w:pPr>
        <w:pStyle w:val="TextBody"/>
        <w:bidi w:val="0"/>
        <w:spacing w:before="120" w:after="0"/>
        <w:jc w:val="left"/>
        <w:rPr>
          <w:rFonts w:ascii="Times New Roman" w:hAnsi="Times New Roman"/>
          <w:sz w:val="20"/>
        </w:rPr>
      </w:pPr>
      <w:r>
        <w:rPr>
          <w:rFonts w:ascii="Times New Roman" w:hAnsi="Times New Roman"/>
          <w:sz w:val="20"/>
        </w:rPr>
        <w:t xml:space="preserve">AVROBIO’s charter and bylaws provide that only a majority of the members of the AVROBIO Board then in office may call special meetings of stockholders and only those matters set forth in the notice of the special meeting may be considered or acted upon at a special meeting of stockholders. AVROBIO’s bylaws limits the business that may be conducted at an annual meeting of stockholders to those matters properly brought before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AVROBIO’s bylaws establishes advance notice procedures with regard to stockholder proposals relating to the nomination of candidates for election as directors or new business to be brought before meetings of AVROBIO stockholders. These procedures provide that notice of stockholder proposals must be timely given in writing to AVROBIO’s corporate secretary prior to the meeting at which the action is to be taken. Generally, to be timely, notice must be received at AVROBIO’s principal executive offices not less than 90 days nor more than 120 days prior to the first anniversary date of the annual meeting for the preceding year. AVROBIO’s bylaws specify the requirements as to form and content of all stockholders’ notices. These requirements may preclude stockholders from bringing matters before the stockholders at an annual or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1" w:name="toc770053_182a"/>
      <w:bookmarkEnd w:id="181"/>
      <w:r>
        <w:rPr>
          <w:rFonts w:ascii="Times New Roman" w:hAnsi="Times New Roman"/>
          <w:b/>
          <w:sz w:val="20"/>
        </w:rPr>
        <w:t xml:space="preserve">SECURITIES ACT RESTRICTIONS ON RESALE OF AVROBIO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a person who has beneficially owned restricted AVROBIO common stock for at least six months would be entitled to sell their securities provided that (i) such person is not deemed to have been an affiliate of AVROBIO at the time of, or at any time during the three months preceding, a sale and (ii) AVROBIO is subject to the Exchange Act periodic reporting requirements for at least three months before the sale and has filed all required reports under Section 13 or 15(d) of the Exchange Act during the 12 months (or such shorter period as AVROBIO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AVROBIO common stock for at least six months but who are affiliates of AVROBIO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AVROBIO common stock then outstanding;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shares of AVROBIO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of AVROBIO under Rule 144 are also limited by manner of sale provisions and notice requirements and to the availability of current public information about AVROBIO. </w:t>
      </w:r>
    </w:p>
    <w:p>
      <w:pPr>
        <w:pStyle w:val="TextBody"/>
        <w:bidi w:val="0"/>
        <w:spacing w:before="360" w:after="0"/>
        <w:jc w:val="left"/>
        <w:rPr>
          <w:rFonts w:ascii="Times New Roman" w:hAnsi="Times New Roman"/>
          <w:sz w:val="20"/>
        </w:rPr>
      </w:pPr>
      <w:r>
        <w:rPr>
          <w:rFonts w:ascii="Times New Roman" w:hAnsi="Times New Roman"/>
          <w:b/>
          <w:sz w:val="20"/>
        </w:rPr>
        <w:t>Restrictions on the Use of Rule 144 by Shell Companies or Former Shell Companies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According to SEC guidance, the requirements applicable to reporting shell company business combinations apply to any company that sells or otherwise disposes of its historical assets or operations in connection with or as part of a plan to combine with a non-shell private company in order to convert the private company into a public one. AVROBIO halted its remaining development programs and AVROBIO had previously implemented the Cystinosis Sale. As such, AVROBIO is subject to the SEC requirements applicable to reporting shell company business combinations. 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anticipate that following the consummation of the merger, the combined company will no longer be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2" w:name="toc770053_187"/>
      <w:bookmarkEnd w:id="182"/>
      <w:r>
        <w:rPr>
          <w:rFonts w:ascii="Times New Roman" w:hAnsi="Times New Roman"/>
          <w:b/>
          <w:sz w:val="20"/>
        </w:rPr>
        <w:t xml:space="preserve">COMPARISON OF RIGHTS OF HOLDERS OF AVROBIO CAPITAL STOCK AND TECTONIC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Tectonic stockholders will receive shares of AVROBIO common stock, pursuant to the terms of the Merger Agreement. Immediately prior to the closing, assuming that Proposal Nos. 2 and 3 are approved by AVROBIO stockholders, AVROBIO’s charter will be amended to effect the reverse stock split and the officer exculpation, as set forth in the form of certificate of amendments attached as </w:t>
      </w:r>
      <w:r>
        <w:rPr>
          <w:rFonts w:ascii="Times New Roman" w:hAnsi="Times New Roman"/>
          <w:sz w:val="20"/>
          <w:u w:val="single"/>
        </w:rPr>
        <w:t>Annex G</w:t>
      </w:r>
      <w:r>
        <w:rPr>
          <w:rFonts w:ascii="Times New Roman" w:hAnsi="Times New Roman"/>
          <w:sz w:val="20"/>
        </w:rPr>
        <w:t xml:space="preserve"> and </w:t>
      </w:r>
      <w:r>
        <w:rPr>
          <w:rFonts w:ascii="Times New Roman" w:hAnsi="Times New Roman"/>
          <w:sz w:val="20"/>
          <w:u w:val="single"/>
        </w:rPr>
        <w:t>Annex H</w:t>
      </w:r>
      <w:r>
        <w:rPr>
          <w:rFonts w:ascii="Times New Roman" w:hAnsi="Times New Roman"/>
          <w:sz w:val="20"/>
        </w:rPr>
        <w:t xml:space="preserve">, respectively, to this proxy statement/prospectus. In addition, after the completion of the merger, AVROBIO’s charter will be amended to change its corporate name to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AVROBIO and Tectonic are both incorporated under the laws of the State of Delaware. The rights of AVROBIO stockholders and Tectonic stockholders are generally governed by the DGCL. Upon completion of the merger, Tectonic stockholders will become AVROBIO stockholders, and their rights will be governed by the DGCL, AVROBIO’s bylaws and AVROBIO’s charter, as amended and restated in connection with the merger.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Tectonic stockholders under the Tectonic certificate of incorporation and bylaws and their rights as AVROBIO stockholders, after the merger, under AVROBIO’s charter and AVROBIO’s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AVROBIO or Tectonic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beginning on page 476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49"/>
        <w:gridCol w:w="120"/>
        <w:gridCol w:w="5136"/>
      </w:tblGrid>
      <w:tr>
        <w:trPr/>
        <w:tc>
          <w:tcPr>
            <w:tcW w:w="49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36" w:type="dxa"/>
            <w:tcBorders/>
            <w:vAlign w:val="center"/>
          </w:tcPr>
          <w:p>
            <w:pPr>
              <w:pStyle w:val="TableContents"/>
              <w:bidi w:val="0"/>
              <w:spacing w:before="0" w:after="283"/>
              <w:jc w:val="left"/>
              <w:rPr>
                <w:sz w:val="4"/>
                <w:szCs w:val="4"/>
              </w:rPr>
            </w:pPr>
            <w:r>
              <w:rPr>
                <w:sz w:val="4"/>
                <w:szCs w:val="4"/>
              </w:rPr>
            </w:r>
          </w:p>
        </w:tc>
      </w:tr>
      <w:tr>
        <w:trPr/>
        <w:tc>
          <w:tcPr>
            <w:tcW w:w="494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1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center"/>
              <w:rPr>
                <w:i/>
              </w:rPr>
            </w:pPr>
            <w:r>
              <w:rPr>
                <w:i/>
              </w:rPr>
              <w:t>Organizational Documents</w:t>
            </w:r>
          </w:p>
        </w:tc>
      </w:tr>
      <w:tr>
        <w:trPr/>
        <w:tc>
          <w:tcPr>
            <w:tcW w:w="4949" w:type="dxa"/>
            <w:tcBorders/>
            <w:vAlign w:val="center"/>
          </w:tcPr>
          <w:p>
            <w:pPr>
              <w:pStyle w:val="TableContents"/>
              <w:bidi w:val="0"/>
              <w:spacing w:before="0" w:after="283"/>
              <w:jc w:val="left"/>
              <w:rPr/>
            </w:pPr>
            <w:r>
              <w:rPr/>
              <w:t>The rights of AVROBIO stockholders are governed by AVROBIO’s charter, bylaws and the DGCL.</w:t>
            </w:r>
          </w:p>
        </w:tc>
        <w:tc>
          <w:tcPr>
            <w:tcW w:w="12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r>
              <w:rPr/>
              <w:t>The rights of Tectonic stockholders are governed by Tectonic’s amended and restated certificate of incorporation, Tectonic’s amended and restated bylaws and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Authorized Capital Stock</w:t>
            </w:r>
          </w:p>
        </w:tc>
      </w:tr>
      <w:tr>
        <w:trPr/>
        <w:tc>
          <w:tcPr>
            <w:tcW w:w="4949" w:type="dxa"/>
            <w:tcBorders/>
            <w:vAlign w:val="center"/>
          </w:tcPr>
          <w:p>
            <w:pPr>
              <w:pStyle w:val="TableContents"/>
              <w:bidi w:val="0"/>
              <w:spacing w:before="0" w:after="283"/>
              <w:jc w:val="left"/>
              <w:rPr/>
            </w:pPr>
            <w:r>
              <w:rPr/>
              <w:t>AVROBIO is authorized to issue two classes of capital stock which are designated, respectively, “common stock” and “undesignated preferred stock.” The total number of shares that AVROBIO is authorized to issue is 160,000,000, of which 150,000,000 shares are common stock, par value $0.0001 per share, and 10,000,000 shares are undesignated preferred stock, par value $0.0001 per share. The number of authorized shares of AVROBIO undesignated preferred stock and common stock may from time to time be increased or decreased (but not below the number of shares of such class then outstanding) by the affirmative vote of the holders of a majority of the voting power of the outstanding shares of capital stock of AVROBIO entitled to vote thereon, irrespective of the provisions of Section 242(b)(2) of the DGCL.</w:t>
            </w:r>
          </w:p>
        </w:tc>
        <w:tc>
          <w:tcPr>
            <w:tcW w:w="12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r>
              <w:rPr/>
              <w:t>Tectonic is authorized to issue two classes of capital stock which are designated, respectively, “common stock” and “preferred stock.” The total number of shares that Tectonic is authorized to issue is 18,773,041, of which 11,947,558 shares are common stock, par value $0.0001 per share, and 6,825,483 shares are preferred stock, par value $0.0001 per share. The affirmative vote of the holders of at least a majority of the outstanding shares of voting preferred stock voting together on an as-converted to common stock basis is needed to (i) create, or authorize the creation of, or issue or obligate itself to issue shares of, or reclassify, any capital stock unless the same ranks junior to the preferred stock with respect to its rights, preferences and privileges, or (ii) increase the authorized number of shares of preferred stock or any additional class or series of capital stock of Tectonic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098"/>
        <w:gridCol w:w="120"/>
        <w:gridCol w:w="5987"/>
      </w:tblGrid>
      <w:tr>
        <w:trPr/>
        <w:tc>
          <w:tcPr>
            <w:tcW w:w="40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87" w:type="dxa"/>
            <w:tcBorders/>
            <w:vAlign w:val="center"/>
          </w:tcPr>
          <w:p>
            <w:pPr>
              <w:pStyle w:val="TableContents"/>
              <w:bidi w:val="0"/>
              <w:spacing w:before="0" w:after="283"/>
              <w:jc w:val="left"/>
              <w:rPr>
                <w:sz w:val="4"/>
                <w:szCs w:val="4"/>
              </w:rPr>
            </w:pPr>
            <w:r>
              <w:rPr>
                <w:sz w:val="4"/>
                <w:szCs w:val="4"/>
              </w:rPr>
            </w:r>
          </w:p>
        </w:tc>
      </w:tr>
      <w:tr>
        <w:trPr/>
        <w:tc>
          <w:tcPr>
            <w:tcW w:w="40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9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40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283"/>
              <w:jc w:val="left"/>
              <w:rPr/>
            </w:pPr>
            <w:r>
              <w:rPr/>
              <w:t>unless the same ranks junior to the preferred stock with respect to its rights, preferences and privileges. The number of authorized shares of Tectonic common stock may be increased or decreased (but not below the number of shares thereof then outstanding) by (in addition to any vote of the holders of one or more series of preferred stock that may be required) the affirmative vote of the holders of shares of capital stock of Tectonic representing a majority of the votes represented by all outstanding shares of capital stock of Tectonic entitled to vote, irrespective of the provisions of Section 242(b)(2) of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Common Stock</w:t>
            </w:r>
          </w:p>
        </w:tc>
      </w:tr>
      <w:tr>
        <w:trPr/>
        <w:tc>
          <w:tcPr>
            <w:tcW w:w="40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AVROBIO’s authorized common stock consists of 150,000,000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AVROBIO common stock is entitled to one vote for each such share held of record on the applicable record date on each matter voted on at a meeting of stockholders.</w:t>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Tectonic’s authorized common stock consists of 11,947,558 shares of common stock, par value $0.0001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Tectonic common stock is entitled to one vote for each such share held of record on the applicable record date on each matter voted on at a meeting of stockholders.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Preferred Stock</w:t>
            </w:r>
          </w:p>
        </w:tc>
      </w:tr>
      <w:tr>
        <w:trPr/>
        <w:tc>
          <w:tcPr>
            <w:tcW w:w="4098" w:type="dxa"/>
            <w:tcBorders/>
            <w:vAlign w:val="center"/>
          </w:tcPr>
          <w:p>
            <w:pPr>
              <w:pStyle w:val="TableContents"/>
              <w:bidi w:val="0"/>
              <w:spacing w:before="0" w:after="283"/>
              <w:jc w:val="left"/>
              <w:rPr/>
            </w:pPr>
            <w:r>
              <w:rPr/>
              <w:t>AVROBIO’s authorized preferred stock consists of 10,000,000 shares of undesignated preferred stock. No shares of AVROBIO undesignated preferred stock are currently outstanding.</w:t>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Tectonic’s authorized preferred stock consists of 6,825,483 shares of preferred stock, of which 4,118,120 are designated “Series A-1 Preferred Stock,” 1,649,188 are designated “Series A-2 Preferred Stock,” 696,516 are designated “Series A-3 Preferred Stock,” and 361,659 are designated “Series A-4 Preferred Stock.” 6,825,483 shares of Tectonic’s preferred stock are currently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Tectonic Series A-1 Preferred Stock, Series A-3 Preferred Stock and Series A-4 Preferred Stock is entitled to one vote for each such share held of record on the applicable record date on each matter voted on at a meeting of stockholders (the “Voting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Number and Qualification of Directors</w:t>
            </w:r>
          </w:p>
        </w:tc>
      </w:tr>
      <w:tr>
        <w:trPr/>
        <w:tc>
          <w:tcPr>
            <w:tcW w:w="4098" w:type="dxa"/>
            <w:tcBorders/>
            <w:vAlign w:val="center"/>
          </w:tcPr>
          <w:p>
            <w:pPr>
              <w:pStyle w:val="TableContents"/>
              <w:bidi w:val="0"/>
              <w:spacing w:before="0" w:after="283"/>
              <w:jc w:val="left"/>
              <w:rPr/>
            </w:pPr>
            <w:r>
              <w:rPr/>
              <w:t>The number of AVROBIO directors is fixed from time to time by resolution of the AVROBIO Board. The AVROBIO Board currently consists of seven members. No decrease in the authorized number of directors constituting the AVROBIO Board will shorten the term of any incumbent director. Directors of AVROBIO need not be stockholders of AVROBIO.</w:t>
            </w:r>
          </w:p>
        </w:tc>
        <w:tc>
          <w:tcPr>
            <w:tcW w:w="12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283"/>
              <w:jc w:val="left"/>
              <w:rPr/>
            </w:pPr>
            <w:r>
              <w:rPr/>
              <w:t>The number of Tectonic directors is fixed from time to time by resolution of the Tectonic board. The Tectonic board currently consists of six members. Directors of Tectonic need not be stockholders of Tectonic. The vote of the holders of at least a majority of the outstanding shares of Voting Preferred Stock voting together on an as-converted to common stock basis is needed to increase or decrease the authorized number of directors constituting Tectonic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795"/>
        <w:gridCol w:w="120"/>
        <w:gridCol w:w="5290"/>
      </w:tblGrid>
      <w:tr>
        <w:trPr/>
        <w:tc>
          <w:tcPr>
            <w:tcW w:w="4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90" w:type="dxa"/>
            <w:tcBorders/>
            <w:vAlign w:val="center"/>
          </w:tcPr>
          <w:p>
            <w:pPr>
              <w:pStyle w:val="TableContents"/>
              <w:bidi w:val="0"/>
              <w:spacing w:before="0" w:after="283"/>
              <w:jc w:val="left"/>
              <w:rPr>
                <w:sz w:val="4"/>
                <w:szCs w:val="4"/>
              </w:rPr>
            </w:pPr>
            <w:r>
              <w:rPr>
                <w:sz w:val="4"/>
                <w:szCs w:val="4"/>
              </w:rPr>
            </w:r>
          </w:p>
        </w:tc>
      </w:tr>
      <w:tr>
        <w:trPr/>
        <w:tc>
          <w:tcPr>
            <w:tcW w:w="47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2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center"/>
              <w:rPr>
                <w:i/>
              </w:rPr>
            </w:pPr>
            <w:r>
              <w:rPr>
                <w:i/>
              </w:rPr>
              <w:t>Structure of Board of Directors; Term of Directors; Election of Directors</w:t>
            </w:r>
          </w:p>
        </w:tc>
      </w:tr>
      <w:tr>
        <w:trPr/>
        <w:tc>
          <w:tcPr>
            <w:tcW w:w="4795" w:type="dxa"/>
            <w:tcBorders/>
            <w:vAlign w:val="center"/>
          </w:tcPr>
          <w:p>
            <w:pPr>
              <w:pStyle w:val="TableContents"/>
              <w:bidi w:val="0"/>
              <w:spacing w:before="0" w:after="283"/>
              <w:jc w:val="left"/>
              <w:rPr/>
            </w:pPr>
            <w:r>
              <w:rPr/>
              <w:t>Other than any directors elected by the separate vote of the holders of any series of AVROBIO undesignated preferred stock, the AVROBIO Board is divided into three classes, designated as Class I, Class II and Class III, respectively. Directors are assigned to each class in accordance with a resolution or resolutions adopted by the AVROBIO Board. At the first annual meeting of stockholders following the effectiveness of AVROBIO’s IPO, the term of office of the Class I directors expired and Class I directors were elected for a full term of three years. At the second annual meeting of stockholders following AVROBIO’s IPO, the term of office of the Class II directors expired and Class II directors were elected for a full term of three years. At the third annual meeting of stockholders following AVROBIO’s IPO, the term of office of the Class III directors expired and Class III directors were elected for a full term of three years.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w:t>
            </w:r>
          </w:p>
        </w:tc>
        <w:tc>
          <w:tcPr>
            <w:tcW w:w="120" w:type="dxa"/>
            <w:tcBorders/>
            <w:vAlign w:val="center"/>
          </w:tcPr>
          <w:p>
            <w:pPr>
              <w:pStyle w:val="TableContents"/>
              <w:bidi w:val="0"/>
              <w:spacing w:before="0" w:after="283"/>
              <w:jc w:val="left"/>
              <w:rPr/>
            </w:pPr>
            <w:r>
              <w:rPr/>
              <w:t>  </w:t>
            </w:r>
          </w:p>
        </w:tc>
        <w:tc>
          <w:tcPr>
            <w:tcW w:w="5290" w:type="dxa"/>
            <w:tcBorders/>
            <w:vAlign w:val="center"/>
          </w:tcPr>
          <w:p>
            <w:pPr>
              <w:pStyle w:val="TableContents"/>
              <w:bidi w:val="0"/>
              <w:spacing w:before="0" w:after="283"/>
              <w:jc w:val="left"/>
              <w:rPr/>
            </w:pPr>
            <w:r>
              <w:rPr/>
              <w:t>The holders of record of the shares of Voting Preferred Stock, exclusively and as a separate class (voting together on an as converted to common stock basis) shall be entitled to elect three directors and the holders of record of the shares of Tectonic common stock, exclusively and as a separate class, shall be entitled to elect two directors. If the holders of shares of Voting Preferred Stock or Tectonic common stock, as the case may be, fail to elect a sufficient number of directors to fill all directorships for which they are entitled to elect directors, voting exclusively and as a separate class, then any directorship not so filled shall remain vacant until such time as the holders of the Tectonic preferred stock or Tectonic common stock, as the case may be, elect a person to fill such directorship by vote or written consent in lieu of a meeting; and no such directorship may be filled by stockholders of Tectonic other than by the stockholders of Tectonic that are entitled to elect a person to fill such directorship, voting exclusively and as a separate class. The holders of record of the shares of Tectonic common stock and of any other class or series of voting stock (including the Voting Preferred Stock), exclusively and voting together as a single class, shall be entitled to elect the balance of the total number of directors of Tectonic. Pursuant to the terms of a Voting Agreement dated March 31, 2021 (the “Voting Agreement”), Vida Ventures II, LLC and its affiliates, Polaris Partners IX, L.P. and its affiliates and Timothy A. Springer each have the right to designate one of the directors elected by the holders of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Removal of Directors</w:t>
            </w:r>
          </w:p>
        </w:tc>
      </w:tr>
      <w:tr>
        <w:trPr/>
        <w:tc>
          <w:tcPr>
            <w:tcW w:w="4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AVROBIO undesignated preferred stock to elect directors, or except as otherwise provided by the DGCL or AVROBIO’s charter, any director may be removed from office at any time, but only with cause and only by the affirmative vote of the holders of two thirds (2/3) of the outstanding shares of capital stock of AVROBIO entitled to vote at an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decrease in the authorized number of directors constituting the AVROBIO Board will shorten the term of any incumbent director. In the event of a vacancy in the AVROBIO Board, the remaining directors, except as otherwise provided by law, shall exercise the powers of the full AVROBIO Board until the vacancy is filled.</w:t>
            </w:r>
          </w:p>
        </w:tc>
        <w:tc>
          <w:tcPr>
            <w:tcW w:w="120" w:type="dxa"/>
            <w:tcBorders/>
            <w:vAlign w:val="center"/>
          </w:tcPr>
          <w:p>
            <w:pPr>
              <w:pStyle w:val="TableContents"/>
              <w:bidi w:val="0"/>
              <w:spacing w:before="0" w:after="283"/>
              <w:jc w:val="left"/>
              <w:rPr/>
            </w:pPr>
            <w:r>
              <w:rPr/>
              <w:t>  </w:t>
            </w:r>
          </w:p>
        </w:tc>
        <w:tc>
          <w:tcPr>
            <w:tcW w:w="5290" w:type="dxa"/>
            <w:tcBorders/>
            <w:vAlign w:val="center"/>
          </w:tcPr>
          <w:p>
            <w:pPr>
              <w:pStyle w:val="TableContents"/>
              <w:bidi w:val="0"/>
              <w:spacing w:before="0" w:after="283"/>
              <w:jc w:val="left"/>
              <w:rPr/>
            </w:pPr>
            <w:r>
              <w:rPr/>
              <w:t>Any Tectonic director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379"/>
        <w:gridCol w:w="120"/>
        <w:gridCol w:w="4706"/>
      </w:tblGrid>
      <w:tr>
        <w:trPr/>
        <w:tc>
          <w:tcPr>
            <w:tcW w:w="53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537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47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Vacancies on the Board of Directors</w:t>
            </w:r>
          </w:p>
        </w:tc>
      </w:tr>
      <w:tr>
        <w:trPr/>
        <w:tc>
          <w:tcPr>
            <w:tcW w:w="5379" w:type="dxa"/>
            <w:tcBorders/>
            <w:vAlign w:val="center"/>
          </w:tcPr>
          <w:p>
            <w:pPr>
              <w:pStyle w:val="TableContents"/>
              <w:bidi w:val="0"/>
              <w:spacing w:before="0" w:after="283"/>
              <w:jc w:val="left"/>
              <w:rPr/>
            </w:pPr>
            <w:r>
              <w:rPr/>
              <w:t>Any director may resign at any time by electronic transmission or upon notice in writing to AVROBIO Chairman of the AVROBIO Board, President or Secretary. Such resignation shall be effective upon receipt, unless the resignation otherwise provides. Subject to the rights of the holders of any series of AVROBIO undesignated preferred stock, any vacancies and any newly created directorships resulting from any increase in the number of directors, will be filled solely and exclusively by the affirmative vote of a majority of the remaining directors then in office, even if less than a quorum, and not by the stockholders. Any director elected in accordance with the preceding sentence will hold office for the remainder of the full term of the director for which the vacancy was created or occurred and until such director’s successor is elected and qualified or until his or her earlier resignation, death or removal.</w:t>
            </w:r>
          </w:p>
        </w:tc>
        <w:tc>
          <w:tcPr>
            <w:tcW w:w="120" w:type="dxa"/>
            <w:tcBorders/>
            <w:vAlign w:val="center"/>
          </w:tcPr>
          <w:p>
            <w:pPr>
              <w:pStyle w:val="TableContents"/>
              <w:bidi w:val="0"/>
              <w:spacing w:before="0" w:after="283"/>
              <w:jc w:val="left"/>
              <w:rPr/>
            </w:pPr>
            <w:r>
              <w:rPr/>
              <w:t>  </w:t>
            </w:r>
          </w:p>
        </w:tc>
        <w:tc>
          <w:tcPr>
            <w:tcW w:w="47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director may resign at any time by delivering such director’s notice in writing or by electronic transmission to the Secretary, such resignation to specify whether it will be effective at a particular time, upon receipt by the Secretary or at the pleasure of the Tectonic Board. If no such specification is made, it will be deemed effective at the pleasure of the Tectonic Board.</w:t>
            </w:r>
          </w:p>
          <w:p>
            <w:pPr>
              <w:pStyle w:val="TableContents"/>
              <w:bidi w:val="0"/>
              <w:spacing w:before="0" w:after="20"/>
              <w:jc w:val="left"/>
              <w:rPr>
                <w:rFonts w:ascii="Times New Roman" w:hAnsi="Times New Roman"/>
                <w:sz w:val="20"/>
              </w:rPr>
            </w:pPr>
            <w:r>
              <w:rPr>
                <w:rFonts w:ascii="Times New Roman" w:hAnsi="Times New Roman"/>
                <w:sz w:val="20"/>
              </w:rPr>
              <w:t>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entitled to make such elections. Whenever the holders of any class or classes of stock or series thereof are entitled to elect one or more directors by the provisions of Tectonic’s charter, vacancies and newly created directorships of such class or classes or series will, unless the Tectonic board determines by resolution that any such vacancies or newly created directorships must be filled by stockholders, be filled by a majority of the directors elected by such class or classes or series thereof then in office, or by a sole remaining director so elected.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Action by Written Consent</w:t>
            </w:r>
          </w:p>
        </w:tc>
      </w:tr>
      <w:tr>
        <w:trPr/>
        <w:tc>
          <w:tcPr>
            <w:tcW w:w="5379" w:type="dxa"/>
            <w:tcBorders/>
            <w:vAlign w:val="center"/>
          </w:tcPr>
          <w:p>
            <w:pPr>
              <w:pStyle w:val="TableContents"/>
              <w:bidi w:val="0"/>
              <w:spacing w:before="0" w:after="283"/>
              <w:jc w:val="left"/>
              <w:rPr/>
            </w:pPr>
            <w:r>
              <w:rPr/>
              <w:t>No action may be taken by the stockholders except at an annual or special meeting of stockholders called in accordance with AVROBIO’s amended and restated bylaws, and no action may be taken by the stockholders by written consent in lieu of a meeting.</w:t>
            </w:r>
          </w:p>
        </w:tc>
        <w:tc>
          <w:tcPr>
            <w:tcW w:w="120" w:type="dxa"/>
            <w:tcBorders/>
            <w:vAlign w:val="center"/>
          </w:tcPr>
          <w:p>
            <w:pPr>
              <w:pStyle w:val="TableContents"/>
              <w:bidi w:val="0"/>
              <w:spacing w:before="0" w:after="283"/>
              <w:jc w:val="left"/>
              <w:rPr/>
            </w:pPr>
            <w:r>
              <w:rPr/>
              <w:t>  </w:t>
            </w:r>
          </w:p>
        </w:tc>
        <w:tc>
          <w:tcPr>
            <w:tcW w:w="4706" w:type="dxa"/>
            <w:tcBorders/>
            <w:vAlign w:val="center"/>
          </w:tcPr>
          <w:p>
            <w:pPr>
              <w:pStyle w:val="TableContents"/>
              <w:bidi w:val="0"/>
              <w:spacing w:before="0" w:after="283"/>
              <w:jc w:val="left"/>
              <w:rPr/>
            </w:pPr>
            <w:r>
              <w:rPr/>
              <w:t>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Quorum</w:t>
            </w:r>
          </w:p>
        </w:tc>
      </w:tr>
      <w:tr>
        <w:trPr/>
        <w:tc>
          <w:tcPr>
            <w:tcW w:w="5379" w:type="dxa"/>
            <w:tcBorders/>
            <w:vAlign w:val="center"/>
          </w:tcPr>
          <w:p>
            <w:pPr>
              <w:pStyle w:val="TableContents"/>
              <w:bidi w:val="0"/>
              <w:spacing w:before="0" w:after="283"/>
              <w:jc w:val="left"/>
              <w:rPr/>
            </w:pPr>
            <w:r>
              <w:rPr/>
              <w:t>Unless otherwise provided by law or AVROBIO’s charter or bylaws, at each meeting of stockholders the holders of a majority of the outstanding shares of stock entitled to vote at the meeting, present in person or represented by proxy, will constitute a quorum for the transaction of business. If a quorum fails to attend any meeting or the AVROBIO Board determines its necessary of otherwise in the best interest of</w:t>
            </w:r>
          </w:p>
        </w:tc>
        <w:tc>
          <w:tcPr>
            <w:tcW w:w="120" w:type="dxa"/>
            <w:tcBorders/>
            <w:vAlign w:val="center"/>
          </w:tcPr>
          <w:p>
            <w:pPr>
              <w:pStyle w:val="TableContents"/>
              <w:bidi w:val="0"/>
              <w:spacing w:before="0" w:after="283"/>
              <w:jc w:val="left"/>
              <w:rPr/>
            </w:pPr>
            <w:r>
              <w:rPr/>
              <w:t>  </w:t>
            </w:r>
          </w:p>
        </w:tc>
        <w:tc>
          <w:tcPr>
            <w:tcW w:w="4706" w:type="dxa"/>
            <w:tcBorders/>
            <w:vAlign w:val="center"/>
          </w:tcPr>
          <w:p>
            <w:pPr>
              <w:pStyle w:val="TableContents"/>
              <w:bidi w:val="0"/>
              <w:spacing w:before="0" w:after="283"/>
              <w:jc w:val="left"/>
              <w:rPr/>
            </w:pPr>
            <w:r>
              <w:rPr/>
              <w:t>At all meetings of stockholders, the 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413"/>
        <w:gridCol w:w="120"/>
        <w:gridCol w:w="5672"/>
      </w:tblGrid>
      <w:tr>
        <w:trPr/>
        <w:tc>
          <w:tcPr>
            <w:tcW w:w="4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72" w:type="dxa"/>
            <w:tcBorders/>
            <w:vAlign w:val="center"/>
          </w:tcPr>
          <w:p>
            <w:pPr>
              <w:pStyle w:val="TableContents"/>
              <w:bidi w:val="0"/>
              <w:spacing w:before="0" w:after="283"/>
              <w:jc w:val="left"/>
              <w:rPr>
                <w:sz w:val="4"/>
                <w:szCs w:val="4"/>
              </w:rPr>
            </w:pPr>
            <w:r>
              <w:rPr>
                <w:sz w:val="4"/>
                <w:szCs w:val="4"/>
              </w:rPr>
            </w:r>
          </w:p>
        </w:tc>
      </w:tr>
      <w:tr>
        <w:trPr/>
        <w:tc>
          <w:tcPr>
            <w:tcW w:w="441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67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4413" w:type="dxa"/>
            <w:tcBorders/>
            <w:vAlign w:val="center"/>
          </w:tcPr>
          <w:p>
            <w:pPr>
              <w:pStyle w:val="TableContents"/>
              <w:bidi w:val="0"/>
              <w:spacing w:before="0" w:after="283"/>
              <w:jc w:val="left"/>
              <w:rPr/>
            </w:pPr>
            <w:r>
              <w:rPr/>
              <w:t>AVROBIO, the presiding officer of the meeting or the holders of a majority of the shares entitled to vote who are present at the meeting may adjourn the meeting. The stockholders present at a duly constituted meeting may continue to transact business until adjournment notwithstanding the withdrawal of enough stockholders to reduce the voting shares below a quorum.</w:t>
            </w:r>
          </w:p>
        </w:tc>
        <w:tc>
          <w:tcPr>
            <w:tcW w:w="120" w:type="dxa"/>
            <w:tcBorders/>
            <w:vAlign w:val="center"/>
          </w:tcPr>
          <w:p>
            <w:pPr>
              <w:pStyle w:val="TableContents"/>
              <w:bidi w:val="0"/>
              <w:spacing w:before="0" w:after="283"/>
              <w:jc w:val="left"/>
              <w:rPr/>
            </w:pPr>
            <w:r>
              <w:rPr/>
              <w:t>  </w:t>
            </w:r>
          </w:p>
        </w:tc>
        <w:tc>
          <w:tcPr>
            <w:tcW w:w="5672" w:type="dxa"/>
            <w:tcBorders/>
            <w:vAlign w:val="center"/>
          </w:tcPr>
          <w:p>
            <w:pPr>
              <w:pStyle w:val="TableContents"/>
              <w:bidi w:val="0"/>
              <w:spacing w:before="0" w:after="283"/>
              <w:jc w:val="left"/>
              <w:rPr/>
            </w:pPr>
            <w:r>
              <w:rPr/>
              <w:t>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w:t>
            </w:r>
          </w:p>
        </w:tc>
      </w:tr>
      <w:tr>
        <w:trPr/>
        <w:tc>
          <w:tcPr>
            <w:tcW w:w="10205" w:type="dxa"/>
            <w:gridSpan w:val="3"/>
            <w:tcBorders/>
            <w:vAlign w:val="center"/>
          </w:tcPr>
          <w:p>
            <w:pPr>
              <w:pStyle w:val="TableContents"/>
              <w:bidi w:val="0"/>
              <w:spacing w:before="0" w:after="283"/>
              <w:jc w:val="center"/>
              <w:rPr>
                <w:i/>
              </w:rPr>
            </w:pPr>
            <w:r>
              <w:rPr>
                <w:i/>
              </w:rPr>
              <w:t>Special Meetings of Stockholders</w:t>
            </w:r>
          </w:p>
        </w:tc>
      </w:tr>
      <w:tr>
        <w:trPr/>
        <w:tc>
          <w:tcPr>
            <w:tcW w:w="4413" w:type="dxa"/>
            <w:tcBorders/>
            <w:vAlign w:val="center"/>
          </w:tcPr>
          <w:p>
            <w:pPr>
              <w:pStyle w:val="TableContents"/>
              <w:bidi w:val="0"/>
              <w:spacing w:before="0" w:after="283"/>
              <w:jc w:val="left"/>
              <w:rPr/>
            </w:pPr>
            <w:r>
              <w:rPr/>
              <w:t>Special meetings of stockholders may be called only by the AVROBIO Board acting pursuant to a resolution approved by the affirmative vote of a majority of the directors then in office and special meetings of stockholders may not be called by any other person or persons. The AVROBIO Board will determine the time and place, if any, of such special meeting. Only those matters set forth in the notice of the special meeting shall be considered or acted upon at such special meeting.</w:t>
            </w:r>
          </w:p>
        </w:tc>
        <w:tc>
          <w:tcPr>
            <w:tcW w:w="120" w:type="dxa"/>
            <w:tcBorders/>
            <w:vAlign w:val="center"/>
          </w:tcPr>
          <w:p>
            <w:pPr>
              <w:pStyle w:val="TableContents"/>
              <w:bidi w:val="0"/>
              <w:spacing w:before="0" w:after="283"/>
              <w:jc w:val="left"/>
              <w:rPr/>
            </w:pPr>
            <w:r>
              <w:rPr/>
              <w:t>  </w:t>
            </w:r>
          </w:p>
        </w:tc>
        <w:tc>
          <w:tcPr>
            <w:tcW w:w="5672" w:type="dxa"/>
            <w:tcBorders/>
            <w:vAlign w:val="center"/>
          </w:tcPr>
          <w:p>
            <w:pPr>
              <w:pStyle w:val="TableContents"/>
              <w:bidi w:val="0"/>
              <w:spacing w:before="0" w:after="283"/>
              <w:jc w:val="left"/>
              <w:rPr/>
            </w:pPr>
            <w:r>
              <w:rPr/>
              <w:t>Special meetings of the stockholders of Tectonic may be called, for any purpose or purposes, by (i) the Chair of the Tectonic Board, (ii) the Chief Executive Officer, (iii) the Tectonic Board pursuant to a resolution adopted by directors representing a quorum of the directors then serving on the Tectonic Board or (iv) by the holders of shares entitled to cast not less than 20% of the votes at the meeting, and will be held at such place, on such date, and at such time as the Tectonic Board will fix.</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Notice of Stockholder Meetings</w:t>
            </w:r>
          </w:p>
        </w:tc>
      </w:tr>
      <w:tr>
        <w:trPr/>
        <w:tc>
          <w:tcPr>
            <w:tcW w:w="4413" w:type="dxa"/>
            <w:tcBorders/>
            <w:vAlign w:val="center"/>
          </w:tcPr>
          <w:p>
            <w:pPr>
              <w:pStyle w:val="TableContents"/>
              <w:bidi w:val="0"/>
              <w:spacing w:before="0" w:after="283"/>
              <w:jc w:val="left"/>
              <w:rPr/>
            </w:pPr>
            <w:r>
              <w:rPr/>
              <w:t>Notice of all meetings of AVROBIO stockholders shall state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AVROBIO’s bylaws) not less than ten nor more than sixty days before the meeting to each stockholder entitled to vote thereat and to each stockholder who, under AVROBIO’s charter or bylaws is entitled to such notice. If mailed, notice is given when deposited in the mail, postage prepaid, directed to such stockholder at such stockholder’s address as it appears in AVROBIO’s records. Without limiting the manner by which notice may otherwise be effectively given to stockholders, any notice to stockholders may be given by electronic transmission in the manner provided in Section 232 of the DGCL.</w:t>
            </w:r>
          </w:p>
        </w:tc>
        <w:tc>
          <w:tcPr>
            <w:tcW w:w="120" w:type="dxa"/>
            <w:tcBorders/>
            <w:vAlign w:val="center"/>
          </w:tcPr>
          <w:p>
            <w:pPr>
              <w:pStyle w:val="TableContents"/>
              <w:bidi w:val="0"/>
              <w:spacing w:before="0" w:after="283"/>
              <w:jc w:val="left"/>
              <w:rPr/>
            </w:pPr>
            <w:r>
              <w:rPr/>
              <w:t>  </w:t>
            </w:r>
          </w:p>
        </w:tc>
        <w:tc>
          <w:tcPr>
            <w:tcW w:w="5672" w:type="dxa"/>
            <w:tcBorders/>
            <w:vAlign w:val="center"/>
          </w:tcPr>
          <w:p>
            <w:pPr>
              <w:pStyle w:val="TableContents"/>
              <w:bidi w:val="0"/>
              <w:spacing w:before="0" w:after="283"/>
              <w:jc w:val="left"/>
              <w:rPr/>
            </w:pPr>
            <w:r>
              <w:rPr/>
              <w:t>Notice, given in writing or by electronic transmission, of each meeting of 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such stockholder’s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will be bound by the proceedings of any such meeting in all respects as if due notice thereof had been given.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985"/>
        <w:gridCol w:w="120"/>
        <w:gridCol w:w="4100"/>
      </w:tblGrid>
      <w:tr>
        <w:trPr/>
        <w:tc>
          <w:tcPr>
            <w:tcW w:w="5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r>
      <w:tr>
        <w:trPr/>
        <w:tc>
          <w:tcPr>
            <w:tcW w:w="5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Advance Notice Requirements for Stockholder Proposals</w:t>
            </w:r>
          </w:p>
        </w:tc>
      </w:tr>
      <w:tr>
        <w:trPr/>
        <w:tc>
          <w:tcPr>
            <w:tcW w:w="5985" w:type="dxa"/>
            <w:tcBorders/>
            <w:vAlign w:val="center"/>
          </w:tcPr>
          <w:p>
            <w:pPr>
              <w:pStyle w:val="TableContents"/>
              <w:bidi w:val="0"/>
              <w:spacing w:before="0" w:after="283"/>
              <w:jc w:val="left"/>
              <w:rPr/>
            </w:pPr>
            <w:r>
              <w:rPr/>
              <w:t>Nominations of persons for election to the AVROBIO Board and the proposal of business other than nominations to be considered by the stockholders may be made at an annual meeting of stockholders only (i) by or at the direction of the AVROBIO Board or (ii) by any stockholder of AVROBIO who is a stockholder of record at the time of giving notice provided for in AVROBIO’s amended and restated bylaws, who is entitled to vote at the meeting, who is present (in person or by proxy) at the meeting and who complies with the notice procedures set forth in AVROBIO’s 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an annual meeting of stockholders.</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Tectonic’s bylaws do not contain advance notice requirements for stockholder proposals.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Certificate of Incorporation</w:t>
            </w:r>
          </w:p>
        </w:tc>
      </w:tr>
      <w:tr>
        <w:trPr/>
        <w:tc>
          <w:tcPr>
            <w:tcW w:w="5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will be required to amend certain provisions of AVROBIO’s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Notwithstanding any other provisions of AVROBIO’s charter or bylaws, or any provision of law which might otherwise permit a lesser vote or no vote, stockholders may vote to amend AVROBIO’s charter pursuant to Section 242 of the DGCL.</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Subject to Section 242 of the DGCL, affirmative vote of the majority of the outstanding shares of capital stock entitled to vote and the affirmative vote of the holders of at least a majority of the outstanding shares of Tectonic preferred stock, voting together on an as-converted to Tectonic common stock basis, will be required to amend, alter, waive or repeal any provision of Tectonic’s charter in a manner that adversely affects the powers, preferences or rights of the holders of Tectonic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Amendment of Bylaws</w:t>
            </w:r>
          </w:p>
        </w:tc>
      </w:tr>
      <w:tr>
        <w:trPr/>
        <w:tc>
          <w:tcPr>
            <w:tcW w:w="5985" w:type="dxa"/>
            <w:tcBorders/>
            <w:vAlign w:val="center"/>
          </w:tcPr>
          <w:p>
            <w:pPr>
              <w:pStyle w:val="TableContents"/>
              <w:bidi w:val="0"/>
              <w:spacing w:before="0" w:after="283"/>
              <w:jc w:val="left"/>
              <w:rPr/>
            </w:pPr>
            <w:r>
              <w:rPr/>
              <w:t>AVROBIO’s bylaws may be amended or repealed by the AVROBIO stockholders or the AVROBIO Board. The affirmative vote of a majority of the outstanding shares of capital stock entitled to vote, voting together as a single class, is required to amend or repeal AVROBIO’s bylaws. The AVROBIO Board also has the power to amend or repeal AVROBIO’s bylaws by the affirmative vote of a majority of the directors then in office.</w:t>
            </w:r>
          </w:p>
        </w:tc>
        <w:tc>
          <w:tcPr>
            <w:tcW w:w="1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The Tectonic Board is expressly empowered to adopt, amend or repeal Tectonic’s bylaws. Tectonic stockholders also have power to adopt, amend or repeal Tectonic’s bylaws; provided, however, that, in addition to any vote of the holders of any class or series of stock of the corporation required by law or by Tectonic’s charter, such action by stockholders requires the affirmative vote of the holders of a majority of the voting power of all of the then outstanding shares of the capital stock of Tectonic entitled to vote generally in the election of directors, voting together as a single class.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921"/>
        <w:gridCol w:w="120"/>
        <w:gridCol w:w="4164"/>
      </w:tblGrid>
      <w:tr>
        <w:trPr/>
        <w:tc>
          <w:tcPr>
            <w:tcW w:w="5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64" w:type="dxa"/>
            <w:tcBorders/>
            <w:vAlign w:val="center"/>
          </w:tcPr>
          <w:p>
            <w:pPr>
              <w:pStyle w:val="TableContents"/>
              <w:bidi w:val="0"/>
              <w:spacing w:before="0" w:after="283"/>
              <w:jc w:val="left"/>
              <w:rPr>
                <w:sz w:val="4"/>
                <w:szCs w:val="4"/>
              </w:rPr>
            </w:pPr>
            <w:r>
              <w:rPr>
                <w:sz w:val="4"/>
                <w:szCs w:val="4"/>
              </w:rPr>
            </w:r>
          </w:p>
        </w:tc>
      </w:tr>
      <w:tr>
        <w:trPr/>
        <w:tc>
          <w:tcPr>
            <w:tcW w:w="592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416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affirmative vote of the holders of at least a majority of the outstanding shares of Voting Preferred Stock, voting together on an as-converted to Tectonic common stock basis, is required to amend, alter, waive or repeal any provision of Tectonic’s bylaws in a manner that adversely affects the powers, preferences or rights of the holders of Tectonic preferred stock.</w:t>
            </w:r>
          </w:p>
        </w:tc>
      </w:tr>
      <w:tr>
        <w:trPr/>
        <w:tc>
          <w:tcPr>
            <w:tcW w:w="10205" w:type="dxa"/>
            <w:gridSpan w:val="3"/>
            <w:tcBorders/>
            <w:vAlign w:val="center"/>
          </w:tcPr>
          <w:p>
            <w:pPr>
              <w:pStyle w:val="TableContents"/>
              <w:bidi w:val="0"/>
              <w:spacing w:before="0" w:after="283"/>
              <w:jc w:val="center"/>
              <w:rPr>
                <w:i/>
              </w:rPr>
            </w:pPr>
            <w:r>
              <w:rPr>
                <w:i/>
              </w:rPr>
              <w:t>Limitation on Director Liability</w:t>
            </w:r>
          </w:p>
        </w:tc>
      </w:tr>
      <w:tr>
        <w:trPr/>
        <w:tc>
          <w:tcPr>
            <w:tcW w:w="5921" w:type="dxa"/>
            <w:tcBorders/>
            <w:vAlign w:val="center"/>
          </w:tcPr>
          <w:p>
            <w:pPr>
              <w:pStyle w:val="TableContents"/>
              <w:bidi w:val="0"/>
              <w:spacing w:before="0" w:after="283"/>
              <w:jc w:val="left"/>
              <w:rPr/>
            </w:pPr>
            <w:r>
              <w:rPr/>
              <w:t>The liability of the AVROBIO directors to AVROBIO or AVROBIO stockholders for monetary damages is and will be eliminated to the fullest extent under applicable law. If applicable law is amended to authorize corporate action further eliminating or limiting the personal liability of directors, then the liability of a director to AVROBIO will be eliminated or limited to the fullest extent permitted by applicable law as so amended. Any amendment, repeal or modification of applicable law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tc>
        <w:tc>
          <w:tcPr>
            <w:tcW w:w="12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before="0" w:after="283"/>
              <w:jc w:val="left"/>
              <w:rPr/>
            </w:pPr>
            <w:r>
              <w:rPr/>
              <w:t>A Tectonic director shall not be personally liable to Tectonic or its stockholders for monetary damages for breach of fiduciary duty as a director.</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Indemnification</w:t>
            </w:r>
          </w:p>
        </w:tc>
      </w:tr>
      <w:tr>
        <w:trPr/>
        <w:tc>
          <w:tcPr>
            <w:tcW w:w="5921" w:type="dxa"/>
            <w:tcBorders/>
            <w:vAlign w:val="center"/>
          </w:tcPr>
          <w:p>
            <w:pPr>
              <w:pStyle w:val="TableContents"/>
              <w:bidi w:val="0"/>
              <w:spacing w:before="0" w:after="283"/>
              <w:jc w:val="left"/>
              <w:rPr/>
            </w:pPr>
            <w:r>
              <w:rPr/>
              <w:t>To the fullest extent permitted by applicable law, AVROBIO is authorized to provide indemnification of (and advancement of expenses to) directors, officers and agents of AVROBIO (and any other persons to which applicable law permits AVROBIO to provide indemnification) through provisions of AVROBIO’s amended and restated bylaws, agreements with such agents or other persons, vote of stockholders or disinterested directors or otherwise in excess of the indemnification and advancement otherwise permitted by such applicable law. If applicable law is amended to authorize broader indemnification rights than such law permitted AVROBIO to provide prior to such amendment, then the liability of a director to AVROBIO will be eliminated or limited to the fullest extent permitted by applicable law as so amended.</w:t>
            </w:r>
          </w:p>
        </w:tc>
        <w:tc>
          <w:tcPr>
            <w:tcW w:w="120" w:type="dxa"/>
            <w:tcBorders/>
            <w:vAlign w:val="center"/>
          </w:tcPr>
          <w:p>
            <w:pPr>
              <w:pStyle w:val="TableContents"/>
              <w:bidi w:val="0"/>
              <w:spacing w:before="0" w:after="283"/>
              <w:jc w:val="left"/>
              <w:rPr/>
            </w:pPr>
            <w:r>
              <w:rPr/>
              <w:t>  </w:t>
            </w:r>
          </w:p>
        </w:tc>
        <w:tc>
          <w:tcPr>
            <w:tcW w:w="4164" w:type="dxa"/>
            <w:tcBorders/>
            <w:vAlign w:val="center"/>
          </w:tcPr>
          <w:p>
            <w:pPr>
              <w:pStyle w:val="TableContents"/>
              <w:bidi w:val="0"/>
              <w:spacing w:before="0" w:after="283"/>
              <w:jc w:val="left"/>
              <w:rPr/>
            </w:pPr>
            <w:r>
              <w:rPr/>
              <w:t>To the fullest extent permitted by applicable law, Tectonic is authorized to provide indemnification of (and advancement of expenses to) directors, officers and agents of Tectonic (and any other persons to which the DGCL permits Tectonic to provide indemnification) through bylaw provisions, agreements with such agents or other persons, vote of stockholders or disinterested directors or otherwise, in excess of the indemnification and advancement otherwise permitted by Section 145 of the DGCL.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708"/>
        <w:gridCol w:w="120"/>
        <w:gridCol w:w="8377"/>
      </w:tblGrid>
      <w:tr>
        <w:trPr/>
        <w:tc>
          <w:tcPr>
            <w:tcW w:w="1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77" w:type="dxa"/>
            <w:tcBorders/>
            <w:vAlign w:val="center"/>
          </w:tcPr>
          <w:p>
            <w:pPr>
              <w:pStyle w:val="TableContents"/>
              <w:bidi w:val="0"/>
              <w:spacing w:before="0" w:after="283"/>
              <w:jc w:val="left"/>
              <w:rPr>
                <w:sz w:val="4"/>
                <w:szCs w:val="4"/>
              </w:rPr>
            </w:pPr>
            <w:r>
              <w:rPr>
                <w:sz w:val="4"/>
                <w:szCs w:val="4"/>
              </w:rPr>
            </w:r>
          </w:p>
        </w:tc>
      </w:tr>
      <w:tr>
        <w:trPr/>
        <w:tc>
          <w:tcPr>
            <w:tcW w:w="170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837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Conversion Rights</w:t>
            </w:r>
          </w:p>
        </w:tc>
      </w:tr>
      <w:tr>
        <w:trPr/>
        <w:tc>
          <w:tcPr>
            <w:tcW w:w="1708" w:type="dxa"/>
            <w:tcBorders/>
            <w:vAlign w:val="center"/>
          </w:tcPr>
          <w:p>
            <w:pPr>
              <w:pStyle w:val="TableContents"/>
              <w:bidi w:val="0"/>
              <w:spacing w:before="0" w:after="283"/>
              <w:jc w:val="left"/>
              <w:rPr/>
            </w:pPr>
            <w:r>
              <w:rPr/>
              <w:t>AVROBIO does not have any outstanding shares of undesignated preferred stock.</w:t>
            </w:r>
          </w:p>
        </w:tc>
        <w:tc>
          <w:tcPr>
            <w:tcW w:w="120"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Tectonic’s charter provides that holders of Tectonic preferred stock have the right to convert such shares into shares of common stock at any time at a conversion rate in accordance with the terms of Tectonic’s charter. In addition, upon the earliest of (a) the closing of the sale of shares of Tectonic common stock to the public at a price of at least $39.56280 per share in a firm-commitment underwritten public offering pursuant to an effective registration statement under the Securities Act, resulting in at least $75,000,000 of gross proceeds to Tectonic or (b) the date and time, or the occurrence of an event, specified by vote or written consent of the holders of at least a majority of the outstanding shares of Voting Preferred Stock voting together on an as-converted to common stock basis, then (i) all outstanding shares of Tectonic preferred stock shall automatically be converted into shares of Tectonic common stock, at the then effective conversion rate as calculated pursuant to Tectonic’s charter. Each share of Series A-2 preferred stock shall be convertible into one share of Series A-1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First Refusal</w:t>
            </w:r>
          </w:p>
        </w:tc>
      </w:tr>
      <w:tr>
        <w:trPr/>
        <w:tc>
          <w:tcPr>
            <w:tcW w:w="1708" w:type="dxa"/>
            <w:tcBorders/>
            <w:vAlign w:val="center"/>
          </w:tcPr>
          <w:p>
            <w:pPr>
              <w:pStyle w:val="TableContents"/>
              <w:bidi w:val="0"/>
              <w:spacing w:before="0" w:after="283"/>
              <w:jc w:val="left"/>
              <w:rPr/>
            </w:pPr>
            <w:r>
              <w:rPr/>
              <w:t>AVROBIO does not have a right of first refusal in place.</w:t>
            </w:r>
          </w:p>
        </w:tc>
        <w:tc>
          <w:tcPr>
            <w:tcW w:w="120"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Pursuant to a Right of First Refusal and Co-Sale Agreement dated March 31, 2021 (the “Right of First Refusal Agreement”) certain of Tectonic stockholders (each, a “Key Holder”), wishing to transfer any shares of Tectonic capital stock must first provide Tectonic with the right to purchase such shares. In such an event, if Tectonic does not elect to exercise its right of first refusal in full, certain stockholders party to the Right of First Refusal, or Investors, have a secondary right of first refusal to purchase all or any portion of the shares of Tectonic capital stock which are proposed for sale or transfer by the Key Holders.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Right of Co-Sale</w:t>
            </w:r>
          </w:p>
        </w:tc>
      </w:tr>
      <w:tr>
        <w:trPr/>
        <w:tc>
          <w:tcPr>
            <w:tcW w:w="1708" w:type="dxa"/>
            <w:tcBorders/>
            <w:vAlign w:val="center"/>
          </w:tcPr>
          <w:p>
            <w:pPr>
              <w:pStyle w:val="TableContents"/>
              <w:bidi w:val="0"/>
              <w:spacing w:before="0" w:after="283"/>
              <w:jc w:val="left"/>
              <w:rPr/>
            </w:pPr>
            <w:r>
              <w:rPr/>
              <w:t>AVROBIO does not have a right of co-sale in place.</w:t>
            </w:r>
          </w:p>
        </w:tc>
        <w:tc>
          <w:tcPr>
            <w:tcW w:w="120" w:type="dxa"/>
            <w:tcBorders/>
            <w:vAlign w:val="center"/>
          </w:tcPr>
          <w:p>
            <w:pPr>
              <w:pStyle w:val="TableContents"/>
              <w:bidi w:val="0"/>
              <w:spacing w:before="0" w:after="283"/>
              <w:jc w:val="left"/>
              <w:rPr/>
            </w:pPr>
            <w:r>
              <w:rPr/>
              <w:t>  </w:t>
            </w:r>
          </w:p>
        </w:tc>
        <w:tc>
          <w:tcPr>
            <w:tcW w:w="8377" w:type="dxa"/>
            <w:tcBorders/>
            <w:vAlign w:val="center"/>
          </w:tcPr>
          <w:p>
            <w:pPr>
              <w:pStyle w:val="TableContents"/>
              <w:bidi w:val="0"/>
              <w:spacing w:before="0" w:after="283"/>
              <w:jc w:val="left"/>
              <w:rPr/>
            </w:pPr>
            <w:r>
              <w:rPr/>
              <w:t>Pursuant to the Right of First Refusal Agreement each Investor has a right of co-sale with respect to any Tectonic capital stock proposed to be transferred or sold by any Key Holder which is not earlier purchased by Tectonic by exercise of its right of first refusal (as further described above) or by any Tectonic investor by exercise of their secondary right of first refusal (as further described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198"/>
        <w:gridCol w:w="120"/>
        <w:gridCol w:w="5887"/>
      </w:tblGrid>
      <w:tr>
        <w:trPr/>
        <w:tc>
          <w:tcPr>
            <w:tcW w:w="41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87" w:type="dxa"/>
            <w:tcBorders/>
            <w:vAlign w:val="center"/>
          </w:tcPr>
          <w:p>
            <w:pPr>
              <w:pStyle w:val="TableContents"/>
              <w:bidi w:val="0"/>
              <w:spacing w:before="0" w:after="283"/>
              <w:jc w:val="left"/>
              <w:rPr>
                <w:sz w:val="4"/>
                <w:szCs w:val="4"/>
              </w:rPr>
            </w:pPr>
            <w:r>
              <w:rPr>
                <w:sz w:val="4"/>
                <w:szCs w:val="4"/>
              </w:rPr>
            </w:r>
          </w:p>
        </w:tc>
      </w:tr>
      <w:tr>
        <w:trPr/>
        <w:tc>
          <w:tcPr>
            <w:tcW w:w="41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88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Preemptive Rights</w:t>
            </w:r>
          </w:p>
        </w:tc>
      </w:tr>
      <w:tr>
        <w:trPr/>
        <w:tc>
          <w:tcPr>
            <w:tcW w:w="4198" w:type="dxa"/>
            <w:tcBorders/>
            <w:vAlign w:val="center"/>
          </w:tcPr>
          <w:p>
            <w:pPr>
              <w:pStyle w:val="TableContents"/>
              <w:bidi w:val="0"/>
              <w:spacing w:before="0" w:after="283"/>
              <w:jc w:val="left"/>
              <w:rPr/>
            </w:pPr>
            <w:r>
              <w:rPr/>
              <w:t>AVROBIO stockholders do not have preemptive rights. Thus, if additional shares of AVROBIO common stock are issued, the current holders of AVROBIO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5887" w:type="dxa"/>
            <w:tcBorders/>
            <w:vAlign w:val="center"/>
          </w:tcPr>
          <w:p>
            <w:pPr>
              <w:pStyle w:val="TableContents"/>
              <w:bidi w:val="0"/>
              <w:spacing w:before="0" w:after="283"/>
              <w:jc w:val="left"/>
              <w:rPr/>
            </w:pPr>
            <w:r>
              <w:rPr/>
              <w:t>Pursuant to the Investors’ Rights Agreement, dated March 31, 2021 (the “Tectonic IRA”), if Tectonic proposes to offer or sell new equity securities, Tectonic must first offer such securities to certain holders of Tectonic capital stock. Each such holder will then have the right to purchase securities in such new offering equal to the proportion of the ownership interest of such holder prior to such offering.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Distributions to Stockholders</w:t>
            </w:r>
          </w:p>
        </w:tc>
      </w:tr>
      <w:tr>
        <w:trPr/>
        <w:tc>
          <w:tcPr>
            <w:tcW w:w="4198" w:type="dxa"/>
            <w:tcBorders/>
            <w:vAlign w:val="center"/>
          </w:tcPr>
          <w:p>
            <w:pPr>
              <w:pStyle w:val="TableContents"/>
              <w:bidi w:val="0"/>
              <w:spacing w:before="0" w:after="283"/>
              <w:jc w:val="left"/>
              <w:rPr/>
            </w:pPr>
            <w:r>
              <w:rPr/>
              <w:t>Dividends upon AVROBIO capital stock, subject to the provisions of AVROBIO’s charter and applicable law, if any, may be declared by the AVROBIO Board pursuant to law at any regular or special meeting. Dividends may be paid in cash, in property, or in shares of the capital stock, subject to the provisions of AVROBIO’s charter and applicable law. The AVROBIO Board may fix a record date for the determination of holders of AVROBIO common stock entitled to receive payment of a dividend or distribution declared thereon, which record date shall not precede the date upon which the resolution fixing the record date is adopted, and which record date may not be more than 60 days prior to the date fixed for the payment thereof.</w:t>
            </w:r>
          </w:p>
        </w:tc>
        <w:tc>
          <w:tcPr>
            <w:tcW w:w="120" w:type="dxa"/>
            <w:tcBorders/>
            <w:vAlign w:val="center"/>
          </w:tcPr>
          <w:p>
            <w:pPr>
              <w:pStyle w:val="TableContents"/>
              <w:bidi w:val="0"/>
              <w:spacing w:before="0" w:after="283"/>
              <w:jc w:val="left"/>
              <w:rPr/>
            </w:pPr>
            <w:r>
              <w:rPr/>
              <w:t>  </w:t>
            </w:r>
          </w:p>
        </w:tc>
        <w:tc>
          <w:tcPr>
            <w:tcW w:w="5887" w:type="dxa"/>
            <w:tcBorders/>
            <w:vAlign w:val="center"/>
          </w:tcPr>
          <w:p>
            <w:pPr>
              <w:pStyle w:val="TableContents"/>
              <w:bidi w:val="0"/>
              <w:spacing w:before="0" w:after="283"/>
              <w:jc w:val="left"/>
              <w:rPr/>
            </w:pPr>
            <w:r>
              <w:rPr/>
              <w:t>Dividends upon Tectonic capital stock, subject to the provisions of Tectonic’s charter and applicable law, if any, may be declared by the Tectonic Board any regular or special meeting. Dividends may be paid in cash, in property, or in shares of the capital stock, subject to the provisions of Tectonic ’s amended and restated certificate of incorporation, as amended, and applicable law. The Tectonic Board may fix a record date for the determination of holders of Tectonic common stock entitled to receive payment of a dividend or distribution declared thereon, which record date is to be not to precede the date upon which the resolution fixing the record date is adopted, and which record date may not be more than 60 days prior to the date fixed for the payment thereof. The holders of Tectonic preferred stock are entitled to receive, only when, as and if declared by the Tectonic Board, dividends at the rate of 8% of the original issue price for each share of Tectonic preferred stock. No dividend shall be paid to the holders of Tectonic Common Stock unless the holders of Tectonic preferred stock first receive payment of the dividends to which they are entitled under Tectonic’s amended and restated certificate of incorporation.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Exclusive Forum</w:t>
            </w:r>
          </w:p>
        </w:tc>
      </w:tr>
      <w:tr>
        <w:trPr/>
        <w:tc>
          <w:tcPr>
            <w:tcW w:w="4198" w:type="dxa"/>
            <w:tcBorders/>
            <w:vAlign w:val="center"/>
          </w:tcPr>
          <w:p>
            <w:pPr>
              <w:pStyle w:val="TableContents"/>
              <w:bidi w:val="0"/>
              <w:spacing w:before="0" w:after="283"/>
              <w:jc w:val="left"/>
              <w:rPr/>
            </w:pPr>
            <w:r>
              <w:rPr/>
              <w:t>AVROBIO’s bylaws provide that unless it consents in writing to the selection of an alternative forum, the Court of Chancery of the State of Delaware will be the sole and exclusive forum for any state law claim for: (i) any derivative action or proceeding brought on behalf of AVROBIO, (ii) any action asserting a claim of breach of or based on a fiduciary duty owed by any current or former director, officer or other employee of AVROBIO to AVROBIO or AVROBIO stockholders, (iii) any action asserting a claim against AVROBIO or any current or former director, officer or other employee or stockholder of the AVROBIO arising pursuant to any</w:t>
            </w:r>
          </w:p>
        </w:tc>
        <w:tc>
          <w:tcPr>
            <w:tcW w:w="120" w:type="dxa"/>
            <w:tcBorders/>
            <w:vAlign w:val="center"/>
          </w:tcPr>
          <w:p>
            <w:pPr>
              <w:pStyle w:val="TableContents"/>
              <w:bidi w:val="0"/>
              <w:spacing w:before="0" w:after="283"/>
              <w:jc w:val="left"/>
              <w:rPr/>
            </w:pPr>
            <w:r>
              <w:rPr/>
              <w:t>  </w:t>
            </w:r>
          </w:p>
        </w:tc>
        <w:tc>
          <w:tcPr>
            <w:tcW w:w="5887" w:type="dxa"/>
            <w:tcBorders/>
            <w:vAlign w:val="center"/>
          </w:tcPr>
          <w:p>
            <w:pPr>
              <w:pStyle w:val="TableContents"/>
              <w:bidi w:val="0"/>
              <w:spacing w:before="0" w:after="283"/>
              <w:jc w:val="left"/>
              <w:rPr/>
            </w:pPr>
            <w:r>
              <w:rPr/>
              <w:t>Unless Tectonic consents in writing to the selection of an alternative forum, the Court of Chancery in the State of Delaware shall be the sole and exclusive forum for any stockholder (including a beneficial owner) to bring (i) any derivative action or proceeding brought on behalf of Tectonic, (ii) any action asserting a claim of breach of fiduciary duty owed by any director, officer or other employee of Tectonic to Tectonic or its stockholders, (iii) any action asserting a claim against Tectonic, its directors, officers or employees arising pursuant to any provision of the DGCL or Tectonic’s amended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073"/>
        <w:gridCol w:w="120"/>
        <w:gridCol w:w="5012"/>
      </w:tblGrid>
      <w:tr>
        <w:trPr/>
        <w:tc>
          <w:tcPr>
            <w:tcW w:w="50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7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AVROBIO</w:t>
            </w:r>
          </w:p>
        </w:tc>
        <w:tc>
          <w:tcPr>
            <w:tcW w:w="120" w:type="dxa"/>
            <w:tcBorders/>
            <w:vAlign w:val="center"/>
          </w:tcPr>
          <w:p>
            <w:pPr>
              <w:pStyle w:val="TableContents"/>
              <w:bidi w:val="0"/>
              <w:spacing w:before="0" w:after="283"/>
              <w:jc w:val="left"/>
              <w:rPr/>
            </w:pPr>
            <w:r>
              <w:rPr/>
              <w:t>  </w:t>
            </w:r>
          </w:p>
        </w:tc>
        <w:tc>
          <w:tcPr>
            <w:tcW w:w="501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TECTONIC</w:t>
            </w:r>
          </w:p>
        </w:tc>
      </w:tr>
      <w:tr>
        <w:trPr/>
        <w:tc>
          <w:tcPr>
            <w:tcW w:w="5073" w:type="dxa"/>
            <w:tcBorders/>
            <w:vAlign w:val="center"/>
          </w:tcPr>
          <w:p>
            <w:pPr>
              <w:pStyle w:val="TableContents"/>
              <w:bidi w:val="0"/>
              <w:spacing w:before="0" w:after="283"/>
              <w:jc w:val="left"/>
              <w:rPr/>
            </w:pPr>
            <w:r>
              <w:rPr/>
              <w:t>provision of the DGCL or AVROBIO’s charter or bylaws, or (iv) any action asserting a claim against AVROBIO or any current or former director or officer or other employee of AVROBIO governed by the internal affairs doctrine. Unless AVROBIO consents in writing to the selection of an alternative forum, the United States District Court for the District of Massachusetts shall be the exclusive forum for the resolution of any complaint asserting a cause of action arising under the Securities Act. Any person or entity purchasing or otherwise acquiring any interest in shares of capital stock of AVROBIO will be deemed to have notice of and to have consented to the forum selection provision of AVROBIO’s bylaws.</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and restated certificate of incorporation, as amended or bylaws or (iv) any action asserting a claim against Tectonic,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r>
      <w:tr>
        <w:trPr/>
        <w:tc>
          <w:tcPr>
            <w:tcW w:w="10205" w:type="dxa"/>
            <w:gridSpan w:val="3"/>
            <w:tcBorders/>
            <w:vAlign w:val="center"/>
          </w:tcPr>
          <w:p>
            <w:pPr>
              <w:pStyle w:val="TableContents"/>
              <w:bidi w:val="0"/>
              <w:spacing w:before="0" w:after="283"/>
              <w:jc w:val="center"/>
              <w:rPr>
                <w:i/>
              </w:rPr>
            </w:pPr>
            <w:r>
              <w:rPr>
                <w:i/>
              </w:rPr>
              <w:t>Registration Rights</w:t>
            </w:r>
          </w:p>
        </w:tc>
      </w:tr>
      <w:tr>
        <w:trPr/>
        <w:tc>
          <w:tcPr>
            <w:tcW w:w="5073" w:type="dxa"/>
            <w:tcBorders/>
            <w:vAlign w:val="center"/>
          </w:tcPr>
          <w:p>
            <w:pPr>
              <w:pStyle w:val="TableContents"/>
              <w:bidi w:val="0"/>
              <w:spacing w:before="0" w:after="283"/>
              <w:jc w:val="left"/>
              <w:rPr/>
            </w:pPr>
            <w:r>
              <w:rPr/>
              <w:t>AVROBIO is not party to any registration rights agreements.</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Under the Tectonic IRA, certain holders of Tectonic preferred stock that are party to the Tectonic IRA have certain registration rights, including the right to demand that Tectonic file a registration statement, so called “demand” registration rights, or request that their shares be covered by a registration statement that Tectonic is otherwise filing, so-called “piggyback” registration rights.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 Transfer Restrictions Applicable to Stockholders</w:t>
            </w:r>
          </w:p>
        </w:tc>
      </w:tr>
      <w:tr>
        <w:trPr/>
        <w:tc>
          <w:tcPr>
            <w:tcW w:w="5073" w:type="dxa"/>
            <w:tcBorders/>
            <w:vAlign w:val="center"/>
          </w:tcPr>
          <w:p>
            <w:pPr>
              <w:pStyle w:val="TableContents"/>
              <w:bidi w:val="0"/>
              <w:spacing w:before="0" w:after="283"/>
              <w:jc w:val="left"/>
              <w:rPr/>
            </w:pPr>
            <w:r>
              <w:rPr/>
              <w:t>Shares of AVROBIO are transferable in the manner prescribed by the DGCL.</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Pursuant to Tectonic’s bylaws, transfer of Tectonic shares requires prior written consent of Tectonic board, subject to certain conditions as provided in the Tectonic bylaws.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center"/>
              <w:rPr>
                <w:i/>
              </w:rPr>
            </w:pPr>
            <w:r>
              <w:rPr>
                <w:i/>
              </w:rPr>
              <w:t>Stockholder Rights Plan</w:t>
            </w:r>
          </w:p>
        </w:tc>
      </w:tr>
      <w:tr>
        <w:trPr/>
        <w:tc>
          <w:tcPr>
            <w:tcW w:w="5073" w:type="dxa"/>
            <w:tcBorders/>
            <w:vAlign w:val="center"/>
          </w:tcPr>
          <w:p>
            <w:pPr>
              <w:pStyle w:val="TableContents"/>
              <w:bidi w:val="0"/>
              <w:spacing w:before="0" w:after="283"/>
              <w:jc w:val="left"/>
              <w:rPr/>
            </w:pPr>
            <w:r>
              <w:rPr/>
              <w:t>AVROBIO has not adopted a stockholder rights plan, or “poison pill.”</w:t>
            </w:r>
          </w:p>
        </w:tc>
        <w:tc>
          <w:tcPr>
            <w:tcW w:w="120" w:type="dxa"/>
            <w:tcBorders/>
            <w:vAlign w:val="center"/>
          </w:tcPr>
          <w:p>
            <w:pPr>
              <w:pStyle w:val="TableContents"/>
              <w:bidi w:val="0"/>
              <w:spacing w:before="0" w:after="283"/>
              <w:jc w:val="left"/>
              <w:rPr/>
            </w:pPr>
            <w:r>
              <w:rPr/>
              <w:t>  </w:t>
            </w:r>
          </w:p>
        </w:tc>
        <w:tc>
          <w:tcPr>
            <w:tcW w:w="5012" w:type="dxa"/>
            <w:tcBorders/>
            <w:vAlign w:val="center"/>
          </w:tcPr>
          <w:p>
            <w:pPr>
              <w:pStyle w:val="TableContents"/>
              <w:bidi w:val="0"/>
              <w:spacing w:before="0" w:after="283"/>
              <w:jc w:val="left"/>
              <w:rPr/>
            </w:pPr>
            <w:r>
              <w:rPr/>
              <w:t>Tectonic has not adopted a stockholder rights plan, or “poison pill.”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3" w:name="toc770053_188"/>
      <w:bookmarkEnd w:id="183"/>
      <w:r>
        <w:rPr>
          <w:rFonts w:ascii="Times New Roman" w:hAnsi="Times New Roman"/>
          <w:b/>
          <w:sz w:val="20"/>
        </w:rPr>
        <w:t xml:space="preserve">PRINCIPAL AVROBIO STOCKHOLDERS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to the extent known by AVROBIO or ascertainable from public filings, with respect to the beneficial ownership of AVROBIO common stock as of March 15, 2024, by: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directors;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AVROBIO’s named executive officers;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AVROBIO’s directors and executive officers as a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AVROBIO to beneficially own greater than 5% of AVROBIO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titled “Shares Beneficially Owned” is based on a total of 44,877,840 shares of AVROBIO common stock outstanding as of March 15, 2024.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AVROBIO common stock. Shares of AVROBIO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AVROBIO common stock beneficially owned by them, subject to community property laws, where applicable. Except as otherwise indicated in the table below, addresses of named beneficial owners are in care of AVROBIO, Inc., 100 Technology Square, 6th Floor, Cambridge, Massachusetts 02139. </w:t>
      </w:r>
    </w:p>
    <w:p>
      <w:pPr>
        <w:pStyle w:val="TextBody"/>
        <w:bidi w:val="0"/>
        <w:spacing w:before="0" w:after="0"/>
        <w:jc w:val="left"/>
        <w:rPr/>
      </w:pPr>
      <w:r>
        <w:rPr/>
        <w:t> </w:t>
      </w:r>
    </w:p>
    <w:tbl>
      <w:tblPr>
        <w:tblW w:w="9282" w:type="dxa"/>
        <w:jc w:val="left"/>
        <w:tblInd w:w="0" w:type="dxa"/>
        <w:tblLayout w:type="fixed"/>
        <w:tblCellMar>
          <w:top w:w="0" w:type="dxa"/>
          <w:left w:w="0" w:type="dxa"/>
          <w:bottom w:w="0" w:type="dxa"/>
          <w:right w:w="0" w:type="dxa"/>
        </w:tblCellMar>
      </w:tblPr>
      <w:tblGrid>
        <w:gridCol w:w="5975"/>
        <w:gridCol w:w="120"/>
        <w:gridCol w:w="86"/>
        <w:gridCol w:w="1408"/>
        <w:gridCol w:w="86"/>
        <w:gridCol w:w="172"/>
        <w:gridCol w:w="110"/>
        <w:gridCol w:w="1035"/>
        <w:gridCol w:w="290"/>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408"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Affiliates of Atlas Venture Fund(1)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4,541,381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10.12</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BML Investment, L.P.(2)</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4,401,627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9.81</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Affiliates of ADAR1 Fund(3)</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3,276,498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7.30</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Newtyn Management, LLC(4)</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2,734,175</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6.09</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Geoff MacKay(5)</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213,938</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Azadeh Golipour(6)</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400,655</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Erik Ostrowski(7)</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809,184</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1.77</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Essra Ridha(8)</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307,694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Bruce Booth, DPhil(9)</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76,069</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T. Clark(10)</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155,091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Donenberg(11)</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96,812</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M. Farfel, PhD(12)</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80,394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Annalisa Jenkins, MBBS, FRCP(13)</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115,580</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Paige, PhD(14)</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328,581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Philip J. Vickers, PhD(15)</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99,612</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 (11 persons)(16)</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08" w:type="dxa"/>
            <w:tcBorders/>
            <w:vAlign w:val="center"/>
          </w:tcPr>
          <w:p>
            <w:pPr>
              <w:pStyle w:val="TableContents"/>
              <w:bidi w:val="0"/>
              <w:spacing w:before="0" w:after="283"/>
              <w:jc w:val="right"/>
              <w:rPr/>
            </w:pPr>
            <w:r>
              <w:rPr/>
              <w:t>3,042,369</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6.40</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a Schedule 13D filed with the SEC on July 30, 2019 and a Form 4 filed with the SEC on February 18, 2020. 3,710,052 shares are held directly by Atlas Venture X, 810,811 shares are held 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by Atlas Venture Opportunity and 20,518 shares are held directly by AVA X LP. AVA X LP is the general partner of Atlas Venture X, and AVA X LLC is the general partner of AVA X LP. AVA Opportunity LP is the general partner of Atlas Venture Opportunity and AVA Opportunity LLC is the general partner of AVA Opportunity LP. Bruce Booth is a member of AVA X LLC and AVA Opportunity LLC and a member of the AVROBIO Board. Dr. Booth disclaims beneficial ownership of such shares, except to the extent of his proportionate pecuniary interest therein, if any. The address for Atlas Venture X is 300 Technology Square, 8th Floor, Cambridge, MA 02139.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13G/A filed with the SEC on February 7, 2024. The report was filed by BML Investment Partners, L.P. and Braden M. Leonard. The address for these persons is 65 E Cedar, Suite 2, Zionsville, IN 46077.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February 23, 2024. The report was filed by ADAR1 Partners, LP, ADAR1 Capital Management, LLC, ADAR1 Capital Management GP, LLC, and Daniel Schneeberger. 3,276,498 shares are directly held by ADAR1 Partners, LP. ADAR1 Capital Management, LLC acts as an investment adviser to, and manages investment and trading accounts of, ADAR1 Partners, LP. ADAR1 Capital Management GP, LLC acts as the general partner of ADAR1 Partners, LP. Mr. Schneeberger is the manager of ADAR1 Capital Management, LLC and ADAR1 Capital Management GP, LLC. ADAR1 Capital Management, LLC, ADAR1 Capital Management GP, LLC and Mr. Schneeberger may be deemed to indirectly beneficially own securities held by ADAR1 Partners, LP. The address of the principal business office of each of these persons is 3503 Wild Cherry Drive, Building 9, Austin, Texas 78738.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February 14, 2024. The report was filed by Newtyn Management, LLC. 1,332,500 shares are held directly by Newtyn Partners, LP and 1,401,675 shares are held directly by Newtyn TE Partners, LP. Newtyn Management, LLC is the investment manager to Newtyn Partners, LP and Newtyn TE Partners, LP and may be deemed to beneficially own the 2,734,175 shares held in aggregate by Newtyn Partners, LP and Newtyn TE Partners, LP. The address for Newtyn Management, LLC is 60 East 42nd Street, 9th Floor, New York, NY 10165.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213,938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37,700 shares of AVROBIO common stock and (ii) 362,955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29,285 shares of AVROBIO common stock and (ii) 779,899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(8)</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15,881 shares of AVROBIO common stock and (ii) 291,813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(9)</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76,069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155,091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(11)</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2,000 shares of AVROBIO common stock and (ii) 94,812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pPr>
            <w:r>
              <w:rPr/>
              <w:t>(12)</w:t>
            </w:r>
          </w:p>
        </w:tc>
        <w:tc>
          <w:tcPr>
            <w:tcW w:w="97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80,394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(13)</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115,580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(14)</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252,512 shares of AVROBIO common stock and (ii) 76,069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(15)</w:t>
            </w:r>
          </w:p>
        </w:tc>
        <w:tc>
          <w:tcPr>
            <w:tcW w:w="9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4,800 shares of AVROBIO common stock and (ii) 94,812 shares of AVROBIO common stock issuable upon exercise of options within 60 days of March 15, 2024.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(16)</w:t>
            </w:r>
          </w:p>
        </w:tc>
        <w:tc>
          <w:tcPr>
            <w:tcW w:w="98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an aggregate of 2,678,169 shares issuable upon exercise of stock options within 60 days of March 15, 2024 held by AVROBIO’s current executive officers and directors as a group. Excludes shares held by Mr. MacKay, who is not a current executive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4" w:name="toc770053_189"/>
      <w:bookmarkEnd w:id="184"/>
      <w:r>
        <w:rPr>
          <w:rFonts w:ascii="Times New Roman" w:hAnsi="Times New Roman"/>
          <w:b/>
          <w:sz w:val="20"/>
        </w:rPr>
        <w:t xml:space="preserve">PRINCIPAL TECTONIC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Tectonic common stock as of March 15, 2024,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Tectonic to beneficially own greater than 5% of Tectonic’s common stock;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Tectonic’s directors;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Tectonic’s named executive officers; and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Tectonic’s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titled “Shares Beneficially Owned” is based on a total of 9,462,603 shares of Tectonic’s common stock deemed to be outstanding as of March 15, 2024, assuming the conversion of all outstanding shares of Tectonic preferred stock into shares of Tectonic common stock. The following table does not reflect any shares of Tectonic common stock that such holders have agreed to purchase in the private financings.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attribute beneficial ownership of securities to persons who possess sole or shared voting or investment power with respect to securities. In addition, shares of Tectonic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Tectonic common stock beneficially owned by them, subject to community property laws, where applicable. Except as otherwise indicated in the table below, addresses of named beneficial owners are in care of Tectonic, 490 Arsenal Way, Suite 210, Watertown, Massachusetts 02472. </w:t>
      </w:r>
    </w:p>
    <w:p>
      <w:pPr>
        <w:pStyle w:val="TextBody"/>
        <w:bidi w:val="0"/>
        <w:spacing w:before="0" w:after="0"/>
        <w:jc w:val="left"/>
        <w:rPr/>
      </w:pPr>
      <w:r>
        <w:rPr/>
        <w:t> </w:t>
      </w:r>
    </w:p>
    <w:tbl>
      <w:tblPr>
        <w:tblW w:w="9360" w:type="dxa"/>
        <w:jc w:val="left"/>
        <w:tblInd w:w="0" w:type="dxa"/>
        <w:tblLayout w:type="fixed"/>
        <w:tblCellMar>
          <w:top w:w="0" w:type="dxa"/>
          <w:left w:w="0" w:type="dxa"/>
          <w:bottom w:w="0" w:type="dxa"/>
          <w:right w:w="0" w:type="dxa"/>
        </w:tblCellMar>
      </w:tblPr>
      <w:tblGrid>
        <w:gridCol w:w="5930"/>
        <w:gridCol w:w="120"/>
        <w:gridCol w:w="92"/>
        <w:gridCol w:w="1507"/>
        <w:gridCol w:w="92"/>
        <w:gridCol w:w="184"/>
        <w:gridCol w:w="137"/>
        <w:gridCol w:w="1008"/>
        <w:gridCol w:w="290"/>
      </w:tblGrid>
      <w:tr>
        <w:trPr/>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4,552,327</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48.1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Ventures(2)</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1,319,960</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1,282,043</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13.5</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989,042</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10.5</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Alise Reicin, M.D.(5)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514,581</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4,552,327</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48.1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Vitorovic(2)</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1,319,960</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1,319,957</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13.9</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Andrew Kruse, Ph.D.(4)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989,042</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10.5</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514,581</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Ph.D.(7)</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275,942</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101,430</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M.D.(9)</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28,447</w:t>
            </w:r>
          </w:p>
        </w:tc>
        <w:tc>
          <w:tcPr>
            <w:tcW w:w="9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 as a group(10 persons)(10)</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9,333,333</w:t>
            </w:r>
          </w:p>
        </w:tc>
        <w:tc>
          <w:tcPr>
            <w:tcW w:w="92"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91.3</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980,000 shares of Tectonic common stock held by Dr. Springer, (ii) 1,167,852 shares of Tectonic common stock issuable upon conversion of Tectonic Series A-1 preferred stock held by Dr. Springer, (iii) 1,649,188 shares of Tectonic common stock issuable upon conversion of Tectonic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Series A-2 preferred stock held by Dr. Springer, (iv) 497,611 shares of Tectonic common stock issuable upon conversion of Tectonic Series A-3 preferred stock and (v) 257,676 shares of Tectonic common stock issuable upon conversion of Tectonic Series A-4 preferred stock held by Dr. Springer.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1,284,322 shares of Tectonic common stock issuable upon conversion of Tectonic Series A-1 preferred stock held by Vida Ventures II, LLC (“Vida II Main Fund”), and (ii) 35,638 shares of Tectonic common stock issuable upon conversion of Tectonic Series A-1 preferred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Tectonic Board.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1,137,432 shares of Tectonic common stock issuable upon conversion of Tectonic Series A-1 preferred stock held by Polaris Partners IX, L.P. (“PP IX”), (ii) 99,398 shares of Tectonic common stock issuable upon conversion of Tectonic Series A-3 preferred stock held by PP IX and (iii) 45,213 shares of Tectonic common stock issuable upon conversion of Tectonic Series A-4 preferred stock held by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980,000 shares of Tectonic common stock held by Dr. Kruse and (ii) 9,042 shares of Tectonic common stock issuable upon conversion of Tectonic Series A-4 preferred stock held by Dr. Kruse.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(5)</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309,817 shares of Tectonic common stock held by Dr. Reicin, 42,386 of which are subject to repurchase as of February 9, 2024, (ii) 19,458 shares of Tectonic common stock issuable upon conversion of Tectonic Series A-3 preferred stock held by the 2020 Reicin-Boiarsky Family Trust (the “2020 Reicin Trust”), (iii) 13,561 shares of Tectonic common stock issuable upon conversion of Tectonic Series A-4 preferred stock held by the 2020 Reicin Trust and (v) 172,745 shares of Tectonic common stock issuable upon exercise of options granted to Dr. Reicin that are exercisable within 60 days of March 15, 2024. Robert Boiarsky is a co-trustee of the 2020 Reicin Trust and the spouse of Dr. Reicin. Dr. Reicin may be deemed to have shared voting and dispositive power over the securities held by the 2020 Reicin Trust.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37,914 shares of Tectonic common stock issuable upon conversion of Tectonic Series A-1 preferred stock held by Polaris Founders Capital Fund I, L.P. (“PF I”), (ii) 1,137,432 shares of Tectonic common stock issuable upon conversion of Tectonic Series A-1 preferred stock held by PP IX, (iii) 99,398 shares of Tectonic common stock issuable upon conversion of Tectonic Series A-3 preferred stock held by PP IX and (iv) 45,213 shares of Tectonic common stock issuable upon conversion of Tectonic Series A-4 preferred stock held by PP IX. Polaris Founders Capital Management Co. I, L.L.C. (“PFC I GP”) is the general partner of PF I and may be deemed to have sole voting and dispositive power with respect to the shares held by PFC I GP. Terrance McGuire, a member of the Tectonic Board, and Jonathan Flint (together, the “PFC I GP Managing Members”) are the managing members of PFC I GP. Each of the PFC I GP Managing Members, in their respective capacities with respect to PFC I GP, may be deemed to have shared voting and dispositive power with respect to the shares held by PF I. PP GP IX is the general partner of PP IX and may be deemed to have sole voting and dispositive power with respect to the shares held by PP IX. The PP GP IX Managing Members are the managing members of PP GP IX, and Terrance McGuire,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(7)</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40,000 shares of Tectonic common stock held by Dr. Cortis and (ii) 235,942 shares of Tectonic common stock issuable upon exercise of options granted to Dr. Cortis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(8)</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101,430 shares of Tectonic common stock issuable upon exercise of options granted to Dr. Ruddy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(9)</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5,682 shares of Tectonic common stock held by Dr. Tipirneni and (ii) 22,765 shares of Tectonic common stock issuable upon exercise of options granted to Dr. Tipirneni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(10)</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an aggregate of 2,315,499 shares of Tectonic common stock, (ii) 3,663,158 shares of Tectonic common stock issuable upon conversion of Tectonic Series A-1 preferred stock, (iii) 1,649,188 shares of Tectonic common stock issuable upon conversion of Tectonic Series A-2 preferred stock, (iv) 616,467 shares of Tectonic common stock issuable upon conversion of Tectonic Series A-3 preferred stock, (v) 325,492 shares of Tectonic common stock issuable upon conversion of Tectonic Series A-4 preferred stock and (vi) an aggregate of 763,529 shares issuable upon exercise of stock options within 60 days of March 15, 2024 held by Tectonic’s current executive officers and directors as a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5" w:name="toc770053_190"/>
      <w:bookmarkEnd w:id="185"/>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(including the private financings) occurred on March 15, 2024, for each stockholder expected by AVROBIO and Tectonic to become the beneficial owner of more than 5% of the combined company’s outstanding common stock, each person expected to be a named executive officer of the combined company, each person expected to be a director of the combined company, and all of the combined company’s expected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Tectonic common stock. Shares of Tectonic common stock subject to options that are currently exercisable or exercisable within 60 days of March 15,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Tectonic common stock beneficially owned by them,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19,360,036 shares of common stock expected to be outstanding upon consummation of the merger, after giving effect to the private financings and the anticipated AVROBIO one-for-ten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and prior to giving effect to the proposed private financings, AVROBIO securityholders as of immediately prior to the merger are expected to own approximately 35.6% of the outstanding shares of capital stock of the combined company, and after giving further effect to the private financings, AVROBIO securityholders as of immediately prior to the merger are expected to own approximately 22.3% of the outstanding shares of capital stock of the combined company. Immediately after the merger, and prior to giving effect to the proposed private financings, former Tectonic securityholders are expected to own approximately 64.4% of the outstanding shares of capital stock of the combined company, and after giving further effect to the proposed private financings, former Tectonic securityholders are expected to own approximately 39.8% of the outstanding shares of capital stock of the combined company. These percentages and the percentages listed in the table are calculated based on an estimated exchange ratio of 0.74458326 shares of AVROBIO common stock. These estimates are subject to adjustment prior to the closing under certain circumstances further described in the Merger Agreement, including, but not limited to, if AVROBIO’s net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closing is lower than $64.5 million or greater than $65.5 million. The below table assumes that AVROBIO’s net cash as of closing will be approximately $65.0 million. </w:t>
      </w:r>
    </w:p>
    <w:p>
      <w:pPr>
        <w:pStyle w:val="TextBody"/>
        <w:bidi w:val="0"/>
        <w:spacing w:before="0" w:after="0"/>
        <w:jc w:val="left"/>
        <w:rPr/>
      </w:pPr>
      <w:r>
        <w:rPr/>
        <w:t> </w:t>
      </w:r>
    </w:p>
    <w:tbl>
      <w:tblPr>
        <w:tblW w:w="7790" w:type="dxa"/>
        <w:jc w:val="left"/>
        <w:tblInd w:w="0" w:type="dxa"/>
        <w:tblLayout w:type="fixed"/>
        <w:tblCellMar>
          <w:top w:w="0" w:type="dxa"/>
          <w:left w:w="0" w:type="dxa"/>
          <w:bottom w:w="0" w:type="dxa"/>
          <w:right w:w="0" w:type="dxa"/>
        </w:tblCellMar>
      </w:tblPr>
      <w:tblGrid>
        <w:gridCol w:w="4310"/>
        <w:gridCol w:w="120"/>
        <w:gridCol w:w="86"/>
        <w:gridCol w:w="1581"/>
        <w:gridCol w:w="86"/>
        <w:gridCol w:w="172"/>
        <w:gridCol w:w="136"/>
        <w:gridCol w:w="1009"/>
        <w:gridCol w:w="290"/>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 owned</w:t>
            </w:r>
          </w:p>
        </w:tc>
        <w:tc>
          <w:tcPr>
            <w:tcW w:w="29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581"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Timothy A. Springer, Ph.D.(1)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5,911,748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30.5</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FMR LLC(2)</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1,501,287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7.8</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Polaris Partners IX, L.P.(3)</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1,495,050</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7.7</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Vida Ventures(4)</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1,433,204</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7.4</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EcoR1(5)</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1,183,075</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6.1</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581" w:type="dxa"/>
            <w:tcBorders/>
            <w:shd w:fill="CCEEFF" w:val="clear"/>
            <w:vAlign w:val="center"/>
          </w:tcPr>
          <w:p>
            <w:pPr>
              <w:pStyle w:val="TableContents"/>
              <w:bidi w:val="0"/>
              <w:spacing w:before="0" w:after="283"/>
              <w:jc w:val="left"/>
              <w:rPr>
                <w:sz w:val="4"/>
                <w:szCs w:val="4"/>
              </w:rPr>
            </w:pPr>
            <w:r>
              <w:rPr>
                <w:sz w:val="4"/>
                <w:szCs w:val="4"/>
              </w:rPr>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Timothy A. Springer, Ph.D.(1)</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5,911,748</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30.5</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McGuire(6)</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1,613,357</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8.3</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Stefan Vitorovic(4)</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1,433,204</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Alise Reicin, M.D.(7)</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383,893</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Christian Cortis, Ph.D.(8)</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205,461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Marcella K. Ruddy, M.D.(9)</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75,523</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Praveen Tipirneni, M.D.(10)</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21,181</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Phillip B. Donenberg(11)</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right"/>
              <w:rPr/>
            </w:pPr>
            <w:r>
              <w:rPr/>
              <w:t>9,681</w:t>
            </w:r>
          </w:p>
        </w:tc>
        <w:tc>
          <w:tcPr>
            <w:tcW w:w="86"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All executive officers and directors as a group </w:t>
              <w:br/>
              <w:t>(10 persons)(12)</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right"/>
              <w:rPr/>
            </w:pPr>
            <w:r>
              <w:rPr/>
              <w:t>10,572,360</w:t>
            </w:r>
          </w:p>
        </w:tc>
        <w:tc>
          <w:tcPr>
            <w:tcW w:w="86"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54.6</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5,045,200 shares of common stock held by Dr. Springer and (ii) 866,548 shares of common stock held by TAS Partners, LLC (“TAS”). Dr. Springer is the sole managing member of TAS. Dr. Springer exercises sole voting and dispositive power over the shares held by him directly and the shares held by TAS. Dr. Springer disclaims beneficial ownership of the shares held by TAS. The principal business address of each of Dr. Springer and TAS is 36 Woodman Road, Newton, MA, 02467.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300,258 shares of common stock held by Fidelity Select Portfolios: Biotechnology Portfolio, (ii) 101,487 shares of common stock held by Fidelity Advisor Series VII: Fidelity Advisor Biotechnology Fund, (iii) 88,545 shares of common stock held by Fidelity Mt. Vernon Street Trust: Fidelity Series Growth Company Fund, (iv) 321,363 shares of common stock held by Fidelity Mt. Vernon Street Trust: Fidelity Growth Company Fund, (v) 557,851 shares of common stock held by Fidelity Growth Company Commingled Pool, and (vi) 131,783 shares of common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1,495,050 shares of common stock held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1,394,510 shares of common stock held by Vida Ventures II, LLC (“Vida II Main Fund”) and (ii) 38,694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Tectonic Board.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77,376 shares of common stock held by EcoR1 Capital Fund, L.P. (“Capital Fund”), (ii) 1,091,217 shares of common stock held by EcoR1 Capital Fund Qualified, L.P. (“Qualified Fund”) and (iii) 14,482 shares of common stock held by EcoR1 Venture Opportunity Fund, L.P. (“Opportunity Fund”). EcoR1 Capital LLC (“EcoR1”) is the general partner of Capital Fund and Qualified Fund, and the investment advisor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(6)</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28,230 shares of common stock held by Polaris Founders Capital Fund I, L.P. (“PF I”), (ii) consists of 90,077 shares of common stock held by Polaris Founders Capital Fund II, L.P. (“PF II”) and (iii) 1,495,050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Tectonic Board,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PP GP IX is the general partner of PP IX and may be deemed to have sole voting and dispositive power with respect to the shares held by PP IX. The PP GP IX Managing Members are the managing members of PP GP IX, and Terrance McGuire, a member of the Tectonic Board,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230,685 shares of Tectonic common stock held by Dr. Reicin, 31,560 of which are subject to repurchase as of March 15, 2024, (ii) 24,585 shares of common stock held by the 2020 Reicin-Boiarsky Family Trust (the “2020 Reicin Trust”) and (iii) 128,623 shares of Tectonic common stock issuable upon exercise of options granted to Dr. Reicin that are exercisable within 60 days of March 15, 2024. Robert Boiarsky is a co-trustee of the 2020 Reicin Trust and the spouse of Dr. Reicin. Dr. Reicin may be deemed to have shared voting and dispositive power over the securities held by the 2020 Reicin Trust.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29,783 shares of common stock held by Dr. Cortis and (ii) 175,678 shares of common stock issuable upon exercise of options granted to Dr. Cortis that are exercisable within 60 days of March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(9)</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75,523 shares of common stock issuable upon exercise of options granted to Dr. Ruddy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(10)</w:t>
            </w:r>
          </w:p>
        </w:tc>
        <w:tc>
          <w:tcPr>
            <w:tcW w:w="98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4,231 shares of common stock held by Dr. Tipirneni and (ii) 16,950 shares of common stock issuable upon exercise of options granted to Dr. Tipirneni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pPr>
            <w:r>
              <w:rPr/>
              <w:t>(11)</w:t>
            </w:r>
          </w:p>
        </w:tc>
        <w:tc>
          <w:tcPr>
            <w:tcW w:w="98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200 shares of common stock held by Mr. Donenberg and (ii) 9,481 shares of common stock issuable upon exercise of options granted to Mr. Donenberg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pPr>
            <w:r>
              <w:rPr/>
              <w:t>(12)</w:t>
            </w:r>
          </w:p>
        </w:tc>
        <w:tc>
          <w:tcPr>
            <w:tcW w:w="98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9,991,723 shares of common stock and (ii) 580,637 shares of common stock issuable upon exercise of options that are exercisable within 60 days of March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6" w:name="toc770053_191"/>
      <w:bookmarkEnd w:id="18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will pass upon the validity of AVROBIO’s common stock offered by this proxy statement/prospectus. The material U.S. federal income tax consequences of the merger will be passed upon for AVROBIO by Goodwin, and for Tectonic by Cooley. </w:t>
      </w:r>
    </w:p>
    <w:p>
      <w:pPr>
        <w:pStyle w:val="TextBody"/>
        <w:bidi w:val="0"/>
        <w:spacing w:before="480" w:after="0"/>
        <w:jc w:val="center"/>
        <w:rPr>
          <w:rFonts w:ascii="Times New Roman" w:hAnsi="Times New Roman"/>
          <w:b/>
          <w:sz w:val="20"/>
        </w:rPr>
      </w:pPr>
      <w:bookmarkStart w:id="187" w:name="toc770053_192"/>
      <w:bookmarkEnd w:id="18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AVROBIO as of December 31, 2023 and 2022, and for each of the years then ended, appearing in this proxy statement/prospectus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Tectonic as of December 31, 2023 and 2022, and for the years then ended,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88" w:name="toc770053_193"/>
      <w:bookmarkEnd w:id="18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AVROBIO is subject to the informational requirements of the Exchange Act and in accordance therewith, files annual, quarterly and current reports, proxy statements and other information with the SEC electronically, and the SEC maintains a website that contains AVROBIO’s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AVROBIO also makes available free of charge on or through its website at </w:t>
      </w:r>
      <w:r>
        <w:rPr>
          <w:rFonts w:ascii="Times New Roman" w:hAnsi="Times New Roman"/>
          <w:i/>
          <w:sz w:val="20"/>
        </w:rPr>
        <w:t>www.avrobio.com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AVROBIO electronically files such material with or otherwise furnishes it to the SEC. The website addresses for the SEC and AVROBIO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AVROBIO has filed with the SEC a registration statement on Form S-4, of which this proxy statement/prospectus is a part, under the Securities Act to register the shares of AVROBIO common stock to be issued to Tectonic stockholders in the merger. The registration statement, including the attached annexes, exhibits and schedules, contains additional relevant information about AVROBIO and AVROBIO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AVROBIO has supplied all information contained in this proxy statement/prospectus relating to AVROBIO and Tectonic has supplied all information contained in this proxy statement/prospectus relating to Tectonic.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documents from AVROBIO or Tectonic, please send a request in writing or by telephone to either AVROBIO or Tectonic at the following addresses: </w:t>
      </w:r>
    </w:p>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3620"/>
        <w:gridCol w:w="60"/>
        <w:gridCol w:w="3065"/>
      </w:tblGrid>
      <w:tr>
        <w:trPr/>
        <w:tc>
          <w:tcPr>
            <w:tcW w:w="3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AVROBIO, Inc.</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Tectonic Therapeutic, Inc.</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100 Technology Square, 6th Floor</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490 Arsenal Way, Suite 210</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Cambridge, MA 02139</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Watertown, MA 02472</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Attn: Corporate Secretary</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Attn: Christian Cortis, Ph.D.</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Tel: (617) 914-8420</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Tel: (339) 666-3320</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Email: CorporateSecretary@AVROBIO.com</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center"/>
              <w:rPr/>
            </w:pPr>
            <w:r>
              <w:rPr/>
              <w:t>Email: investor@tectonictx.com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AVROBIO stockholder and would like additional copies, without charge, of this proxy statement/prospectus or if you have questions about the merger, including the procedures for voting your shares, you should contact AVROBIO’s proxy solicitor at the following address and telephone number: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1130" cy="38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1130" cy="38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20th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456-3513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9" w:name="toc770053_194"/>
      <w:bookmarkEnd w:id="189"/>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would like to have a proposal considered for inclusion in AVROBIO’s 2024 proxy statement must submit the proposal in accordance with the procedures outlined in Rule 14a-8 of the Exchange Act so that it is received by AVROBIO no later than January 6, 2024. However, if the date of the 2024 annual meeting of stockholders is changed by more than 30 days from the date of the previous year’s meeting, then the deadline is a reasonable time before AVROBIO begins to print and send its proxy statement for the 2024 annual meeting of stockholders. SEC rules set standards for eligibility and specify the types of stockholder proposals that may be excluded from a proxy statement. Stockholder proposals should be addressed to 100 Technology Square, 6th Floor, Cambridge, Massachusetts 02139, Attention: Corporate Secretary and CorporateSecretary@AVROBIO.com.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the AVROBIO Board or present a proposal at an annual meeting but does not wish to have the proposal considered for inclusion in AVROBIO’s proxy statement and proxy card, AVROBIO’s bylaws establish an advance notice procedure for such nominations and proposals. Stockholders at an annual meeting may only consider proposals or nominations specified in the notice of meeting or brought before the meeting by or at the direction of the AVROBIO Board or by a stockholder of record on the record date for the meeting, who is entitled to vote at the meeting and who has delivered timely notice in proper form to AVROBIO’s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AVROBIO’s corporate secretary at its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AVROBIO’s corporate secretary at its principal executive offices no earlier than February 7, 2024 and no later than March 8, 2024. Stockholder proposals and the required notice should be addressed to 100 Technology Square, 6th Floor, Cambridge, Massachusetts 02139, Attention: Corporate Secretary and CorporateSecretary@AVROBIO.com.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comply with the SEC’s new universal proxy rules, stockholders who intend to solicit proxies in support of director nominees other than AVROBIO’s nominees must provide notice that sets forth the information required by Rule 14a-19 under the Exchange Act no later than 60 days prior to the one-year anniversary of AVROBIO’s annual meeting of stockholders. The proxy to be solicited on behalf of the AVROBIO Board for its 2024 annual meeting of stockholders may confer discretionary authority to vote on any such proposal considered to have been received on a non-timely basis that nonetheless properly comes before AVROBIO’s 2024 annual meeting of stockholders. Stockholders are also advised to review AVROBIO’s bylaws, which contain additional requirements about advance notice of stockholder proposals and director nominations. </w:t>
      </w:r>
    </w:p>
    <w:p>
      <w:pPr>
        <w:pStyle w:val="TextBody"/>
        <w:bidi w:val="0"/>
        <w:spacing w:before="360" w:after="0"/>
        <w:jc w:val="left"/>
        <w:rPr>
          <w:rFonts w:ascii="Times New Roman" w:hAnsi="Times New Roman"/>
          <w:b/>
          <w:sz w:val="20"/>
        </w:rPr>
      </w:pPr>
      <w:bookmarkStart w:id="190" w:name="toc770053_195"/>
      <w:bookmarkEnd w:id="190"/>
      <w:r>
        <w:rPr>
          <w:rFonts w:ascii="Times New Roman" w:hAnsi="Times New Roman"/>
          <w:b/>
          <w:sz w:val="20"/>
        </w:rPr>
        <w:t xml:space="preserve">Communication with the Directors of AVROBIO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AVROBIO may report such concerns to the AVROBIO Board or the chairperson of the AVROBIO Board or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AVROBIO, Inc. </w:t>
      </w:r>
    </w:p>
    <w:p>
      <w:pPr>
        <w:pStyle w:val="TextBody"/>
        <w:bidi w:val="0"/>
        <w:spacing w:before="0" w:after="0"/>
        <w:jc w:val="center"/>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AVROBIO tends to receive repetitive or duplicative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AVROBIO’s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which is (866) 569-1843. </w:t>
      </w:r>
    </w:p>
    <w:p>
      <w:pPr>
        <w:pStyle w:val="TextBody"/>
        <w:bidi w:val="0"/>
        <w:spacing w:before="360" w:after="0"/>
        <w:jc w:val="left"/>
        <w:rPr>
          <w:rFonts w:ascii="Times New Roman" w:hAnsi="Times New Roman"/>
          <w:b/>
          <w:sz w:val="20"/>
        </w:rPr>
      </w:pPr>
      <w:bookmarkStart w:id="191" w:name="toc770053_196"/>
      <w:bookmarkEnd w:id="191"/>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special meeting materials with respect to two or more stockholders sharing the same address by delivering a single Notice of Internet Availability of Proxy Materials or other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special meeting, a number of brokers with account holders who are AVROBIO stockholders will be “householding” AVROBIO’s proxy materials. A single Notice of Internet Availability of Proxy Materials will be delivered to multiple stockholders sharing an address unless contrary instructions have been received from the affected stockholders. Once the stockholder has received notice from his or her broker that the broker will be “householding” communications to the stockholder’s address, “householding” will continue until the stockholder are notified otherwise or until the stockholder revokes his or her consent. If, at any time, the stockholder no longer wishes to participate in “householding” and would prefer to receive a separate Notice of Internet Availability of Proxy Materials, please notify the broker or AVROBIO. Direct the written request to AVROBIO, Inc., Attn: Corporate Secretary, 100 Technology Square, 6th Floor, Cambridge, MA 02139 or call (617) 752-7011.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AVR</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O</w:t>
      </w:r>
    </w:p>
    <w:p>
      <w:pPr>
        <w:pStyle w:val="TextBody"/>
        <w:bidi w:val="0"/>
        <w:spacing w:before="0" w:after="0"/>
        <w:jc w:val="center"/>
        <w:rPr>
          <w:rFonts w:ascii="Times New Roman" w:hAnsi="Times New Roman"/>
          <w:b/>
          <w:sz w:val="20"/>
        </w:rPr>
      </w:pPr>
      <w:r>
        <w:rPr>
          <w:rFonts w:ascii="Times New Roman" w:hAnsi="Times New Roman"/>
          <w:b/>
          <w:sz w:val="20"/>
        </w:rPr>
        <w:t xml:space="preserve">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785" w:type="dxa"/>
        <w:jc w:val="left"/>
        <w:tblInd w:w="0" w:type="dxa"/>
        <w:tblLayout w:type="fixed"/>
        <w:tblCellMar>
          <w:top w:w="0" w:type="dxa"/>
          <w:left w:w="0" w:type="dxa"/>
          <w:bottom w:w="0" w:type="dxa"/>
          <w:right w:w="0" w:type="dxa"/>
        </w:tblCellMar>
      </w:tblPr>
      <w:tblGrid>
        <w:gridCol w:w="75"/>
        <w:gridCol w:w="120"/>
        <w:gridCol w:w="257"/>
        <w:gridCol w:w="258"/>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10" w:type="dxa"/>
            <w:gridSpan w:val="4"/>
            <w:tcBorders/>
          </w:tcPr>
          <w:p>
            <w:pPr>
              <w:pStyle w:val="TableContents"/>
              <w:bidi w:val="0"/>
              <w:spacing w:before="0" w:after="283"/>
              <w:jc w:val="left"/>
              <w:rPr>
                <w:sz w:val="4"/>
                <w:szCs w:val="4"/>
              </w:rPr>
            </w:pPr>
            <w:r>
              <w:rPr>
                <w:sz w:val="4"/>
                <w:szCs w:val="4"/>
              </w:rPr>
            </w:r>
          </w:p>
        </w:tc>
      </w:tr>
    </w:tbl>
    <w:tbl>
      <w:tblPr>
        <w:tblW w:w="8080" w:type="dxa"/>
        <w:jc w:val="left"/>
        <w:tblInd w:w="0" w:type="dxa"/>
        <w:tblLayout w:type="fixed"/>
        <w:tblCellMar>
          <w:top w:w="0" w:type="dxa"/>
          <w:left w:w="0" w:type="dxa"/>
          <w:bottom w:w="0" w:type="dxa"/>
          <w:right w:w="0" w:type="dxa"/>
        </w:tblCellMar>
      </w:tblPr>
      <w:tblGrid>
        <w:gridCol w:w="7475"/>
        <w:gridCol w:w="120"/>
        <w:gridCol w:w="60"/>
        <w:gridCol w:w="350"/>
        <w:gridCol w:w="75"/>
      </w:tblGrid>
      <w:tr>
        <w:trPr/>
        <w:tc>
          <w:tcPr>
            <w:tcW w:w="7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as of and for the Years ended December 31, 2023 and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0"/>
              <w:jc w:val="left"/>
              <w:rPr/>
            </w:pPr>
            <w:hyperlink w:anchor="fin770053_7">
              <w:r>
                <w:rPr>
                  <w:rStyle w:val="InternetLink"/>
                  <w:rFonts w:ascii="Times New Roman" w:hAnsi="Times New Roman"/>
                  <w:sz w:val="20"/>
                </w:rPr>
                <w:t>Report of Independent Registered Public Accounting Firm (PCAOB ID: 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8">
              <w:r>
                <w:rPr>
                  <w:rStyle w:val="InternetLink"/>
                  <w:rFonts w:ascii="Times New Roman" w:hAnsi="Times New Roman"/>
                  <w:sz w:val="20"/>
                </w:rPr>
                <w:t>Consolidated Balance Sheets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F-3</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9">
              <w:r>
                <w:rPr>
                  <w:rStyle w:val="InternetLink"/>
                  <w:rFonts w:ascii="Times New Roman" w:hAnsi="Times New Roman"/>
                  <w:sz w:val="20"/>
                </w:rPr>
                <w:t>Consolidated Statements of Operations and Comprehensive Income (Loss)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10">
              <w:r>
                <w:rPr>
                  <w:rStyle w:val="InternetLink"/>
                  <w:rFonts w:ascii="Times New Roman" w:hAnsi="Times New Roman"/>
                  <w:sz w:val="20"/>
                </w:rPr>
                <w:t>Consolidated Statements of Stockholders’ Equity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11">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770053_12">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475"/>
        <w:gridCol w:w="120"/>
        <w:gridCol w:w="60"/>
        <w:gridCol w:w="470"/>
        <w:gridCol w:w="75"/>
      </w:tblGrid>
      <w:tr>
        <w:trPr/>
        <w:tc>
          <w:tcPr>
            <w:tcW w:w="7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as of and for the Years ended December 31, 2023 and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center"/>
          </w:tcPr>
          <w:p>
            <w:pPr>
              <w:pStyle w:val="TableContents"/>
              <w:bidi w:val="0"/>
              <w:spacing w:before="0" w:after="0"/>
              <w:jc w:val="left"/>
              <w:rPr/>
            </w:pPr>
            <w:hyperlink w:anchor="fina770053_1">
              <w:r>
                <w:rPr>
                  <w:rStyle w:val="InternetLink"/>
                  <w:rFonts w:ascii="Times New Roman" w:hAnsi="Times New Roman"/>
                  <w:sz w:val="20"/>
                </w:rPr>
                <w:t>Independent Auditor’s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F-32</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2">
              <w:r>
                <w:rPr>
                  <w:rStyle w:val="InternetLink"/>
                  <w:rFonts w:ascii="Times New Roman" w:hAnsi="Times New Roman"/>
                  <w:sz w:val="20"/>
                </w:rPr>
                <w:t>Consolidated Balance Sheets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F-34</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3">
              <w:r>
                <w:rPr>
                  <w:rStyle w:val="InternetLink"/>
                  <w:rFonts w:ascii="Times New Roman" w:hAnsi="Times New Roman"/>
                  <w:sz w:val="20"/>
                </w:rPr>
                <w:t>Consolidated Statements of Operations and Other Comprehensive Income (Loss)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F-35</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4">
              <w:r>
                <w:rPr>
                  <w:rStyle w:val="InternetLink"/>
                  <w:rFonts w:ascii="Times New Roman" w:hAnsi="Times New Roman"/>
                  <w:sz w:val="20"/>
                </w:rPr>
                <w:t>Consolidated Statements of Convertible Preferred Stock and Stockholders’ Deficit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F-36</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5">
              <w:r>
                <w:rPr>
                  <w:rStyle w:val="InternetLink"/>
                  <w:rFonts w:ascii="Times New Roman" w:hAnsi="Times New Roman"/>
                  <w:sz w:val="20"/>
                </w:rPr>
                <w:t>Consolidated Statements of Cash Flows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F-37</w:t>
            </w:r>
          </w:p>
        </w:tc>
        <w:tc>
          <w:tcPr>
            <w:tcW w:w="75" w:type="dxa"/>
            <w:tcBorders/>
            <w:vAlign w:val="center"/>
          </w:tcPr>
          <w:p>
            <w:pPr>
              <w:pStyle w:val="TableContents"/>
              <w:bidi w:val="0"/>
              <w:spacing w:before="0" w:after="283"/>
              <w:jc w:val="left"/>
              <w:rPr/>
            </w:pPr>
            <w:r>
              <w:rPr/>
              <w:t> </w:t>
            </w:r>
          </w:p>
        </w:tc>
      </w:tr>
      <w:tr>
        <w:trPr/>
        <w:tc>
          <w:tcPr>
            <w:tcW w:w="7475" w:type="dxa"/>
            <w:tcBorders/>
            <w:vAlign w:val="center"/>
          </w:tcPr>
          <w:p>
            <w:pPr>
              <w:pStyle w:val="TableContents"/>
              <w:bidi w:val="0"/>
              <w:spacing w:before="0" w:after="0"/>
              <w:jc w:val="left"/>
              <w:rPr/>
            </w:pPr>
            <w:hyperlink w:anchor="fina770053_6">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F-38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Stockholders and the Board of Directors of AVROBIO,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AVROBIO, Inc. (the Company) as of December 31, 2023 and 2022, the related consolidated statements of operations and comprehensive income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Ernst &amp; Young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2018.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Boston, Massachusetts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14, 2024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BALANCE SHEETS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per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98,020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92,563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99,958</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2,894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101,093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103,949</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384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11,732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13,115</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 payable, net of discount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15,276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net of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28,579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 shares authorized and no shares issued or outstanding as of December 31, 2023 and 2022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150,000 shares authorized as of December 31, 2023 and 2022; 44,654 and 43,916 shares issued and outstanding as of December 31, 2023 and 2022,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572,010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564,798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(477,275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(489,432</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94,739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75,370</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101,093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103,949</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OPERATIONS AND COMPREHENSIVE INCOME (LOSS)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per share data)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10"/>
        <w:gridCol w:w="120"/>
        <w:gridCol w:w="184"/>
        <w:gridCol w:w="896"/>
        <w:gridCol w:w="204"/>
        <w:gridCol w:w="77"/>
        <w:gridCol w:w="184"/>
        <w:gridCol w:w="1157"/>
        <w:gridCol w:w="173"/>
      </w:tblGrid>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47,700</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72,186</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23,967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33,248</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71,667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105,434</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83,736</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impairment</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(1,877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10,192</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(105,434</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2,420</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(299</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(78</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(157</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2,342</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(456</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12,534</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(105,890</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 expense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377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896" w:type="dxa"/>
            <w:tcBorders/>
            <w:vAlign w:val="center"/>
          </w:tcPr>
          <w:p>
            <w:pPr>
              <w:pStyle w:val="TableContents"/>
              <w:bidi w:val="0"/>
              <w:spacing w:before="0" w:after="0"/>
              <w:jc w:val="left"/>
              <w:rPr>
                <w:bdr w:val="single" w:sz="2" w:space="1" w:color="000000"/>
              </w:rPr>
            </w:pPr>
            <w:r>
              <w:rPr>
                <w:bdr w:val="single" w:sz="2"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 attributable to common stockholders—basic and diluted</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12,157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(105,890</w:t>
            </w:r>
          </w:p>
        </w:tc>
        <w:tc>
          <w:tcPr>
            <w:tcW w:w="173" w:type="dxa"/>
            <w:tcBorders/>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896" w:type="dxa"/>
            <w:tcBorders/>
            <w:vAlign w:val="center"/>
          </w:tcPr>
          <w:p>
            <w:pPr>
              <w:pStyle w:val="TableContents"/>
              <w:bidi w:val="0"/>
              <w:spacing w:before="0" w:after="0"/>
              <w:jc w:val="left"/>
              <w:rPr>
                <w:bdr w:val="double" w:sz="6" w:space="1" w:color="000000"/>
              </w:rPr>
            </w:pPr>
            <w:r>
              <w:rPr>
                <w:bdr w:val="double" w:sz="6" w:space="1" w:color="000000"/>
              </w:rPr>
              <w:t> </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7"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15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stockholders—basic</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6" w:type="dxa"/>
            <w:tcBorders/>
            <w:vAlign w:val="center"/>
          </w:tcPr>
          <w:p>
            <w:pPr>
              <w:pStyle w:val="TableContents"/>
              <w:bidi w:val="0"/>
              <w:spacing w:before="0" w:after="283"/>
              <w:jc w:val="right"/>
              <w:rPr/>
            </w:pPr>
            <w:r>
              <w:rPr/>
              <w:t>0.27</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7" w:type="dxa"/>
            <w:tcBorders/>
            <w:vAlign w:val="center"/>
          </w:tcPr>
          <w:p>
            <w:pPr>
              <w:pStyle w:val="TableContents"/>
              <w:bidi w:val="0"/>
              <w:spacing w:before="0" w:after="283"/>
              <w:jc w:val="right"/>
              <w:rPr/>
            </w:pPr>
            <w:r>
              <w:rPr/>
              <w:t>(2.42</w:t>
            </w:r>
          </w:p>
        </w:tc>
        <w:tc>
          <w:tcPr>
            <w:tcW w:w="173" w:type="dxa"/>
            <w:tcBorders/>
            <w:vAlign w:val="center"/>
          </w:tcPr>
          <w:p>
            <w:pPr>
              <w:pStyle w:val="TableContents"/>
              <w:bidi w:val="0"/>
              <w:spacing w:before="0" w:after="283"/>
              <w:jc w:val="left"/>
              <w:rPr/>
            </w:pPr>
            <w:r>
              <w:rPr/>
              <w:t>) </w:t>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stockholders—diluted</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0.27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(2.42</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used in computing earnings per share:</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44,327</w:t>
            </w:r>
          </w:p>
        </w:tc>
        <w:tc>
          <w:tcPr>
            <w:tcW w:w="20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43,739</w:t>
            </w:r>
          </w:p>
        </w:tc>
        <w:tc>
          <w:tcPr>
            <w:tcW w:w="173" w:type="dxa"/>
            <w:tcBorders/>
            <w:shd w:fill="CCEEFF" w:val="clear"/>
            <w:vAlign w:val="center"/>
          </w:tcPr>
          <w:p>
            <w:pPr>
              <w:pStyle w:val="TableContents"/>
              <w:bidi w:val="0"/>
              <w:spacing w:before="0" w:after="283"/>
              <w:jc w:val="left"/>
              <w:rPr/>
            </w:pPr>
            <w:r>
              <w:rPr/>
              <w:t> </w:t>
            </w:r>
          </w:p>
        </w:tc>
      </w:tr>
      <w:tr>
        <w:trPr/>
        <w:tc>
          <w:tcPr>
            <w:tcW w:w="7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44,568</w:t>
            </w:r>
          </w:p>
        </w:tc>
        <w:tc>
          <w:tcPr>
            <w:tcW w:w="20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43,739</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STOCKHOLDERS’ EQUITY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654"/>
        <w:gridCol w:w="120"/>
        <w:gridCol w:w="63"/>
        <w:gridCol w:w="720"/>
        <w:gridCol w:w="63"/>
        <w:gridCol w:w="126"/>
        <w:gridCol w:w="301"/>
        <w:gridCol w:w="559"/>
        <w:gridCol w:w="60"/>
        <w:gridCol w:w="120"/>
        <w:gridCol w:w="163"/>
        <w:gridCol w:w="937"/>
        <w:gridCol w:w="60"/>
        <w:gridCol w:w="120"/>
        <w:gridCol w:w="188"/>
        <w:gridCol w:w="1182"/>
        <w:gridCol w:w="155"/>
        <w:gridCol w:w="60"/>
        <w:gridCol w:w="189"/>
        <w:gridCol w:w="1191"/>
        <w:gridCol w:w="174"/>
      </w:tblGrid>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5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8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4" w:type="dxa"/>
            <w:vMerge w:val="restart"/>
            <w:tcBorders/>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80" w:type="dxa"/>
            <w:gridSpan w:val="2"/>
            <w:vMerge w:val="continue"/>
            <w:tcBorders>
              <w:bottom w:val="single" w:sz="8" w:space="0" w:color="000000"/>
            </w:tcBorders>
            <w:tcMar>
              <w:bottom w:w="28" w:type="dxa"/>
            </w:tcMar>
            <w:vAlign w:val="center"/>
          </w:tcPr>
          <w:p>
            <w:pPr>
              <w:pStyle w:val="Normal"/>
              <w:bidi w:val="0"/>
              <w:jc w:val="left"/>
              <w:rPr/>
            </w:pPr>
            <w:r>
              <w:rPr/>
            </w:r>
          </w:p>
        </w:tc>
        <w:tc>
          <w:tcPr>
            <w:tcW w:w="174" w:type="dxa"/>
            <w:vMerge w:val="continue"/>
            <w:tcBorders/>
            <w:vAlign w:val="center"/>
          </w:tcPr>
          <w:p>
            <w:pPr>
              <w:pStyle w:val="Normal"/>
              <w:bidi w:val="0"/>
              <w:jc w:val="left"/>
              <w:rPr/>
            </w:pPr>
            <w:r>
              <w:rPr/>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2021</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43,652</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553,014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(383,542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169,476</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 and units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142</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58</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2018 employee stock purchase plan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121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204</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11,522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11,522</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(105,890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(105,890</w:t>
            </w:r>
          </w:p>
        </w:tc>
        <w:tc>
          <w:tcPr>
            <w:tcW w:w="174" w:type="dxa"/>
            <w:tcBorders/>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720"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91"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43,916</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564,798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(489,432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75,370</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Vesting of restricted stock units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306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298</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235</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2018 employee stock purchase plan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134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86</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6,891</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12,157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12,157</w:t>
            </w:r>
          </w:p>
        </w:tc>
        <w:tc>
          <w:tcPr>
            <w:tcW w:w="174" w:type="dxa"/>
            <w:tcBorders/>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single" w:sz="2" w:space="1" w:color="000000"/>
              </w:rPr>
            </w:pPr>
            <w:r>
              <w:rPr>
                <w:bdr w:val="single" w:sz="2" w:space="1" w:color="000000"/>
              </w:rPr>
              <w:t> </w:t>
            </w:r>
          </w:p>
        </w:tc>
        <w:tc>
          <w:tcPr>
            <w:tcW w:w="720" w:type="dxa"/>
            <w:tcBorders/>
            <w:vAlign w:val="center"/>
          </w:tcPr>
          <w:p>
            <w:pPr>
              <w:pStyle w:val="TableContents"/>
              <w:bidi w:val="0"/>
              <w:spacing w:before="0" w:after="0"/>
              <w:jc w:val="left"/>
              <w:rPr>
                <w:bdr w:val="single" w:sz="2" w:space="1" w:color="000000"/>
              </w:rPr>
            </w:pPr>
            <w:r>
              <w:rPr>
                <w:bdr w:val="single" w:sz="2"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91"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36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44,654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572,010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(477,275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94,739</w:t>
            </w:r>
          </w:p>
        </w:tc>
        <w:tc>
          <w:tcPr>
            <w:tcW w:w="174" w:type="dxa"/>
            <w:tcBorders/>
            <w:shd w:fill="CCEEFF" w:val="clear"/>
            <w:vAlign w:val="center"/>
          </w:tcPr>
          <w:p>
            <w:pPr>
              <w:pStyle w:val="TableContents"/>
              <w:bidi w:val="0"/>
              <w:spacing w:before="0" w:after="283"/>
              <w:jc w:val="left"/>
              <w:rPr/>
            </w:pPr>
            <w:r>
              <w:rPr/>
              <w:t> </w:t>
            </w:r>
          </w:p>
        </w:tc>
      </w:tr>
      <w:tr>
        <w:trPr/>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bdr w:val="double" w:sz="6" w:space="1" w:color="000000"/>
              </w:rPr>
            </w:pPr>
            <w:r>
              <w:rPr>
                <w:bdr w:val="double" w:sz="6" w:space="1" w:color="000000"/>
              </w:rPr>
              <w:t> </w:t>
            </w:r>
          </w:p>
        </w:tc>
        <w:tc>
          <w:tcPr>
            <w:tcW w:w="720" w:type="dxa"/>
            <w:tcBorders/>
            <w:vAlign w:val="center"/>
          </w:tcPr>
          <w:p>
            <w:pPr>
              <w:pStyle w:val="TableContents"/>
              <w:bidi w:val="0"/>
              <w:spacing w:before="0" w:after="0"/>
              <w:jc w:val="left"/>
              <w:rPr>
                <w:bdr w:val="double" w:sz="6" w:space="1" w:color="000000"/>
              </w:rPr>
            </w:pPr>
            <w:r>
              <w:rPr>
                <w:bdr w:val="double" w:sz="6" w:space="1" w:color="000000"/>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left"/>
              <w:rPr>
                <w:bdr w:val="double" w:sz="6" w:space="1" w:color="000000"/>
              </w:rPr>
            </w:pPr>
            <w:r>
              <w:rPr>
                <w:bdr w:val="double" w:sz="6" w:space="1" w:color="000000"/>
              </w:rPr>
              <w:t> </w:t>
            </w:r>
          </w:p>
        </w:tc>
        <w:tc>
          <w:tcPr>
            <w:tcW w:w="1191"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CASH FLOWS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12"/>
        <w:gridCol w:w="120"/>
        <w:gridCol w:w="177"/>
        <w:gridCol w:w="960"/>
        <w:gridCol w:w="197"/>
        <w:gridCol w:w="75"/>
        <w:gridCol w:w="177"/>
        <w:gridCol w:w="1114"/>
        <w:gridCol w:w="173"/>
      </w:tblGrid>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12,157</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114" w:type="dxa"/>
            <w:tcBorders/>
            <w:vAlign w:val="center"/>
          </w:tcPr>
          <w:p>
            <w:pPr>
              <w:pStyle w:val="TableContents"/>
              <w:bidi w:val="0"/>
              <w:spacing w:before="0" w:after="283"/>
              <w:jc w:val="right"/>
              <w:rPr/>
            </w:pPr>
            <w:r>
              <w:rPr/>
              <w:t>(105,890</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asset sale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(83,736</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6,891</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11,522</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617</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1,440</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asset impairment charges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1,877</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59</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1,074</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331</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377</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(Gain)/loss on impairment of leasehold improvements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86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(Gain)/loss on extinguishment of operating lease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(72</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(81</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lease expense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1,912</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2,726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5,154</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2,466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40</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34</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(357</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(3,102</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Current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(2,464</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(2,893</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(6,660</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(3,906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(63,190</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(97,208</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960" w:type="dxa"/>
            <w:tcBorders/>
            <w:shd w:fill="CCEEFF" w:val="clear"/>
            <w:vAlign w:val="center"/>
          </w:tcPr>
          <w:p>
            <w:pPr>
              <w:pStyle w:val="TableContents"/>
              <w:bidi w:val="0"/>
              <w:spacing w:before="0" w:after="283"/>
              <w:jc w:val="left"/>
              <w:rPr>
                <w:sz w:val="4"/>
                <w:szCs w:val="4"/>
              </w:rPr>
            </w:pPr>
            <w:r>
              <w:rPr>
                <w:sz w:val="4"/>
                <w:szCs w:val="4"/>
              </w:rPr>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114"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asset sale, net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83,736</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sale of property, plant, and equipment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1,348</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(8</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(267</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85,076</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(267</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note payable, including end of term charge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(16,350</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235</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58</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2018 employee stock purchase plan</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86</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204</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(16,029</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262</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5,857</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(97,213</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92,846</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190,059</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98,703</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92,846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960" w:type="dxa"/>
            <w:tcBorders/>
            <w:vAlign w:val="center"/>
          </w:tcPr>
          <w:p>
            <w:pPr>
              <w:pStyle w:val="TableContents"/>
              <w:bidi w:val="0"/>
              <w:spacing w:before="0" w:after="0"/>
              <w:jc w:val="left"/>
              <w:rPr>
                <w:bdr w:val="double" w:sz="6" w:space="1" w:color="000000"/>
              </w:rPr>
            </w:pPr>
            <w:r>
              <w:rPr>
                <w:bdr w:val="double" w:sz="6"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14"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831</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1,425</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 obtained in exchange for operating lease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2,392</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4,319</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 reported within the consolidated balance sheets: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98,020</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92,563</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683</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283</w:t>
            </w:r>
          </w:p>
        </w:tc>
        <w:tc>
          <w:tcPr>
            <w:tcW w:w="173"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960" w:type="dxa"/>
            <w:tcBorders/>
            <w:vAlign w:val="center"/>
          </w:tcPr>
          <w:p>
            <w:pPr>
              <w:pStyle w:val="TableContents"/>
              <w:bidi w:val="0"/>
              <w:spacing w:before="0" w:after="0"/>
              <w:jc w:val="left"/>
              <w:rPr>
                <w:bdr w:val="single" w:sz="2" w:space="1" w:color="000000"/>
              </w:rPr>
            </w:pPr>
            <w:r>
              <w:rPr>
                <w:bdr w:val="single" w:sz="2"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single" w:sz="2" w:space="1" w:color="000000"/>
              </w:rPr>
            </w:pPr>
            <w:r>
              <w:rPr>
                <w:bdr w:val="single" w:sz="2" w:space="1" w:color="000000"/>
              </w:rPr>
              <w:t> </w:t>
            </w:r>
          </w:p>
        </w:tc>
        <w:tc>
          <w:tcPr>
            <w:tcW w:w="1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98,703</w:t>
            </w:r>
          </w:p>
        </w:tc>
        <w:tc>
          <w:tcPr>
            <w:tcW w:w="19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92,846</w:t>
            </w:r>
          </w:p>
        </w:tc>
        <w:tc>
          <w:tcPr>
            <w:tcW w:w="173" w:type="dxa"/>
            <w:tcBorders/>
            <w:shd w:fill="CCEEFF" w:val="clear"/>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960" w:type="dxa"/>
            <w:tcBorders/>
            <w:vAlign w:val="center"/>
          </w:tcPr>
          <w:p>
            <w:pPr>
              <w:pStyle w:val="TableContents"/>
              <w:bidi w:val="0"/>
              <w:spacing w:before="0" w:after="0"/>
              <w:jc w:val="left"/>
              <w:rPr>
                <w:bdr w:val="double" w:sz="6" w:space="1" w:color="000000"/>
              </w:rPr>
            </w:pPr>
            <w:r>
              <w:rPr>
                <w:bdr w:val="double" w:sz="6" w:space="1" w:color="000000"/>
              </w:rPr>
              <w:t> </w:t>
            </w:r>
          </w:p>
        </w:tc>
        <w:tc>
          <w:tcPr>
            <w:tcW w:w="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bdr w:val="double" w:sz="6" w:space="1" w:color="000000"/>
              </w:rPr>
            </w:pPr>
            <w:r>
              <w:rPr>
                <w:bdr w:val="double" w:sz="6" w:space="1" w:color="000000"/>
              </w:rPr>
              <w:t> </w:t>
            </w:r>
          </w:p>
        </w:tc>
        <w:tc>
          <w:tcPr>
            <w:tcW w:w="1114"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shd w:fill="FFFFFF" w:val="clear"/>
        </w:rPr>
      </w:pPr>
      <w:r>
        <w:rPr>
          <w:rFonts w:ascii="Times New Roman" w:hAnsi="Times New Roman"/>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(amounts in thousands, except share and per share data)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Nature of the 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AVROBIO, Inc. (the “Company” or “AVROBIO”) is a gene therapy company which has been focused on developing potentially curative hematopoietic stem cell, or HSC, gene therapies to treat rare diseases following a single dose treatment regimen.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15 for further discussion. On January 30, 2024, the Company entered into the Merger Agreement with Tectonic Therapeutic, Inc. (“Tectonic”) pursuant to which a wholly-owned subsidiary of the Company will merge with and into Tectonic, with Tectonic surviving as a wholly-owned subsidiary of the Company (the “Merger”). See Note 16 for further discussion.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the Financial Accounting Standards Board (“FASB”) Accounting Standards Update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2014-15,</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Disclosure of Uncertainties about an Entity’s Ability to Continue as a Going Concern (Subtopic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205-40),</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AVR-RD-04)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all other assets of the Company specifically related to this program. As of December 31, 2023, the Company had an accumulated deficit of $477,275. The Company expects that its cash and cash equivalents of $98,020 as of December 31, 2023 will be sufficient to fund current planned operations and capital expenditure requirements for at least the next twelve months from the filing date of this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with the Securities and Exchange Commission (“SEC”).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May 19, 2023, the Company entered into an Asset Purchase Agreement (the “Asset Purchase Agreement”) with Novartis Pharma AG and Novartis Pharmaceuticals Corporation (collectively, “Novartis”), providing for the sale of the Company’s cystinosis gene therapy program (designated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AVR-RD-04)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all other assets of the Company specifically related to this program. The aggregate consideration to the Company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consisted of a cash payment of $87,500 upon closing of the transaction. The Company completed the Asset Sale (as defined below) on June 9, 2023 and recognized $83,736 as a gain on asset sale, net of $3,764 transaction costs, in the consolidated statement of operations and comprehensive income (loss). See Note 3 for further discussion.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and December 2023 Workforce Reduction were offered separation benefits, including severance payments. See Note 15 for further discussion.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2. Summary of Significant Accounting Policies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FASB.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Principles of Consolidation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include the accounts of AVROBIO, Inc. and its wholly owned subsidiaries. All intercompany transactions and balances have been eliminated in consolidation.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Segment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Use of Estimates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on-going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Cash and Cash Equivalents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considers all highly liquid investments purchased with original maturities of three months or less at acquisition to be cash equivalents. As of December 31, 2023 and 2022, cash and cash equivalents were primarily held in interest-bearing money market funds.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Concentrations of Credit Risk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has no significant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off-balance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Fair Value Measurements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1— Fair values are determined utilizing prices (unadjusted) in active markets for identical assets or liabilities that the Company has the ability to access.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Level 3—Unobservable inputs that are supported by little or no market activity that are significant to determining the fair value of the assets or liabilities, including pricing models, discounted cash flow methodologies and similar techniques.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carrying amounts of the Company’s financial instruments, which include cash equivalents, accounts payable, and accrued expenses, approximated their fair values as of December 31, 2023 and 2022 due to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short-term</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nature of these instruments.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Company has evaluated the estimated fair value of financial instruments using available market information. The use of different market assumptions, estimation methodologies, or both, could have a significant effect on the estimated fair value amounts. See Note 4</w:t>
      </w:r>
    </w:p>
    <w:p>
      <w:pPr>
        <w:pStyle w:val="TextBody"/>
        <w:bidi w:val="0"/>
        <w:spacing w:before="24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 xml:space="preserve">Fair Value of Financial Assets and Liabilities”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further discussion.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Property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are recorded at cost. Depreciation and amortization is calculated using the straight-line method over the following estimated useful lives of the assets: </w:t>
      </w:r>
    </w:p>
    <w:p>
      <w:pPr>
        <w:pStyle w:val="TextBody"/>
        <w:bidi w:val="0"/>
        <w:spacing w:before="0" w:after="0"/>
        <w:jc w:val="left"/>
        <w:rPr>
          <w:shd w:fill="FFFFFF" w:val="clear"/>
        </w:rPr>
      </w:pPr>
      <w:r>
        <w:rPr>
          <w:shd w:fill="FFFFFF" w:val="clear"/>
        </w:rPr>
        <w:t> </w:t>
      </w:r>
    </w:p>
    <w:tbl>
      <w:tblPr>
        <w:tblW w:w="5845" w:type="dxa"/>
        <w:jc w:val="left"/>
        <w:tblInd w:w="0" w:type="dxa"/>
        <w:tblLayout w:type="fixed"/>
        <w:tblCellMar>
          <w:top w:w="0" w:type="dxa"/>
          <w:left w:w="0" w:type="dxa"/>
          <w:bottom w:w="0" w:type="dxa"/>
          <w:right w:w="0" w:type="dxa"/>
        </w:tblCellMar>
      </w:tblPr>
      <w:tblGrid>
        <w:gridCol w:w="2705"/>
        <w:gridCol w:w="120"/>
        <w:gridCol w:w="3020"/>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Useful Life</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and office equipment</w:t>
            </w:r>
          </w:p>
        </w:tc>
        <w:tc>
          <w:tcPr>
            <w:tcW w:w="12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center"/>
              <w:rPr/>
            </w:pPr>
            <w:r>
              <w:rPr/>
              <w:t>5 years</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2 years</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center"/>
              <w:rPr/>
            </w:pPr>
            <w:r>
              <w:rPr/>
              <w:t>Lesser of lease term or 10 years</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Impairment of Long-Lived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2023 the Company recognized a $937 loss on impairment of property, plant, and equipment as a result of the reclassification of these assets to held for sale. The Company did not record any impairment loss during the year ended December 31,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together for the majority of its leases. As a result, for these applicable classes of underlying assets, the Company accounted for each separate lease component and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associated with that lease component as a single lease component.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enters into contracts that contain both lease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may include items such as maintenance, utilities, or other operating costs. For leases of real estate, the Company combines the lease and associated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non-lease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components in its lease arrangements as a single lease component. Variable costs, such as utilities or maintenance costs, are not included in the measurement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assets and lease liabilities, but rather are expensed when the event determining the amount of variable consideration to be paid occurs.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 ended December 31, 2023 the Company recognized a $940 loss on impairment of ROU assets as a result of the discontinued use of lab space in Cambridge, Massachusetts, United States. The Company did not record any impairment loss during the year ended December 31,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Comprehensive Income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Comprehensive income (loss) is defined as the change in stockholders’ equity of a business enterprise during a period from transactions and other events and circumstances from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non-owner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Foreign Currency Translation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2023 and 2022, the Company recorded foreign exchange losses of $122 and $92, respectively, in other expense in the consolidated statements of operations and comprehensive loss.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Research and Development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Non-refundable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Stock-Based Compensation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measurement date for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awards is the later of the adoption date of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2018-07,</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the date of grant. For stock-based awards granted to nonemployees subject to graded vesting that only contain service conditions, the Company has elected to recognize stock-based compensation expense using the straight-line recognition method.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classifies stock-based compensation expense in its consolidated statements of operations and comprehensive loss in the same manner in which the award recipient’s cash compensation costs are classified.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accounts for uncertain tax positions recognized in the consolidated financial statements by prescribing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more-likely-than-not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Net Income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Subsequent Event Considerations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Recently Adopted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2016, the FASB issued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Instruments—Credit Losses (Topic 326): Measurement of Credit Losses on Financial Instruments, or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requires that credit losses be reported as an allowance using an expected losses model, representing the entity’s current estimate of credit losses expected to be incurred.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available-for-sale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debt securities with unrealized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losses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this standard now requires allowances to be recorded instead of reducing the amortized cost of the investment. On January 1, 2023 the Company adopted this standard, which had no impact on its financial position or results of operations.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November 2019,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2019-11,</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Codification Improvements to Topic 326, Financial Instruments – Credit Losses,” or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2019-11.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2019-11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is an accounting pronouncement that amends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2016-13,</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Recently Issued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2023, the FASB issued Accounting Standard Update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Income Taxes (Topic 740): Improvements to Income Tax Disclosures.” This guidance is intended to enhance the transparency and decision-usefulness of income tax disclosures. The amendments in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address investor requests for enhanced income tax information primarily through changes to disclosure regarding rate reconciliation and income taxes paid both in the United States and in foreign jurisdictions.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2023-09</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October 2023,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2023-06</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Disclosure Improvements: Codification Amendments in Response to the SEC’s Disclosure Update and Simplification Initiative.”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S-X</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becomes effective, with early adoption prohibited. The amendments in this ASU should be applied prospectively. The Company is currently evaluating this guidance to determine the impact it may have on its consolidated financial statement disclosures.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3. License and Purchase Agreements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The University of Manchester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ex vivo</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lentiviral gene therapy for use in the treatment of Hunter syndrome, or mucopolysaccharidosis type II (“MPSII”). As consideration for the MPSII License Agreement, the Company agreed to pay UoM an upfront,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fee of $8,000, which was recognized as research and development expense during the year ended December 31, 2020.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part of the agreement, the Company was obligated to make milestone payments of up to an aggregate of $80,000 upon the achievement of specified development and regulatory milestones, to pay royalties,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product-by-product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of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mid-single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were estimated to equal approximately £9,900 in the aggregate.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the Company recognized $1,610 and $2,346, respectively, of costs related to the CRFA, excluding the payment made in connection with the termination.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Agreements with University Health Network (“UHN”)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Fabry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27, 2016, the Company entered into an agreement with UHN, pursuant to which UHN granted the Company an option to enter into an exclusive license under the UHN intellectual property related to Fabry disease in accordance with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pre-negotiated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licensing terms. On November 4, 2016, the Company exercised its option and entered into a license agreement with UHN, pursuant to which UHN granted the Company an exclusive worldwide license under certain intellectual property rights and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non-exclusive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worldwide license under certain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this agreement, the Company paid an option fee of CAD$20, an upfront license fee of CAD$75, plus the annual license maintenance fee for the first year. Thereafter, the Company was also required to pay UHN future annual license maintenance fees until the first sale of a licensed product in certain markets. The Company was also obligated to make future milestone payments in an aggregate amount of up to CAD$2,450 upon the achievement of specified milestones as well as royalties on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of a low to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mid-single-digit</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percentage of annual net sales of licensed products and a lower single-digit royalty percentage in certain circumstances. Additionally, the Company had agreed to pay a low double-digit royalty percentage of all sublicensing revenue.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agreement required the Company to meet certain performance milestones within specified timeframes. UHN could terminate the agreement if the Company failed to meet these performance milestones despite using commercially reasonable efforts and the Company is unable to reach agreement with UHN on revised timeframes. The Company’s royalty obligation was to expire on a licensed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product-by-licensed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product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Unless terminated earlier, the agreement was to expire upon the expiration of the Company’s royalty obligation for all licensed products. UHN could terminate the agreement if the Company failed to make any payments within a specified period after receiving written notice of such failure, or in the event that the Company fails to obtain or maintain insurance. Either the Company or UHN could terminate the license agreement in the event of a material breach by the other party and failure to cure such breach within a certain period of time. The Company could voluntarily terminate the agreement with prior notice to UHN.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 For the years ended December 31, 2023 and 2022, the Company recorded research and development expense related to this agreement with UHN of $93 and $161, respectively, which consists of reimbursable funded study trial costs and license maintenance fees. No milestone fees were incurred related to the Fabry license agreement in the years ended December 31, 2023 and 2022.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Interleukin 12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Company’s initial public offering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the Company recorded research and development expense related to this agreement with UHN of $37 and $39, respectively, which consists of license maintenance fees. No milestone fees were incurred related to the Interleukin 12 license agreement in the years ended December 31, 2023 and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BioMarin Pharmaceutical Inc. (“BioMarin”)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2023 and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Papillon Therapeutics, Inc. (previously GenStem Therapeutics, Inc.)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product-by-licensed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product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country-by-country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 license agreement with Papillon was assigned to Novartis on May 19, 2023 in conjunction with the Company’s Asset Purchase Agreement with Novartis which provided for the sale of the Company’s cystinosis gene therapy program and all other assets of the Company specifically related to this program (see “Sale of Cystinosis Program” below).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No expenses related to the license were recorded for the years ended December 31, 2023 and 2022.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Agreement with Lund University Rights Holders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2023 and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Sale of Cystinosis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May 19, 2023, the Company entered into the Asset Purchase Agreement with Novartis, providing for the sale of the Company’s cystinosis gene therapy program (designated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AVR-RD-04)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p>
    <w:p>
      <w:pPr>
        <w:pStyle w:val="TextBody"/>
        <w:bidi w:val="0"/>
        <w:spacing w:before="120" w:after="0"/>
        <w:jc w:val="left"/>
        <w:rPr>
          <w:rFonts w:ascii="Times New Roman" w:hAnsi="Times New Roman"/>
          <w:sz w:val="12"/>
          <w:shd w:fill="FFFFFF" w:val="clear"/>
        </w:rPr>
      </w:pPr>
      <w:r>
        <w:rPr>
          <w:rFonts w:ascii="Times New Roman" w:hAnsi="Times New Roman"/>
          <w:sz w:val="12"/>
          <w:shd w:fill="FFFFFF" w:val="clear"/>
        </w:rPr>
        <w: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The Company recognized $83,736 as a gain on asset sale, net of $3,764 in transaction costs, in the consolidated statement of operations and comprehensive income (loss).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Fair Value of Financial Assets and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information about the Company’s financial assets and liabilities measured at fair value on a recurring basis and indicates the level of the fair value hierarchy utilized to determine such fair values as of December 31, 2023 and 2022: </w:t>
      </w:r>
    </w:p>
    <w:p>
      <w:pPr>
        <w:pStyle w:val="TextBody"/>
        <w:bidi w:val="0"/>
        <w:spacing w:before="0" w:after="0"/>
        <w:jc w:val="left"/>
        <w:rPr>
          <w:shd w:fill="FFFFFF" w:val="clear"/>
        </w:rPr>
      </w:pPr>
      <w:r>
        <w:rPr>
          <w:shd w:fill="FFFFFF" w:val="clear"/>
        </w:rPr>
        <w:t> </w:t>
      </w:r>
    </w:p>
    <w:tbl>
      <w:tblPr>
        <w:tblW w:w="7160" w:type="dxa"/>
        <w:jc w:val="left"/>
        <w:tblInd w:w="0" w:type="dxa"/>
        <w:tblLayout w:type="fixed"/>
        <w:tblCellMar>
          <w:top w:w="0" w:type="dxa"/>
          <w:left w:w="0" w:type="dxa"/>
          <w:bottom w:w="0" w:type="dxa"/>
          <w:right w:w="0" w:type="dxa"/>
        </w:tblCellMar>
      </w:tblPr>
      <w:tblGrid>
        <w:gridCol w:w="3275"/>
        <w:gridCol w:w="120"/>
        <w:gridCol w:w="140"/>
        <w:gridCol w:w="680"/>
        <w:gridCol w:w="60"/>
        <w:gridCol w:w="120"/>
        <w:gridCol w:w="264"/>
        <w:gridCol w:w="491"/>
        <w:gridCol w:w="60"/>
        <w:gridCol w:w="120"/>
        <w:gridCol w:w="264"/>
        <w:gridCol w:w="491"/>
        <w:gridCol w:w="60"/>
        <w:gridCol w:w="120"/>
        <w:gridCol w:w="140"/>
        <w:gridCol w:w="68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as of</w:t>
              <w:br/>
              <w:t>December 31, 2023</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96,707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96,707</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96,707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96,707</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7160" w:type="dxa"/>
        <w:jc w:val="left"/>
        <w:tblInd w:w="0" w:type="dxa"/>
        <w:tblLayout w:type="fixed"/>
        <w:tblCellMar>
          <w:top w:w="0" w:type="dxa"/>
          <w:left w:w="0" w:type="dxa"/>
          <w:bottom w:w="0" w:type="dxa"/>
          <w:right w:w="0" w:type="dxa"/>
        </w:tblCellMar>
      </w:tblPr>
      <w:tblGrid>
        <w:gridCol w:w="3275"/>
        <w:gridCol w:w="120"/>
        <w:gridCol w:w="140"/>
        <w:gridCol w:w="680"/>
        <w:gridCol w:w="60"/>
        <w:gridCol w:w="120"/>
        <w:gridCol w:w="264"/>
        <w:gridCol w:w="491"/>
        <w:gridCol w:w="60"/>
        <w:gridCol w:w="120"/>
        <w:gridCol w:w="264"/>
        <w:gridCol w:w="491"/>
        <w:gridCol w:w="60"/>
        <w:gridCol w:w="120"/>
        <w:gridCol w:w="140"/>
        <w:gridCol w:w="68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9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as of</w:t>
              <w:br/>
              <w:t>December 31, 2022</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91,095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91,095</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single" w:sz="2" w:space="1" w:color="000000"/>
              </w:rPr>
            </w:pPr>
            <w:r>
              <w:rPr>
                <w:bdr w:val="single" w:sz="2" w:space="1" w:color="000000"/>
              </w:rPr>
              <w:t> </w:t>
            </w:r>
          </w:p>
        </w:tc>
        <w:tc>
          <w:tcPr>
            <w:tcW w:w="49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91,095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91,095</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bdr w:val="double" w:sz="6" w:space="1" w:color="000000"/>
              </w:rPr>
            </w:pPr>
            <w:r>
              <w:rPr>
                <w:bdr w:val="double" w:sz="6" w:space="1" w:color="000000"/>
              </w:rPr>
              <w:t> </w:t>
            </w:r>
          </w:p>
        </w:tc>
        <w:tc>
          <w:tcPr>
            <w:tcW w:w="49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there were no transfers between levels.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5. Supplemental Balance Sheet Information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Prepaid Expenses and Other Current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Prepaid expenses and other current assets consisted of the following: </w:t>
      </w:r>
    </w:p>
    <w:p>
      <w:pPr>
        <w:pStyle w:val="TextBody"/>
        <w:bidi w:val="0"/>
        <w:spacing w:before="0" w:after="0"/>
        <w:jc w:val="left"/>
        <w:rPr>
          <w:shd w:fill="FFFFFF" w:val="clear"/>
        </w:rPr>
      </w:pPr>
      <w:r>
        <w:rPr>
          <w:shd w:fill="FFFFFF" w:val="clear"/>
        </w:rPr>
        <w:t> </w:t>
      </w:r>
    </w:p>
    <w:tbl>
      <w:tblPr>
        <w:tblW w:w="5365" w:type="dxa"/>
        <w:jc w:val="left"/>
        <w:tblInd w:w="0" w:type="dxa"/>
        <w:tblLayout w:type="fixed"/>
        <w:tblCellMar>
          <w:top w:w="0" w:type="dxa"/>
          <w:left w:w="0" w:type="dxa"/>
          <w:bottom w:w="0" w:type="dxa"/>
          <w:right w:w="0" w:type="dxa"/>
        </w:tblCellMar>
      </w:tblPr>
      <w:tblGrid>
        <w:gridCol w:w="3590"/>
        <w:gridCol w:w="120"/>
        <w:gridCol w:w="140"/>
        <w:gridCol w:w="560"/>
        <w:gridCol w:w="60"/>
        <w:gridCol w:w="120"/>
        <w:gridCol w:w="140"/>
        <w:gridCol w:w="560"/>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4,509</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999</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compensation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327</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incentive refund, net of reserve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269</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7,112</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Property and Equipment,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net consisted of the following: </w:t>
      </w:r>
    </w:p>
    <w:p>
      <w:pPr>
        <w:pStyle w:val="TextBody"/>
        <w:bidi w:val="0"/>
        <w:spacing w:before="0" w:after="0"/>
        <w:jc w:val="left"/>
        <w:rPr>
          <w:shd w:fill="FFFFFF" w:val="clear"/>
        </w:rPr>
      </w:pPr>
      <w:r>
        <w:rPr>
          <w:shd w:fill="FFFFFF" w:val="clear"/>
        </w:rPr>
        <w:t> </w:t>
      </w:r>
    </w:p>
    <w:tbl>
      <w:tblPr>
        <w:tblW w:w="6185" w:type="dxa"/>
        <w:jc w:val="left"/>
        <w:tblInd w:w="0" w:type="dxa"/>
        <w:tblLayout w:type="fixed"/>
        <w:tblCellMar>
          <w:top w:w="0" w:type="dxa"/>
          <w:left w:w="0" w:type="dxa"/>
          <w:bottom w:w="0" w:type="dxa"/>
          <w:right w:w="0" w:type="dxa"/>
        </w:tblCellMar>
      </w:tblPr>
      <w:tblGrid>
        <w:gridCol w:w="4070"/>
        <w:gridCol w:w="120"/>
        <w:gridCol w:w="140"/>
        <w:gridCol w:w="635"/>
        <w:gridCol w:w="155"/>
        <w:gridCol w:w="120"/>
        <w:gridCol w:w="140"/>
        <w:gridCol w:w="635"/>
        <w:gridCol w:w="170"/>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and office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5,967</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629</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102</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6,698</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(3,804</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 of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2,894</w:t>
            </w:r>
          </w:p>
        </w:tc>
        <w:tc>
          <w:tcPr>
            <w:tcW w:w="17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Depreciation and amortization expense for the years ended December 31, 2023 and 2022 was $617 and $1,440,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Cash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restricted cash as presented in the table below, which consists of cash used to secure a letter of credit for the benefit of the landlord in connection with the Company’s lease agreement as well as restricted cash related to the Company’s corporate credit card program. The cash will be restricted until the termination or modification of the lease arrangement and corporate credit card program, respectively. </w:t>
      </w:r>
    </w:p>
    <w:p>
      <w:pPr>
        <w:pStyle w:val="TextBody"/>
        <w:bidi w:val="0"/>
        <w:spacing w:before="0" w:after="0"/>
        <w:jc w:val="left"/>
        <w:rPr>
          <w:shd w:fill="FFFFFF" w:val="clear"/>
        </w:rPr>
      </w:pPr>
      <w:r>
        <w:rPr>
          <w:shd w:fill="FFFFFF" w:val="clear"/>
        </w:rPr>
        <w:t> </w:t>
      </w:r>
    </w:p>
    <w:tbl>
      <w:tblPr>
        <w:tblW w:w="4685" w:type="dxa"/>
        <w:jc w:val="left"/>
        <w:tblInd w:w="0" w:type="dxa"/>
        <w:tblLayout w:type="fixed"/>
        <w:tblCellMar>
          <w:top w:w="0" w:type="dxa"/>
          <w:left w:w="0" w:type="dxa"/>
          <w:bottom w:w="0" w:type="dxa"/>
          <w:right w:w="0" w:type="dxa"/>
        </w:tblCellMar>
      </w:tblPr>
      <w:tblGrid>
        <w:gridCol w:w="3080"/>
        <w:gridCol w:w="120"/>
        <w:gridCol w:w="161"/>
        <w:gridCol w:w="440"/>
        <w:gridCol w:w="68"/>
        <w:gridCol w:w="138"/>
        <w:gridCol w:w="161"/>
        <w:gridCol w:w="442"/>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283</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 net of current portion</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400</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consisted of the following: </w:t>
      </w:r>
    </w:p>
    <w:p>
      <w:pPr>
        <w:pStyle w:val="TextBody"/>
        <w:bidi w:val="0"/>
        <w:spacing w:before="0" w:after="0"/>
        <w:jc w:val="left"/>
        <w:rPr>
          <w:shd w:fill="FFFFFF" w:val="clear"/>
        </w:rPr>
      </w:pPr>
      <w:r>
        <w:rPr>
          <w:shd w:fill="FFFFFF" w:val="clear"/>
        </w:rPr>
        <w:t> </w:t>
      </w:r>
    </w:p>
    <w:tbl>
      <w:tblPr>
        <w:tblW w:w="4900" w:type="dxa"/>
        <w:jc w:val="left"/>
        <w:tblInd w:w="0" w:type="dxa"/>
        <w:tblLayout w:type="fixed"/>
        <w:tblCellMar>
          <w:top w:w="0" w:type="dxa"/>
          <w:left w:w="0" w:type="dxa"/>
          <w:bottom w:w="0" w:type="dxa"/>
          <w:right w:w="0" w:type="dxa"/>
        </w:tblCellMar>
      </w:tblPr>
      <w:tblGrid>
        <w:gridCol w:w="3005"/>
        <w:gridCol w:w="120"/>
        <w:gridCol w:w="140"/>
        <w:gridCol w:w="560"/>
        <w:gridCol w:w="60"/>
        <w:gridCol w:w="120"/>
        <w:gridCol w:w="140"/>
        <w:gridCol w:w="68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6,122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and benefit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4,175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Consulting and professional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11,732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 amended the terms of the sublease, to extend the term through April 2023. In July 2022, the company moved its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2023 and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June 1, 2020, the Company entered into a lease agreement for office space located in Toronto, Ontario, Canada, which was set to expire in June 2025. On October 31, 2023, the lease agreement was terminated. The annual lease payments were fixed for years 1 and 2, and then subject to a 6.67% increase for years 3 through 5. In accordance with the lease agreement, the Company was required to maintain a security deposit of CAD$27, which was recorded in other long-term assets as of December 31, 2022. In October 2022, the Company entered into a sublease agreement to sublease this space. The term of the sublease agreement commenced on October 1, 2022 and expires on June 29, 2025. The sublease was also terminated on October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effect of lease costs in the Company’s consolidated statement of operations and comprehensive loss: </w:t>
      </w:r>
    </w:p>
    <w:p>
      <w:pPr>
        <w:pStyle w:val="TextBody"/>
        <w:bidi w:val="0"/>
        <w:spacing w:before="0" w:after="0"/>
        <w:jc w:val="left"/>
        <w:rPr>
          <w:shd w:fill="FFFFFF" w:val="clear"/>
        </w:rPr>
      </w:pPr>
      <w:r>
        <w:rPr>
          <w:shd w:fill="FFFFFF" w:val="clear"/>
        </w:rPr>
        <w:t> </w:t>
      </w:r>
    </w:p>
    <w:tbl>
      <w:tblPr>
        <w:tblW w:w="4752" w:type="dxa"/>
        <w:jc w:val="left"/>
        <w:tblInd w:w="0" w:type="dxa"/>
        <w:tblLayout w:type="fixed"/>
        <w:tblCellMar>
          <w:top w:w="0" w:type="dxa"/>
          <w:left w:w="0" w:type="dxa"/>
          <w:bottom w:w="0" w:type="dxa"/>
          <w:right w:w="0" w:type="dxa"/>
        </w:tblCellMar>
      </w:tblPr>
      <w:tblGrid>
        <w:gridCol w:w="1745"/>
        <w:gridCol w:w="120"/>
        <w:gridCol w:w="235"/>
        <w:gridCol w:w="942"/>
        <w:gridCol w:w="260"/>
        <w:gridCol w:w="100"/>
        <w:gridCol w:w="235"/>
        <w:gridCol w:w="945"/>
        <w:gridCol w:w="170"/>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2,195</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2,994</w:t>
            </w:r>
          </w:p>
        </w:tc>
        <w:tc>
          <w:tcPr>
            <w:tcW w:w="17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(77</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single" w:sz="2" w:space="1" w:color="000000"/>
              </w:rPr>
            </w:pPr>
            <w:r>
              <w:rPr>
                <w:bdr w:val="single" w:sz="2" w:space="1" w:color="000000"/>
              </w:rPr>
              <w:t> </w:t>
            </w:r>
          </w:p>
        </w:tc>
        <w:tc>
          <w:tcPr>
            <w:tcW w:w="94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2" w:type="dxa"/>
            <w:tcBorders/>
            <w:shd w:fill="CCEEFF" w:val="clear"/>
            <w:vAlign w:val="center"/>
          </w:tcPr>
          <w:p>
            <w:pPr>
              <w:pStyle w:val="TableContents"/>
              <w:bidi w:val="0"/>
              <w:spacing w:before="0" w:after="283"/>
              <w:jc w:val="right"/>
              <w:rPr/>
            </w:pPr>
            <w:r>
              <w:rPr/>
              <w:t>2,118</w:t>
            </w:r>
          </w:p>
        </w:tc>
        <w:tc>
          <w:tcPr>
            <w:tcW w:w="2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2,971</w:t>
            </w:r>
          </w:p>
        </w:tc>
        <w:tc>
          <w:tcPr>
            <w:tcW w:w="17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double" w:sz="6" w:space="1" w:color="000000"/>
              </w:rPr>
            </w:pPr>
            <w:r>
              <w:rPr>
                <w:bdr w:val="double" w:sz="6" w:space="1" w:color="000000"/>
              </w:rPr>
              <w:t> </w:t>
            </w:r>
          </w:p>
        </w:tc>
        <w:tc>
          <w:tcPr>
            <w:tcW w:w="942" w:type="dxa"/>
            <w:tcBorders/>
            <w:vAlign w:val="center"/>
          </w:tcPr>
          <w:p>
            <w:pPr>
              <w:pStyle w:val="TableContents"/>
              <w:bidi w:val="0"/>
              <w:spacing w:before="0" w:after="0"/>
              <w:jc w:val="left"/>
              <w:rPr>
                <w:bdr w:val="double" w:sz="6" w:space="1" w:color="000000"/>
              </w:rPr>
            </w:pPr>
            <w:r>
              <w:rPr>
                <w:bdr w:val="double" w:sz="6" w:space="1" w:color="000000"/>
              </w:rPr>
              <w:t> </w:t>
            </w:r>
          </w:p>
        </w:tc>
        <w:tc>
          <w:tcPr>
            <w:tcW w:w="2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jc w:val="left"/>
              <w:rPr>
                <w:bdr w:val="double" w:sz="6" w:space="1" w:color="000000"/>
              </w:rPr>
            </w:pPr>
            <w:r>
              <w:rPr>
                <w:bdr w:val="double" w:sz="6" w:space="1" w:color="000000"/>
              </w:rPr>
              <w:t> </w:t>
            </w:r>
          </w:p>
        </w:tc>
        <w:tc>
          <w:tcPr>
            <w:tcW w:w="94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 Company made cash payments for operating leases of $2,771 and $3,167,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of December 31, 2023, future minimum payments of operating lease liabilities are as follows (in thousands): </w:t>
      </w:r>
    </w:p>
    <w:p>
      <w:pPr>
        <w:pStyle w:val="TextBody"/>
        <w:bidi w:val="0"/>
        <w:spacing w:before="0" w:after="0"/>
        <w:jc w:val="left"/>
        <w:rPr>
          <w:shd w:fill="FFFFFF" w:val="clear"/>
        </w:rPr>
      </w:pPr>
      <w:r>
        <w:rPr>
          <w:shd w:fill="FFFFFF" w:val="clear"/>
        </w:rPr>
        <w:t> </w:t>
      </w:r>
    </w:p>
    <w:tbl>
      <w:tblPr>
        <w:tblW w:w="4845" w:type="dxa"/>
        <w:jc w:val="left"/>
        <w:tblInd w:w="0" w:type="dxa"/>
        <w:tblLayout w:type="fixed"/>
        <w:tblCellMar>
          <w:top w:w="0" w:type="dxa"/>
          <w:left w:w="0" w:type="dxa"/>
          <w:bottom w:w="0" w:type="dxa"/>
          <w:right w:w="0" w:type="dxa"/>
        </w:tblCellMar>
      </w:tblPr>
      <w:tblGrid>
        <w:gridCol w:w="2600"/>
        <w:gridCol w:w="120"/>
        <w:gridCol w:w="526"/>
        <w:gridCol w:w="1429"/>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w:t>
              <w:br/>
              <w:t>December 31, 2023</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896</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896</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(18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single" w:sz="2" w:space="1" w:color="000000"/>
              </w:rPr>
            </w:pPr>
            <w:r>
              <w:rPr>
                <w:bdr w:val="single" w:sz="2" w:space="1" w:color="000000"/>
              </w:rPr>
              <w:t> </w:t>
            </w:r>
          </w:p>
        </w:tc>
        <w:tc>
          <w:tcPr>
            <w:tcW w:w="142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w:t>
            </w:r>
          </w:p>
        </w:tc>
        <w:tc>
          <w:tcPr>
            <w:tcW w:w="1429" w:type="dxa"/>
            <w:tcBorders/>
            <w:vAlign w:val="center"/>
          </w:tcPr>
          <w:p>
            <w:pPr>
              <w:pStyle w:val="TableContents"/>
              <w:bidi w:val="0"/>
              <w:spacing w:before="0" w:after="283"/>
              <w:jc w:val="right"/>
              <w:rPr/>
            </w:pPr>
            <w:r>
              <w:rPr/>
              <w:t>878</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0"/>
              <w:jc w:val="left"/>
              <w:rPr>
                <w:bdr w:val="double" w:sz="6" w:space="1" w:color="000000"/>
              </w:rPr>
            </w:pPr>
            <w:r>
              <w:rPr>
                <w:bdr w:val="double" w:sz="6" w:space="1" w:color="000000"/>
              </w:rPr>
              <w:t> </w:t>
            </w:r>
          </w:p>
        </w:tc>
        <w:tc>
          <w:tcPr>
            <w:tcW w:w="142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weighted average remaining lease term was 0.3 years and the weighted average incremental borrowing rate used to determine the operating lease liability was 16.15%. As of December 31, 2022, the weighted average remaining lease term was 0.9 years and the weighted average incremental borrowing rate used to determine the operating lease liability was 10.58%.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7. Note Payable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November 2, 2021 (the “Closing Date”), the Company entered into a Loan and Security Agreement (the “Loan Agreement”) with Silicon Valley Bank pursuant to which a term loan in an aggregate principal amount of up to $50,000 (the “Term Loan Facility”) was available to the Company in three tranches, subject to certain terms and conditions. The first tranche of $15,000 was advanced to the Company on the Closing Date. Subject to the terms and conditions of the Loan Agreement, the first tranche allowed the Company to borrow an additional $15,000 through October 31, 2023. Upon satisfaction of certain milestones, the second and third tranches were available under the Term Loan Facility which allowed the Company to borrow an additional amount up to $10,000 in each tranche through October 31, 2023. Additionally, the Company could seek to borrow up to an additional $15,000 at the sole discretion of the lender through the term of the Loan Agreement. The Loan Agreement provided for an October 1, 2026 maturity date (the “Maturity Date”). The Company was required to pay an end of term fee (“End of Term Charge”) equal to 9.00% of the aggregate principal amount of the Term Loan advances upon repayment.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Upon prepayment or repayment of all or any of the term loans under the Term Loan Facility, the Company was required to pay (in addition to any Prepayment Premium) an end of term charge of 9.0% of the aggregate funded amount under the Term Loan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Term Loan Facility was secured by substantially all of the Company’s assets, other than the Company’s intellectual property. The Company agreed to not pledge or secure its intellectual property to others.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2022 the carrying value of the note payable consists of the following: </w:t>
      </w:r>
    </w:p>
    <w:p>
      <w:pPr>
        <w:pStyle w:val="TextBody"/>
        <w:bidi w:val="0"/>
        <w:spacing w:before="0" w:after="0"/>
        <w:jc w:val="left"/>
        <w:rPr>
          <w:shd w:fill="FFFFFF" w:val="clear"/>
        </w:rPr>
      </w:pPr>
      <w:r>
        <w:rPr>
          <w:shd w:fill="FFFFFF" w:val="clear"/>
        </w:rPr>
        <w:t> </w:t>
      </w:r>
    </w:p>
    <w:tbl>
      <w:tblPr>
        <w:tblW w:w="5925" w:type="dxa"/>
        <w:jc w:val="left"/>
        <w:tblInd w:w="0" w:type="dxa"/>
        <w:tblLayout w:type="fixed"/>
        <w:tblCellMar>
          <w:top w:w="0" w:type="dxa"/>
          <w:left w:w="0" w:type="dxa"/>
          <w:bottom w:w="0" w:type="dxa"/>
          <w:right w:w="0" w:type="dxa"/>
        </w:tblCellMar>
      </w:tblPr>
      <w:tblGrid>
        <w:gridCol w:w="3680"/>
        <w:gridCol w:w="120"/>
        <w:gridCol w:w="333"/>
        <w:gridCol w:w="1622"/>
        <w:gridCol w:w="170"/>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 payable, including End of Term Charge</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16,350</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discount, net of accretion</w:t>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(1,074</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single" w:sz="2" w:space="1" w:color="000000"/>
              </w:rPr>
            </w:pPr>
            <w:r>
              <w:rPr>
                <w:bdr w:val="single" w:sz="2" w:space="1" w:color="000000"/>
              </w:rPr>
              <w:t> </w:t>
            </w:r>
          </w:p>
        </w:tc>
        <w:tc>
          <w:tcPr>
            <w:tcW w:w="162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 payable, net of discount, long-term</w:t>
            </w:r>
          </w:p>
        </w:tc>
        <w:tc>
          <w:tcPr>
            <w:tcW w:w="12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r>
              <w:rPr/>
              <w:t>15,276</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0"/>
              <w:jc w:val="left"/>
              <w:rPr>
                <w:bdr w:val="double" w:sz="6" w:space="1" w:color="000000"/>
              </w:rPr>
            </w:pPr>
            <w:r>
              <w:rPr>
                <w:bdr w:val="double" w:sz="6" w:space="1" w:color="000000"/>
              </w:rPr>
              <w:t> </w:t>
            </w:r>
          </w:p>
        </w:tc>
        <w:tc>
          <w:tcPr>
            <w:tcW w:w="162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 ended December 31, 2023, the Company recognized $1,917 of interest expense related to the Loan Agreement, of which $939 is related to the loss on the extinguishment of debt due to the write off of the debt discount balance, which is reflected in other expense, net on the consolidated statements of operations and comprehensive loss. During year ended December 31, 2022, the Company recognized $1,808 of interest expense related to the Loan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8.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authorized capital stock of the Company included 150,000,000 shares of common stock, $0.0001 par value, and 10,000,000 shares of undesignated preferred stock. As of December 31, 2023 and 2022, no undesignated shares of preferred stock were outstanding.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Through December 31, 2023, no cash dividends have been declared or paid.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Public Offerings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2019, the Company closed an underwritten public offering of 7,475,000 shares of its common stock at a public offering price of $18.50 per share (the “July 2019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Offering”), which included 975,000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shares of the Company’s common stock resulting from the full exercise of the underwriters’ option to purchase additional shares at the public offering price, less underwriting discounts and commissions. The net proceeds to the Company from the July 2019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Offering, after deducting underwriting discounts and commissions and other offering expenses payable by the Company, were $129,464.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February 2020, the Company closed an underwritten public offering of 4,350,000 shares of its common stock at a public offering price of $23.00 per share (the “February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The net proceeds to the Company from the February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after deducting underwriting discounts and commissions and other offering expenses payable by the Company, were $93,627.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June 2020, the Company sold an aggregate of 384,140 shares of common stock under its 2019 </w:t>
      </w:r>
    </w:p>
    <w:p>
      <w:pPr>
        <w:pStyle w:val="TextBody"/>
        <w:bidi w:val="0"/>
        <w:spacing w:before="240" w:after="0"/>
        <w:jc w:val="left"/>
        <w:rPr>
          <w:spacing w:val="0"/>
          <w:shd w:fill="FFFFFF" w:val="clear"/>
        </w:rPr>
      </w:pPr>
      <w:r>
        <w:rPr>
          <w:spacing w:val="0"/>
          <w:shd w:fill="FFFFFF" w:val="clear"/>
        </w:rPr>
        <w:t>“</w:t>
      </w:r>
      <w:r>
        <w:rPr>
          <w:rFonts w:ascii="Times New Roman" w:hAnsi="Times New Roman"/>
          <w:spacing w:val="0"/>
          <w:sz w:val="20"/>
          <w:shd w:fill="FFFFFF" w:val="clear"/>
        </w:rPr>
        <w:t>at-the-market”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facility (the “2019 ATM Facility”) for net proceeds, after deducting commissions and other offering expenses payable by the Company, of $8,130.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November 2020, the Company closed an underwritten public offering of 5,000,000 shares of its common stock at a public offering price of $15.00 per share (the “November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The net proceeds to the Company from the November 2020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Follow-on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Offering, after deducting underwriting discounts and commissions and other offering expenses payable by the Company, were $70,221.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May 2021, the Company sold an aggregate of 1,829,268 shares of common stock under the 2019 ATM Facility for net proceeds, after deducting commissions and other offering expenses payable by the Company, of $14,550.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were no public offerings during the years ended December 31, 2023 and 2022.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Common Stock Reserved for Future Issuance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has reserved the following shares of common stock for future issuance: </w:t>
      </w:r>
    </w:p>
    <w:p>
      <w:pPr>
        <w:pStyle w:val="TextBody"/>
        <w:bidi w:val="0"/>
        <w:spacing w:before="0" w:after="0"/>
        <w:jc w:val="left"/>
        <w:rPr>
          <w:shd w:fill="FFFFFF" w:val="clear"/>
        </w:rPr>
      </w:pPr>
      <w:r>
        <w:rPr>
          <w:shd w:fill="FFFFFF" w:val="clear"/>
        </w:rPr>
        <w:t> </w:t>
      </w:r>
    </w:p>
    <w:tbl>
      <w:tblPr>
        <w:tblW w:w="8940" w:type="dxa"/>
        <w:jc w:val="left"/>
        <w:tblInd w:w="0" w:type="dxa"/>
        <w:tblLayout w:type="fixed"/>
        <w:tblCellMar>
          <w:top w:w="0" w:type="dxa"/>
          <w:left w:w="0" w:type="dxa"/>
          <w:bottom w:w="0" w:type="dxa"/>
          <w:right w:w="0" w:type="dxa"/>
        </w:tblCellMar>
      </w:tblPr>
      <w:tblGrid>
        <w:gridCol w:w="6245"/>
        <w:gridCol w:w="120"/>
        <w:gridCol w:w="60"/>
        <w:gridCol w:w="1100"/>
        <w:gridCol w:w="60"/>
        <w:gridCol w:w="120"/>
        <w:gridCol w:w="60"/>
        <w:gridCol w:w="1100"/>
        <w:gridCol w:w="75"/>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exercise of outstanding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5,142,272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9,423,271</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936,358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940,392</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2018 Stock Option and Incentive Plan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7,978,667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5,005,295</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2018 Employee Stock Purchase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1,771,748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1,467,026</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2019 Inducement Plan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1,407,211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786,656</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for issuance under the 2020 Inducement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1,637,000</w:t>
            </w:r>
          </w:p>
        </w:tc>
        <w:tc>
          <w:tcPr>
            <w:tcW w:w="7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of authorized common stock reserved for future issuance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18,936,256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19,259,640</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9. Stock-Based Compensation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Amended and Restated 2015 Stock Option and Grant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Amended and Restated 2015 Stock Option and Grant Plan, (the “2015 Plan”) provides for the Company to issue restricted stock awards and restricted stock units, or to grant incentive stock options or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non-statutory</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stock options. Incentive stock options may be granted only to the Company’s employees including officers and members of the Board who are also employees. Restricted stock awards and restricted stock units and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non-statutory</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stock options may be granted to employees, members of the Board, outside advisors, and consultants of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total number of common shares that may be issued under the 2015 Plan was 2,008,564 shares. Following the IPO, no further grants have been made under 2015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2015 Plan is administered by the Board. Equity awards granted to employees and members of the Board typically vest over four years.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2018 Stock Option and Incentive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2018 Stock Option and Incentive Plan (the “2018 Plan”) was adopted by the Board on June 1, 2018 and approved by stockholders on June 7, 2018 and became effective upon the effectiveness of the Company’s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number of shares of common stock available for future grant under the 2018 Plan was 7,978,667 as of December 31, 2023, which does not include the shares added to the 2018 Plan reserve on January 1, 2024 as a result of the Plan Evergreen for the year ended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 Company granted options to purchase 123,501 and, 5,369,650 shares, respectively, of common stock to employees, nonemployees and members of the Board.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2018 Employee Stock Purchase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2018 Employee Stock Purchase Plan (the “ESPP”) was adopted by the Board on June 1, 2018 and approved by stockholders on June 7, 2018 and became effective upon the effectiveness of the Company’s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ESPP is intended to qualify as an “employee stock purchase plan” within the meaning of Section 423(b) of the Code. The ESPP initially reserves and authorizes the issuance of up to a total of 223,200 shares of common stock to participating employees.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ESPP provides that the number of shares reserved and available for issuance will automatically increase each January 1, beginning</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With respect to the January 1, 2024 ESPP Evergreen, the Company’s Compensation Committee opted to allocate zero additional shares to the ESPP share reserve. The number of shares reserved under the ESPP is subject to adjustment in the event of a stock split, stock dividend or other change in the Company’s capitalization.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years ended December 31, 2023 and 2022, the Company issued 134,439 and 120,947 shares, respectively of common stock. The total number of shares of common stock available for future grant was 1,771,748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2019 Inducement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initially reserved 1,800,000 shares of its common stock for the issuance of awards under the 2019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number of shares of common stock available for future grant under the 2019 Plan was 1,407,211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2020 Inducement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initially reserved 1,700,000 shares of its common stock for the issuance of awards under the 2020 Plan.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number of shares of common stock available for future grant under the 2020 Plan was 1,700,000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 Option Valuation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assumptions that the Company used to determine the grant-date fair value of stock options granted to employees and members of the Board were as follows, presented on a weighted-average basis: </w:t>
      </w:r>
    </w:p>
    <w:p>
      <w:pPr>
        <w:pStyle w:val="TextBody"/>
        <w:bidi w:val="0"/>
        <w:spacing w:before="0" w:after="0"/>
        <w:jc w:val="left"/>
        <w:rPr>
          <w:shd w:fill="FFFFFF" w:val="clear"/>
        </w:rPr>
      </w:pPr>
      <w:r>
        <w:rPr>
          <w:shd w:fill="FFFFFF" w:val="clear"/>
        </w:rPr>
        <w:t> </w:t>
      </w:r>
    </w:p>
    <w:tbl>
      <w:tblPr>
        <w:tblW w:w="5353" w:type="dxa"/>
        <w:jc w:val="left"/>
        <w:tblInd w:w="0" w:type="dxa"/>
        <w:tblLayout w:type="fixed"/>
        <w:tblCellMar>
          <w:top w:w="0" w:type="dxa"/>
          <w:left w:w="0" w:type="dxa"/>
          <w:bottom w:w="0" w:type="dxa"/>
          <w:right w:w="0" w:type="dxa"/>
        </w:tblCellMar>
      </w:tblPr>
      <w:tblGrid>
        <w:gridCol w:w="2285"/>
        <w:gridCol w:w="60"/>
        <w:gridCol w:w="103"/>
        <w:gridCol w:w="966"/>
        <w:gridCol w:w="474"/>
        <w:gridCol w:w="103"/>
        <w:gridCol w:w="103"/>
        <w:gridCol w:w="969"/>
        <w:gridCol w:w="29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47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option life (years)</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6.00</w:t>
            </w:r>
          </w:p>
        </w:tc>
        <w:tc>
          <w:tcPr>
            <w:tcW w:w="47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5.98</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3.82</w:t>
            </w:r>
          </w:p>
        </w:tc>
        <w:tc>
          <w:tcPr>
            <w:tcW w:w="47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2.47</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83.36</w:t>
            </w:r>
          </w:p>
        </w:tc>
        <w:tc>
          <w:tcPr>
            <w:tcW w:w="47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80.43</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47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Company’s stock option activity for the year ended December 31, 2023: </w:t>
      </w:r>
    </w:p>
    <w:p>
      <w:pPr>
        <w:pStyle w:val="TextBody"/>
        <w:bidi w:val="0"/>
        <w:spacing w:before="0" w:after="0"/>
        <w:jc w:val="left"/>
        <w:rPr>
          <w:shd w:fill="FFFFFF" w:val="clear"/>
        </w:rPr>
      </w:pPr>
      <w:r>
        <w:rPr>
          <w:shd w:fill="FFFFFF" w:val="clear"/>
        </w:rPr>
        <w:t> </w:t>
      </w:r>
    </w:p>
    <w:tbl>
      <w:tblPr>
        <w:tblW w:w="8579" w:type="dxa"/>
        <w:jc w:val="left"/>
        <w:tblInd w:w="0" w:type="dxa"/>
        <w:tblLayout w:type="fixed"/>
        <w:tblCellMar>
          <w:top w:w="0" w:type="dxa"/>
          <w:left w:w="0" w:type="dxa"/>
          <w:bottom w:w="0" w:type="dxa"/>
          <w:right w:w="0" w:type="dxa"/>
        </w:tblCellMar>
      </w:tblPr>
      <w:tblGrid>
        <w:gridCol w:w="3080"/>
        <w:gridCol w:w="120"/>
        <w:gridCol w:w="60"/>
        <w:gridCol w:w="1069"/>
        <w:gridCol w:w="155"/>
        <w:gridCol w:w="120"/>
        <w:gridCol w:w="258"/>
        <w:gridCol w:w="812"/>
        <w:gridCol w:w="60"/>
        <w:gridCol w:w="120"/>
        <w:gridCol w:w="168"/>
        <w:gridCol w:w="1232"/>
        <w:gridCol w:w="60"/>
        <w:gridCol w:w="120"/>
        <w:gridCol w:w="288"/>
        <w:gridCol w:w="782"/>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Contractual</w:t>
              <w:br/>
              <w:t>Term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9,423,271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123,501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(297,604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Cancelled or 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(4,106,896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7.44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6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5,142,272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7.33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663</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6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3,670,053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w:t>
            </w:r>
          </w:p>
        </w:tc>
        <w:tc>
          <w:tcPr>
            <w:tcW w:w="812" w:type="dxa"/>
            <w:tcBorders/>
            <w:vAlign w:val="center"/>
          </w:tcPr>
          <w:p>
            <w:pPr>
              <w:pStyle w:val="TableContents"/>
              <w:bidi w:val="0"/>
              <w:spacing w:before="0" w:after="283"/>
              <w:jc w:val="right"/>
              <w:rPr/>
            </w:pPr>
            <w:r>
              <w:rPr/>
              <w:t>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5.44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w:t>
            </w:r>
          </w:p>
        </w:tc>
        <w:tc>
          <w:tcPr>
            <w:tcW w:w="782" w:type="dxa"/>
            <w:tcBorders/>
            <w:vAlign w:val="center"/>
          </w:tcPr>
          <w:p>
            <w:pPr>
              <w:pStyle w:val="TableContents"/>
              <w:bidi w:val="0"/>
              <w:spacing w:before="0" w:after="283"/>
              <w:jc w:val="right"/>
              <w:rPr/>
            </w:pPr>
            <w:r>
              <w:rPr/>
              <w:t>376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aggregate intrinsic value of options exercised during the years ended December 31, 2023 and 2022 was $123 and $50,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weighted-average grant-date fair value of the Company’s stock options granted during the years ended December 31, 2023 and 2022 was $0.79 and $0.99,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Common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Company has granted restricted common stock (or restricted stock awards) with time-based vesting conditions to certain employees of the Company.</w:t>
      </w:r>
    </w:p>
    <w:p>
      <w:pPr>
        <w:pStyle w:val="TextBody"/>
        <w:bidi w:val="0"/>
        <w:spacing w:before="120" w:after="0"/>
        <w:jc w:val="left"/>
        <w:rPr>
          <w:caps w:val="false"/>
          <w:smallCaps w:val="false"/>
          <w:strike w:val="false"/>
          <w:dstrike w:val="false"/>
          <w:spacing w:val="0"/>
          <w:u w:val="none"/>
          <w:effect w:val="none"/>
          <w:shd w:fill="FFFFFF" w:val="clear"/>
        </w:rPr>
      </w:pPr>
      <w:r>
        <w:rPr>
          <w:caps w:val="false"/>
          <w:smallCaps w:val="false"/>
          <w:strike w:val="false"/>
          <w:dstrike w:val="false"/>
          <w:spacing w:val="0"/>
          <w:u w:val="none"/>
          <w:effect w:val="none"/>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purchase price of the restricted stock awards are determined by the Board. Unvested shares of restricted stock awards may not be sold or transferred by the holder. These restrictions lapse according to the time- 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2023.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Restricted Stock Units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Restricted stock units represent an unsecured promise to grant at no cost a set number of shares of common stock upon vesting. With respect to restricted stock units, recipients are not entitled to cash dividends and have no voting rights during the vesting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Company’s restricted stock award and restricted stock unit activity for the year ended December 31, 2023: </w:t>
      </w:r>
    </w:p>
    <w:p>
      <w:pPr>
        <w:pStyle w:val="TextBody"/>
        <w:bidi w:val="0"/>
        <w:spacing w:before="0" w:after="0"/>
        <w:jc w:val="left"/>
        <w:rPr>
          <w:shd w:fill="FFFFFF" w:val="clear"/>
        </w:rPr>
      </w:pPr>
      <w:r>
        <w:rPr>
          <w:shd w:fill="FFFFFF" w:val="clear"/>
        </w:rPr>
        <w:t> </w:t>
      </w:r>
    </w:p>
    <w:tbl>
      <w:tblPr>
        <w:tblW w:w="6470" w:type="dxa"/>
        <w:jc w:val="left"/>
        <w:tblInd w:w="0" w:type="dxa"/>
        <w:tblLayout w:type="fixed"/>
        <w:tblCellMar>
          <w:top w:w="0" w:type="dxa"/>
          <w:left w:w="0" w:type="dxa"/>
          <w:bottom w:w="0" w:type="dxa"/>
          <w:right w:w="0" w:type="dxa"/>
        </w:tblCellMar>
      </w:tblPr>
      <w:tblGrid>
        <w:gridCol w:w="3710"/>
        <w:gridCol w:w="120"/>
        <w:gridCol w:w="60"/>
        <w:gridCol w:w="1055"/>
        <w:gridCol w:w="155"/>
        <w:gridCol w:w="120"/>
        <w:gridCol w:w="283"/>
        <w:gridCol w:w="892"/>
        <w:gridCol w:w="75"/>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Issued and unvested as of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940,392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3.62</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1,548,117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1.65</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(305,502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4.74</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 cancelled or expired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(1,246,649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Issued and unvested as of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936,358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2.13</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total fair value of restricted stock awards and restricted stock units vested during the years ended December 31, 2023 and 2022 was $1,449 and $9, respectively.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Stock-Based Compensation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Stock-based compensation expense was allocated as follows: </w:t>
      </w:r>
    </w:p>
    <w:p>
      <w:pPr>
        <w:pStyle w:val="TextBody"/>
        <w:bidi w:val="0"/>
        <w:spacing w:before="0" w:after="0"/>
        <w:jc w:val="left"/>
        <w:rPr>
          <w:shd w:fill="FFFFFF" w:val="clear"/>
        </w:rPr>
      </w:pPr>
      <w:r>
        <w:rPr>
          <w:shd w:fill="FFFFFF" w:val="clear"/>
        </w:rPr>
        <w:t> </w:t>
      </w:r>
    </w:p>
    <w:tbl>
      <w:tblPr>
        <w:tblW w:w="6217" w:type="dxa"/>
        <w:jc w:val="left"/>
        <w:tblInd w:w="0" w:type="dxa"/>
        <w:tblLayout w:type="fixed"/>
        <w:tblCellMar>
          <w:top w:w="0" w:type="dxa"/>
          <w:left w:w="0" w:type="dxa"/>
          <w:bottom w:w="0" w:type="dxa"/>
          <w:right w:w="0" w:type="dxa"/>
        </w:tblCellMar>
      </w:tblPr>
      <w:tblGrid>
        <w:gridCol w:w="3365"/>
        <w:gridCol w:w="60"/>
        <w:gridCol w:w="223"/>
        <w:gridCol w:w="895"/>
        <w:gridCol w:w="95"/>
        <w:gridCol w:w="191"/>
        <w:gridCol w:w="223"/>
        <w:gridCol w:w="109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1,927</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2,785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4,964</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8,737</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89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109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5" w:type="dxa"/>
            <w:tcBorders/>
            <w:shd w:fill="CCEEFF" w:val="clear"/>
            <w:vAlign w:val="center"/>
          </w:tcPr>
          <w:p>
            <w:pPr>
              <w:pStyle w:val="TableContents"/>
              <w:bidi w:val="0"/>
              <w:spacing w:before="0" w:after="283"/>
              <w:jc w:val="right"/>
              <w:rPr/>
            </w:pPr>
            <w:r>
              <w:rPr/>
              <w:t>6,891</w:t>
            </w:r>
          </w:p>
        </w:tc>
        <w:tc>
          <w:tcPr>
            <w:tcW w:w="9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11,522</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895"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09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total unrecognized compensation cost related to unvested stock-based awards was $4,221, which is expected to be recognized over a weighted-average period of 1.6 years.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10. 401(k) Savings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$388 and $599 of expenses related to its 401(k) match for the years ended December 31, 2023 and 2022,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11. Commitments and Contingencies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Lease Agreements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Refer to Note 6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Leases</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for discussion of the commitments associated with the Company’s lease portfolio.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Other Funding Commitments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Guarantees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from time to time, may be party to litigation arising in the ordinary course of business. The Company was not subject to any material legal proceedings during the years ended December 31, 2023 and 2022, and to the best of its knowledge, no material legal proceedings are currently pending or threatened.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Other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also party to various agreements, principally relating to licensed technology, that require future payments relating to milestones not met as of December 31, 2023 and 2022, or royalties on future sales of specified products. No milestone or royalty payments under these agreements are expected to be payable in the immediate future. See Note 3 </w:t>
      </w:r>
    </w:p>
    <w:p>
      <w:pPr>
        <w:pStyle w:val="TextBody"/>
        <w:bidi w:val="0"/>
        <w:spacing w:before="12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Licenses Agreements”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discussion of these arrangements.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12. 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2023, the Company recorded $377 of current income tax expense as a result of the Asset Sale completed on June 9, 2023, and for the year ended December 31, 2022, the Company did not record a current income tax expense or (benefit) due to current and historical losses incurred by the Company. For the years ended December 31, 2023 and 2022 the Company did not record a deferred income tax expense or (benefit) due to current and historical losses incurred by the Company. The Company’s operations are predominantly based in the United States and the Company’s foreign subsidiaries generated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de minimis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losses for the years ended December 31, 2023 and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reconciliation of income tax expense (benefit) computed at the statutory federal income tax rate to the Company’s effective tax rate as reflected in the consolidated financial statements is as follows: </w:t>
      </w:r>
    </w:p>
    <w:p>
      <w:pPr>
        <w:pStyle w:val="TextBody"/>
        <w:bidi w:val="0"/>
        <w:spacing w:before="0" w:after="0"/>
        <w:jc w:val="left"/>
        <w:rPr>
          <w:shd w:fill="FFFFFF" w:val="clear"/>
        </w:rPr>
      </w:pPr>
      <w:r>
        <w:rPr>
          <w:shd w:fill="FFFFFF" w:val="clear"/>
        </w:rPr>
        <w:t> </w:t>
      </w:r>
    </w:p>
    <w:tbl>
      <w:tblPr>
        <w:tblW w:w="6657" w:type="dxa"/>
        <w:jc w:val="left"/>
        <w:tblInd w:w="0" w:type="dxa"/>
        <w:tblLayout w:type="fixed"/>
        <w:tblCellMar>
          <w:top w:w="0" w:type="dxa"/>
          <w:left w:w="0" w:type="dxa"/>
          <w:bottom w:w="0" w:type="dxa"/>
          <w:right w:w="0" w:type="dxa"/>
        </w:tblCellMar>
      </w:tblPr>
      <w:tblGrid>
        <w:gridCol w:w="3590"/>
        <w:gridCol w:w="60"/>
        <w:gridCol w:w="109"/>
        <w:gridCol w:w="942"/>
        <w:gridCol w:w="503"/>
        <w:gridCol w:w="109"/>
        <w:gridCol w:w="109"/>
        <w:gridCol w:w="945"/>
        <w:gridCol w:w="290"/>
      </w:tblGrid>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income tax expense at statutory rate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21.0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benefit</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3.7</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5.2</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4.4</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(1.2</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(0.4</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(4.3</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0.8</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(48.2</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(25.8</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37.0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rate changes</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(8.0</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true ups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(2.2</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to return</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single" w:sz="2" w:space="1" w:color="000000"/>
              </w:rPr>
            </w:pPr>
            <w:r>
              <w:rPr>
                <w:bdr w:val="single" w:sz="2" w:space="1" w:color="000000"/>
              </w:rPr>
              <w:t> </w:t>
            </w:r>
          </w:p>
        </w:tc>
        <w:tc>
          <w:tcPr>
            <w:tcW w:w="942" w:type="dxa"/>
            <w:tcBorders/>
            <w:vAlign w:val="center"/>
          </w:tcPr>
          <w:p>
            <w:pPr>
              <w:pStyle w:val="TableContents"/>
              <w:bidi w:val="0"/>
              <w:spacing w:before="0" w:after="0"/>
              <w:jc w:val="left"/>
              <w:rPr>
                <w:bdr w:val="single" w:sz="2" w:space="1" w:color="000000"/>
              </w:rPr>
            </w:pPr>
            <w:r>
              <w:rPr>
                <w:bdr w:val="single" w:sz="2" w:space="1" w:color="000000"/>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single" w:sz="2" w:space="1" w:color="000000"/>
              </w:rPr>
            </w:pPr>
            <w:r>
              <w:rPr>
                <w:bdr w:val="single" w:sz="2" w:space="1" w:color="000000"/>
              </w:rPr>
              <w:t> </w:t>
            </w:r>
          </w:p>
        </w:tc>
        <w:tc>
          <w:tcPr>
            <w:tcW w:w="945"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double" w:sz="6" w:space="1" w:color="000000"/>
              </w:rPr>
            </w:pPr>
            <w:r>
              <w:rPr>
                <w:bdr w:val="double" w:sz="6" w:space="1" w:color="000000"/>
              </w:rPr>
              <w:t> </w:t>
            </w:r>
          </w:p>
        </w:tc>
        <w:tc>
          <w:tcPr>
            <w:tcW w:w="942" w:type="dxa"/>
            <w:tcBorders/>
            <w:vAlign w:val="center"/>
          </w:tcPr>
          <w:p>
            <w:pPr>
              <w:pStyle w:val="TableContents"/>
              <w:bidi w:val="0"/>
              <w:spacing w:before="0" w:after="0"/>
              <w:jc w:val="left"/>
              <w:rPr>
                <w:bdr w:val="double" w:sz="6" w:space="1" w:color="000000"/>
              </w:rPr>
            </w:pPr>
            <w:r>
              <w:rPr>
                <w:bdr w:val="double" w:sz="6" w:space="1" w:color="000000"/>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bdr w:val="double" w:sz="6" w:space="1" w:color="000000"/>
              </w:rPr>
            </w:pPr>
            <w:r>
              <w:rPr>
                <w:bdr w:val="double" w:sz="6" w:space="1" w:color="000000"/>
              </w:rPr>
              <w:t> </w:t>
            </w:r>
          </w:p>
        </w:tc>
        <w:tc>
          <w:tcPr>
            <w:tcW w:w="945"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Deferred taxes are recognized for temporary differences between the basis of assets and liabilities for financial statement and income tax purposes. The significant components of the Company’s deferred tax assets and liabilities are comprised of the following: </w:t>
      </w:r>
    </w:p>
    <w:p>
      <w:pPr>
        <w:pStyle w:val="TextBody"/>
        <w:bidi w:val="0"/>
        <w:spacing w:before="0" w:after="0"/>
        <w:jc w:val="left"/>
        <w:rPr>
          <w:shd w:fill="FFFFFF" w:val="clear"/>
        </w:rPr>
      </w:pPr>
      <w:r>
        <w:rPr>
          <w:shd w:fill="FFFFFF" w:val="clear"/>
        </w:rPr>
        <w:t> </w:t>
      </w:r>
    </w:p>
    <w:tbl>
      <w:tblPr>
        <w:tblW w:w="7025" w:type="dxa"/>
        <w:jc w:val="left"/>
        <w:tblInd w:w="0" w:type="dxa"/>
        <w:tblLayout w:type="fixed"/>
        <w:tblCellMar>
          <w:top w:w="0" w:type="dxa"/>
          <w:left w:w="0" w:type="dxa"/>
          <w:bottom w:w="0" w:type="dxa"/>
          <w:right w:w="0" w:type="dxa"/>
        </w:tblCellMar>
      </w:tblPr>
      <w:tblGrid>
        <w:gridCol w:w="4430"/>
        <w:gridCol w:w="120"/>
        <w:gridCol w:w="140"/>
        <w:gridCol w:w="875"/>
        <w:gridCol w:w="155"/>
        <w:gridCol w:w="120"/>
        <w:gridCol w:w="140"/>
        <w:gridCol w:w="875"/>
        <w:gridCol w:w="170"/>
      </w:tblGrid>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foreign and state 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80,185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91,416</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8,471</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Capitalized start up and organizational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based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3,610</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Licensing agreements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3,929</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Section 174 R&amp;D capitalization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25,045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16,307</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227</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118,776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125,015</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(118,658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(124,695</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320</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(102</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ROU 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(320</w:t>
            </w:r>
          </w:p>
        </w:tc>
        <w:tc>
          <w:tcPr>
            <w:tcW w:w="170"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evaluated the positive and negative evidence bearing upon the realizability of its deferred tax assets. As of December 31, 2023 and 2022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2023 and 2022. The valuation allowance decreased by $6,037 during the year ended December 31, 2023, due primarily to net operating income, and increased by $23,802 during the year ended December 31, 2022, due primarily to net operating losses generated.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U.S. federal net operating loss carryforwards of $298,282 and $340,350, respectively, that may be available to offset future income tax liabilities. All of the U.S. federal tax operating losses can be carried forward indefinitely. As of December 31, 2023 and 2022, the Company also had U.S. state net operating loss carryforwards of $277,626 and $316,668, respectively, which may be available to offset future taxable income. These losses expire at various dates beginning in 2041.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federal research and development tax credit carryforwards of $6,395 and $6,824, respectively. Included in the $6,395 of federal tax credit carryforwards are $2,162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2023 and 2022, the Company had state research and development tax credit carryforwards of approximately $2,482 and $2,084, respectively, available to reduce future tax liabilities which expire at various dates beginning in 2035. For all years through December 31, 2023, the Company generated research credits but has not conducted a study to document the qualified activities. This study may result in an adjustment to the Company’s research and development credit carryforwards.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The Company performed an analysis to determine if an ownership change and subsequent limitation of its attributes had occurred.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 and may result in a limitation in future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files income tax returns in the United States, Australia and Canada, and in several states. The foreign, federal and state income tax returns are generally subject to tax examinations for the tax years ended December 31, 2020 through December 31, 2023. To the extent the Company has tax attribute carryforwards, the tax years in which the attribute was generated may still be adjusted upon examination by foreign tax authorities, the Internal Revenue Service, or state tax authorities to the extent utilized in a future period.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13. Net Income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computation of the Company’s basic and diluted net income (loss) per share for the years ended December 31, 2023 and 2022 (in thousands, except share and per share amounts): </w:t>
      </w:r>
    </w:p>
    <w:p>
      <w:pPr>
        <w:pStyle w:val="TextBody"/>
        <w:bidi w:val="0"/>
        <w:spacing w:before="0" w:after="0"/>
        <w:jc w:val="left"/>
        <w:rPr>
          <w:shd w:fill="FFFFFF" w:val="clear"/>
        </w:rPr>
      </w:pPr>
      <w:r>
        <w:rPr>
          <w:shd w:fill="FFFFFF" w:val="clear"/>
        </w:rPr>
        <w:t> </w:t>
      </w:r>
    </w:p>
    <w:tbl>
      <w:tblPr>
        <w:tblW w:w="9072" w:type="dxa"/>
        <w:jc w:val="left"/>
        <w:tblInd w:w="0" w:type="dxa"/>
        <w:tblLayout w:type="fixed"/>
        <w:tblCellMar>
          <w:top w:w="0" w:type="dxa"/>
          <w:left w:w="0" w:type="dxa"/>
          <w:bottom w:w="0" w:type="dxa"/>
          <w:right w:w="0" w:type="dxa"/>
        </w:tblCellMar>
      </w:tblPr>
      <w:tblGrid>
        <w:gridCol w:w="6065"/>
        <w:gridCol w:w="120"/>
        <w:gridCol w:w="143"/>
        <w:gridCol w:w="1124"/>
        <w:gridCol w:w="61"/>
        <w:gridCol w:w="122"/>
        <w:gridCol w:w="143"/>
        <w:gridCol w:w="1124"/>
        <w:gridCol w:w="170"/>
      </w:tblGrid>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stockholders—basic and diluted</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12,157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(105,890</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44,327,204</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43,738,739</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to purchase common shares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119,677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stock units</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95,010</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stock purchase plan</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26,027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1124" w:type="dxa"/>
            <w:tcBorders/>
            <w:vAlign w:val="center"/>
          </w:tcPr>
          <w:p>
            <w:pPr>
              <w:pStyle w:val="TableContents"/>
              <w:bidi w:val="0"/>
              <w:spacing w:before="0" w:after="0"/>
              <w:jc w:val="left"/>
              <w:rPr>
                <w:bdr w:val="single" w:sz="2" w:space="1" w:color="000000"/>
              </w:rPr>
            </w:pPr>
            <w:r>
              <w:rPr>
                <w:bdr w:val="single" w:sz="2"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11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outstanding—diluted</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44,567,918</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43,738,739</w:t>
            </w:r>
          </w:p>
        </w:tc>
        <w:tc>
          <w:tcPr>
            <w:tcW w:w="170" w:type="dxa"/>
            <w:tcBorders/>
            <w:shd w:fill="CCEEFF" w:val="clear"/>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1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stockholders—basic</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0.27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24" w:type="dxa"/>
            <w:tcBorders/>
            <w:vAlign w:val="center"/>
          </w:tcPr>
          <w:p>
            <w:pPr>
              <w:pStyle w:val="TableContents"/>
              <w:bidi w:val="0"/>
              <w:spacing w:before="0" w:after="283"/>
              <w:jc w:val="right"/>
              <w:rPr/>
            </w:pPr>
            <w:r>
              <w:rPr/>
              <w:t>(2.42</w:t>
            </w:r>
          </w:p>
        </w:tc>
        <w:tc>
          <w:tcPr>
            <w:tcW w:w="170"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 per share applicable to common stockholders—diluted</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0.27</w:t>
            </w:r>
          </w:p>
        </w:tc>
        <w:tc>
          <w:tcPr>
            <w:tcW w:w="61"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(2.42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Diluted earnings per share includes the assumed exercise of dilutive options, the assumed issuance of unvested restricted stock units, and the assumed issuance of shares under the employee stock purchase plan using the treasury stock method unless the effect is anti-dilutive. The treasury stock method assumes that proceeds, including cash received from the exercise of employee stock options and the average unrecognized compensation expense for unvested share-based compensation awards, would be used to purchase the Company’s common stock at the average market price during the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year ended December 31, 2022, for purposes of the diluted net income (loss) per share calculation, stock options, unvested restricted stock units are considered to be common stock equivalents but have been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excluded from the calculation of diluted net loss per share, as their effect would be anti-dilutive for all periods presented. Therefore, the weighted-average number of common shares outstanding used to calculate both basic and diluted net income (loss) per share attributable to common stockholders is the same.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potentially dilutive common stock equivalents, presented based on amounts outstanding at each period end, were excluded from the computation of diluted net income (loss) per share attributable to common stockholders for the periods indicated: </w:t>
      </w:r>
    </w:p>
    <w:p>
      <w:pPr>
        <w:pStyle w:val="TextBody"/>
        <w:bidi w:val="0"/>
        <w:spacing w:before="0" w:after="0"/>
        <w:jc w:val="left"/>
        <w:rPr>
          <w:shd w:fill="FFFFFF" w:val="clear"/>
        </w:rPr>
      </w:pPr>
      <w:r>
        <w:rPr>
          <w:shd w:fill="FFFFFF" w:val="clear"/>
        </w:rPr>
        <w:t> </w:t>
      </w:r>
    </w:p>
    <w:tbl>
      <w:tblPr>
        <w:tblW w:w="5798" w:type="dxa"/>
        <w:jc w:val="left"/>
        <w:tblInd w:w="0" w:type="dxa"/>
        <w:tblLayout w:type="fixed"/>
        <w:tblCellMar>
          <w:top w:w="0" w:type="dxa"/>
          <w:left w:w="0" w:type="dxa"/>
          <w:bottom w:w="0" w:type="dxa"/>
          <w:right w:w="0" w:type="dxa"/>
        </w:tblCellMar>
      </w:tblPr>
      <w:tblGrid>
        <w:gridCol w:w="2885"/>
        <w:gridCol w:w="120"/>
        <w:gridCol w:w="68"/>
        <w:gridCol w:w="1120"/>
        <w:gridCol w:w="68"/>
        <w:gridCol w:w="137"/>
        <w:gridCol w:w="68"/>
        <w:gridCol w:w="1257"/>
        <w:gridCol w:w="75"/>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3,765,482</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9,423,271</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662,103</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940,392</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12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anti-dilutive shares</w:t>
            </w:r>
          </w:p>
        </w:tc>
        <w:tc>
          <w:tcPr>
            <w:tcW w:w="12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4,427,585</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10,363,663</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120" w:type="dxa"/>
            <w:tcBorders/>
            <w:vAlign w:val="center"/>
          </w:tcPr>
          <w:p>
            <w:pPr>
              <w:pStyle w:val="TableContents"/>
              <w:bidi w:val="0"/>
              <w:spacing w:before="0" w:after="0"/>
              <w:jc w:val="left"/>
              <w:rPr>
                <w:bdr w:val="double" w:sz="6" w:space="1" w:color="000000"/>
              </w:rPr>
            </w:pPr>
            <w:r>
              <w:rPr>
                <w:bdr w:val="double" w:sz="6" w:space="1" w:color="000000"/>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14. Related Party Transactions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UHN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2023 and 2022, the Company recognized $130 and $200, respectively, of research and development expense related to the license agreements with UHN. Refer to Note 3 </w:t>
      </w:r>
    </w:p>
    <w:p>
      <w:pPr>
        <w:pStyle w:val="TextBody"/>
        <w:bidi w:val="0"/>
        <w:spacing w:before="120" w:after="0"/>
        <w:jc w:val="left"/>
        <w:rPr>
          <w:caps w:val="false"/>
          <w:smallCaps w:val="false"/>
          <w:spacing w:val="0"/>
          <w:shd w:fill="FFFFFF" w:val="clear"/>
        </w:rPr>
      </w:pPr>
      <w:r>
        <w:rPr>
          <w:caps w:val="false"/>
          <w:smallCaps w:val="false"/>
          <w:spacing w:val="0"/>
          <w:shd w:fill="FFFFFF" w:val="clear"/>
        </w:rPr>
        <w:t>“</w:t>
      </w:r>
      <w:r>
        <w:rPr>
          <w:rFonts w:ascii="Times New Roman" w:hAnsi="Times New Roman"/>
          <w:i/>
          <w:caps w:val="false"/>
          <w:smallCaps w:val="false"/>
          <w:spacing w:val="0"/>
          <w:sz w:val="20"/>
          <w:shd w:fill="FFFFFF" w:val="clear"/>
        </w:rPr>
        <w:t>License and Purchase Agreements”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additional information regarding the UHN license agreements.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Others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years ended December 31, 2023 and 2022, the Company recorded expenses of $934 and $3,200, respectively, related to a sublease to rent lab space, provided by an entity affiliated with a member of the board.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15. Restructuring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These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employee termination benefits are related to affected employees, who were offered separation benefits, including severance payments. Approximately $479 of these expenses were related to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stock-based compensation expense and there are no remaining accrued payments at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These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 termination benefits are related to affected employees, who were offered separation benefits, including severance payments. There are no remaining accrued payments at December 31,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The Company estimates an additional $86 of expense related to future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employee benefits. These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employee termination benefits are related to affected employees, who were offered separation benefits, including severance payments. As of December 31, 2023, the Company had $521 in accrued payments. The Company expects that payments of these costs will substantially be made through the end of the first quarter of 2024. </w:t>
      </w:r>
    </w:p>
    <w:p>
      <w:pPr>
        <w:pStyle w:val="TextBody"/>
        <w:bidi w:val="0"/>
        <w:spacing w:before="0" w:after="0"/>
        <w:jc w:val="left"/>
        <w:rPr>
          <w:shd w:fill="FFFFFF" w:val="clear"/>
        </w:rPr>
      </w:pPr>
      <w:r>
        <w:rPr>
          <w:shd w:fill="FFFFFF" w:val="clear"/>
        </w:rPr>
        <w:t> </w:t>
      </w:r>
    </w:p>
    <w:tbl>
      <w:tblPr>
        <w:tblW w:w="9660" w:type="dxa"/>
        <w:jc w:val="left"/>
        <w:tblInd w:w="0" w:type="dxa"/>
        <w:tblLayout w:type="fixed"/>
        <w:tblCellMar>
          <w:top w:w="0" w:type="dxa"/>
          <w:left w:w="0" w:type="dxa"/>
          <w:bottom w:w="0" w:type="dxa"/>
          <w:right w:w="0" w:type="dxa"/>
        </w:tblCellMar>
      </w:tblPr>
      <w:tblGrid>
        <w:gridCol w:w="7250"/>
        <w:gridCol w:w="120"/>
        <w:gridCol w:w="382"/>
        <w:gridCol w:w="1738"/>
        <w:gridCol w:w="170"/>
      </w:tblGrid>
      <w:tr>
        <w:trPr/>
        <w:tc>
          <w:tcPr>
            <w:tcW w:w="7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Employee Severance</w:t>
              <w:br/>
              <w:t>and Other Benefits</w:t>
            </w:r>
          </w:p>
        </w:tc>
        <w:tc>
          <w:tcPr>
            <w:tcW w:w="17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w:t>
            </w:r>
          </w:p>
        </w:tc>
        <w:tc>
          <w:tcPr>
            <w:tcW w:w="1738" w:type="dxa"/>
            <w:tcBorders/>
            <w:shd w:fill="CCEEFF" w:val="clear"/>
            <w:vAlign w:val="center"/>
          </w:tcPr>
          <w:p>
            <w:pPr>
              <w:pStyle w:val="TableContents"/>
              <w:bidi w:val="0"/>
              <w:spacing w:before="0" w:after="283"/>
              <w:jc w:val="right"/>
              <w:rPr/>
            </w:pPr>
            <w:r>
              <w:rPr/>
              <w:t>5,058</w:t>
            </w:r>
          </w:p>
        </w:tc>
        <w:tc>
          <w:tcPr>
            <w:tcW w:w="17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payments</w:t>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738" w:type="dxa"/>
            <w:tcBorders/>
            <w:vAlign w:val="center"/>
          </w:tcPr>
          <w:p>
            <w:pPr>
              <w:pStyle w:val="TableContents"/>
              <w:bidi w:val="0"/>
              <w:spacing w:before="0" w:after="283"/>
              <w:jc w:val="right"/>
              <w:rPr/>
            </w:pPr>
            <w:r>
              <w:rPr/>
              <w:t>(4,058</w:t>
            </w:r>
          </w:p>
        </w:tc>
        <w:tc>
          <w:tcPr>
            <w:tcW w:w="17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738" w:type="dxa"/>
            <w:tcBorders/>
            <w:shd w:fill="CCEEFF" w:val="clear"/>
            <w:vAlign w:val="center"/>
          </w:tcPr>
          <w:p>
            <w:pPr>
              <w:pStyle w:val="TableContents"/>
              <w:bidi w:val="0"/>
              <w:spacing w:before="0" w:after="283"/>
              <w:jc w:val="right"/>
              <w:rPr/>
            </w:pPr>
            <w:r>
              <w:rPr/>
              <w:t>(479</w:t>
            </w:r>
          </w:p>
        </w:tc>
        <w:tc>
          <w:tcPr>
            <w:tcW w:w="17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jc w:val="left"/>
              <w:rPr>
                <w:bdr w:val="single" w:sz="2" w:space="1" w:color="000000"/>
              </w:rPr>
            </w:pPr>
            <w:r>
              <w:rPr>
                <w:bdr w:val="single" w:sz="2" w:space="1" w:color="000000"/>
              </w:rPr>
              <w:t> </w:t>
            </w:r>
          </w:p>
        </w:tc>
        <w:tc>
          <w:tcPr>
            <w:tcW w:w="173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Liability included in accrued expenses and other current liabilities at December 31, 2023</w:t>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w:t>
            </w:r>
          </w:p>
        </w:tc>
        <w:tc>
          <w:tcPr>
            <w:tcW w:w="1738" w:type="dxa"/>
            <w:tcBorders/>
            <w:vAlign w:val="center"/>
          </w:tcPr>
          <w:p>
            <w:pPr>
              <w:pStyle w:val="TableContents"/>
              <w:bidi w:val="0"/>
              <w:spacing w:before="0" w:after="283"/>
              <w:jc w:val="right"/>
              <w:rPr/>
            </w:pPr>
            <w:r>
              <w:rPr/>
              <w:t>521</w:t>
            </w:r>
          </w:p>
        </w:tc>
        <w:tc>
          <w:tcPr>
            <w:tcW w:w="17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jc w:val="left"/>
              <w:rPr>
                <w:bdr w:val="double" w:sz="6" w:space="1" w:color="000000"/>
              </w:rPr>
            </w:pPr>
            <w:r>
              <w:rPr>
                <w:bdr w:val="double" w:sz="6" w:space="1" w:color="000000"/>
              </w:rPr>
              <w:t> </w:t>
            </w:r>
          </w:p>
        </w:tc>
        <w:tc>
          <w:tcPr>
            <w:tcW w:w="173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16. Subsequent Events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30, 2024, following a comprehensive review of strategic alternatives, the Company entered into the Merger Agreement with Tectonic pursuant to which a wholly-owned subsidiary of the Company will merge with and into Tectonic, with Tectonic surviving as a wholly-owned subsidiary of the Company. The Merger was unanimously approved by the Company’s Board, and the Company’s Board resolved to recommend approval of the Merger Agreement to the Company’s stockholders.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closing of the Merger is subject to approval by the Company’s and Tectonic’s stockholders as well as other customary closing conditions, including the effectiveness of a registration statement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with the SEC in connection with the transaction and Nasdaq’s approval of the listing of the shares of the Company’s common stock to be issued in connection with the Merger. If the Company is unable to satisfy certain closing conditions or if other mutual closing conditions are not satisfied, Tectonic will not be obligated to complete the Merger. The Merger Agreement contains certain termination rights of each of the Company and Tectonic. Under certain circumstances detailed in the Merger Agreement, the Company could be required to pay Tectonic a termination fee of approximately $2,713 or Tectonic could be required to pay the Company a termination fee of approximately $4,900. In addition, in certain circumstances upon the termination of the Merger Agreement, the Company could be required to pay the costs and expenses of Tectonic in an amount not to exceed $650. If the Merger is completed, the business of Tectonic will continue as the business of the combined company.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F-31</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2" w:name="fina770053_1"/>
      <w:bookmarkEnd w:id="192"/>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Tectonic Therapeutic,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Tectonic Therapeutic, Inc. and subsidiaries (the “Company”) as of December 31, 2023 and 2022, the related consolidated statements of operations and other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the Company has experienced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SAFE Liabilities — Refer to Notes 2, 3, and 13 to the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the Company entered into Simple Agreements for Future Equity (“SAFEs”) with certain existing investors. The SAFEs allow for redemption based upon certain triggering events that are outside of the control of the Company. As disclosed in Note 2 to the financial statements, the Company accounts for the SAFEs as liabilities at fair value on a recurring basis. Triggering events include an equity financing, public listing transaction, change of control or dissolution. On December 31, 2023, the probabilities of an equity financing, public listing transaction, and dissolution were estimated to be 10%, 87.5%, and 2.5%, respectively. The estimated time to redemption was five months for an equity financing or dissolution and four months for a public listing transaction. Changes in fair value are recognized in the Company’s statements of operations and other comprehensive loss. As of December 31, 2023, the Company has recorded SAFE liabilities of $30.5 million. </w:t>
      </w:r>
    </w:p>
    <w:p>
      <w:pPr>
        <w:pStyle w:val="TextBody"/>
        <w:bidi w:val="0"/>
        <w:spacing w:before="240" w:after="0"/>
        <w:jc w:val="left"/>
        <w:rPr>
          <w:rFonts w:ascii="Times New Roman" w:hAnsi="Times New Roman"/>
          <w:sz w:val="20"/>
        </w:rPr>
      </w:pPr>
      <w:r>
        <w:rPr>
          <w:rFonts w:ascii="Times New Roman" w:hAnsi="Times New Roman"/>
          <w:sz w:val="20"/>
        </w:rPr>
        <w:t xml:space="preserve">We identified the valuation of the SAFE liabilities as a critical audit matter due to the level of judgment required by management. This requires a high degree of auditor judgment, subjectivity, and an increased extent of effort in performing procedures to evaluate the reasonableness of management’s estimate, including the need to involve our fair value specialists. </w:t>
      </w:r>
    </w:p>
    <w:p>
      <w:pPr>
        <w:pStyle w:val="TextBody"/>
        <w:bidi w:val="0"/>
        <w:spacing w:before="360" w:after="0"/>
        <w:jc w:val="left"/>
        <w:rPr>
          <w:rFonts w:ascii="Times New Roman" w:hAnsi="Times New Roman"/>
          <w:i/>
          <w:sz w:val="20"/>
        </w:rPr>
      </w:pPr>
      <w:r>
        <w:rPr>
          <w:rFonts w:ascii="Times New Roman" w:hAnsi="Times New Roman"/>
          <w:i/>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related to the valuation of the SAFE liabilities included the following, among others: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read and obtained an understanding of the key terms of the SAFE agreements, including the triggering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evaluated the reasonableness of the valuation assumptions, including triggering event probabilities and the estimated time to triggering events, by comparing the assumptions to known and knowable information at the valuation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the assistance of our fair value specialists, we evaluated the reasonableness of (i) the valuation methodology, and (ii) the discount rate, including testing the source information underlying the determination of the discount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April 12, 2024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3" w:name="fina770053_2"/>
      <w:bookmarkEnd w:id="1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10"/>
        <w:gridCol w:w="120"/>
        <w:gridCol w:w="140"/>
        <w:gridCol w:w="755"/>
        <w:gridCol w:w="155"/>
        <w:gridCol w:w="60"/>
        <w:gridCol w:w="140"/>
        <w:gridCol w:w="755"/>
        <w:gridCol w:w="170"/>
      </w:tblGrid>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35,966</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1,076</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37,042</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equipment and improvements,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3,608</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right-of-use assets,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2,159</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3,787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39,399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47,209</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574</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5,814</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30,515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950</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liability -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499</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7,837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liability - net of current portion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2,992</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liability - net of current portion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1,351</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43,408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12,236</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 (Series A-1, A-2, A-3 and A-4), $0.0001 par value; 6,825,483 shares authorized as of December 31, 2023 and 2022; 6,825,483 shares issued and outstanding as of December 31, 2023 and 2022; aggregate liquidation preference of $87,459 as of December 31, 2023 and 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80,627</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11,947,558 shares authorized as of December 31, 2023 and 2022; 2,634,246 and 2,525,771 shares issued and outstanding as of December 31, 2023 and 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2,127</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(47,781</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(84,636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(45,654</w:t>
            </w:r>
          </w:p>
        </w:tc>
        <w:tc>
          <w:tcPr>
            <w:tcW w:w="170" w:type="dxa"/>
            <w:tcBorders/>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39,399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47,209</w:t>
            </w:r>
          </w:p>
        </w:tc>
        <w:tc>
          <w:tcPr>
            <w:tcW w:w="17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4" w:name="fina770053_3"/>
      <w:bookmarkEnd w:id="194"/>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8705" w:type="dxa"/>
        <w:jc w:val="left"/>
        <w:tblInd w:w="0" w:type="dxa"/>
        <w:tblLayout w:type="fixed"/>
        <w:tblCellMar>
          <w:top w:w="0" w:type="dxa"/>
          <w:left w:w="0" w:type="dxa"/>
          <w:bottom w:w="0" w:type="dxa"/>
          <w:right w:w="0" w:type="dxa"/>
        </w:tblCellMar>
      </w:tblPr>
      <w:tblGrid>
        <w:gridCol w:w="5960"/>
        <w:gridCol w:w="120"/>
        <w:gridCol w:w="140"/>
        <w:gridCol w:w="980"/>
        <w:gridCol w:w="155"/>
        <w:gridCol w:w="60"/>
        <w:gridCol w:w="140"/>
        <w:gridCol w:w="980"/>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36,966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25,654</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7,176</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32,830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(32,830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643</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149</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(32,180</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(16.34</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2,373,674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1,969,418</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(42,834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5" w:name="fina770053_4"/>
      <w:bookmarkEnd w:id="195"/>
      <w:r>
        <w:rPr>
          <w:rFonts w:ascii="Times New Roman" w:hAnsi="Times New Roman"/>
          <w:b/>
          <w:sz w:val="20"/>
        </w:rPr>
        <w:t xml:space="preserve">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12980" w:type="dxa"/>
        <w:jc w:val="left"/>
        <w:tblInd w:w="0" w:type="dxa"/>
        <w:tblLayout w:type="fixed"/>
        <w:tblCellMar>
          <w:top w:w="0" w:type="dxa"/>
          <w:left w:w="0" w:type="dxa"/>
          <w:bottom w:w="0" w:type="dxa"/>
          <w:right w:w="0" w:type="dxa"/>
        </w:tblCellMar>
      </w:tblPr>
      <w:tblGrid>
        <w:gridCol w:w="1265"/>
        <w:gridCol w:w="60"/>
        <w:gridCol w:w="60"/>
        <w:gridCol w:w="980"/>
        <w:gridCol w:w="60"/>
        <w:gridCol w:w="60"/>
        <w:gridCol w:w="160"/>
        <w:gridCol w:w="700"/>
        <w:gridCol w:w="60"/>
        <w:gridCol w:w="60"/>
        <w:gridCol w:w="30"/>
        <w:gridCol w:w="30"/>
        <w:gridCol w:w="60"/>
        <w:gridCol w:w="60"/>
        <w:gridCol w:w="60"/>
        <w:gridCol w:w="980"/>
        <w:gridCol w:w="155"/>
        <w:gridCol w:w="60"/>
        <w:gridCol w:w="301"/>
        <w:gridCol w:w="559"/>
        <w:gridCol w:w="60"/>
        <w:gridCol w:w="60"/>
        <w:gridCol w:w="313"/>
        <w:gridCol w:w="1252"/>
        <w:gridCol w:w="60"/>
        <w:gridCol w:w="60"/>
        <w:gridCol w:w="598"/>
        <w:gridCol w:w="1432"/>
        <w:gridCol w:w="155"/>
        <w:gridCol w:w="60"/>
        <w:gridCol w:w="214"/>
        <w:gridCol w:w="1156"/>
        <w:gridCol w:w="155"/>
        <w:gridCol w:w="60"/>
        <w:gridCol w:w="221"/>
        <w:gridCol w:w="1194"/>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56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Additional</w:t>
              <w:br/>
              <w:t>Paid-in Capital</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03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Accumulated Other</w:t>
              <w:br/>
              <w:t>Comprehensive</w:t>
              <w:br/>
              <w:t>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Total</w:t>
              <w:br/>
              <w:t>Stockholders’</w:t>
              <w:br/>
              <w:t>Deficit</w:t>
            </w:r>
          </w:p>
        </w:tc>
        <w:tc>
          <w:tcPr>
            <w:tcW w:w="170" w:type="dxa"/>
            <w:vMerge w:val="restart"/>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56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203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26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3,941,829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42,610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2,297,901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252" w:type="dxa"/>
            <w:tcBorders/>
            <w:shd w:fill="CCEEFF" w:val="clear"/>
            <w:vAlign w:val="center"/>
          </w:tcPr>
          <w:p>
            <w:pPr>
              <w:pStyle w:val="TableContents"/>
              <w:bidi w:val="0"/>
              <w:spacing w:before="0" w:after="283"/>
              <w:jc w:val="right"/>
              <w:rPr/>
            </w:pPr>
            <w:r>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(15,601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(14,960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Series A preferred stock—net of issuance costs of $12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2,883,654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38,017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1,119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1,119</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363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Repurchase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(32,180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(32,180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single" w:sz="2" w:space="1" w:color="000000"/>
              </w:pBdr>
              <w:bidi w:val="0"/>
              <w:spacing w:before="0" w:after="0"/>
              <w:jc w:val="left"/>
              <w:rPr/>
            </w:pPr>
            <w:r>
              <w:rPr/>
              <w:t> </w:t>
            </w:r>
          </w:p>
        </w:tc>
        <w:tc>
          <w:tcPr>
            <w:tcW w:w="7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single" w:sz="2" w:space="1" w:color="000000"/>
              </w:pBdr>
              <w:bidi w:val="0"/>
              <w:spacing w:before="0" w:after="0"/>
              <w:jc w:val="left"/>
              <w:rPr/>
            </w:pPr>
            <w:r>
              <w:rPr/>
              <w:t> </w:t>
            </w:r>
          </w:p>
        </w:tc>
        <w:tc>
          <w:tcPr>
            <w:tcW w:w="5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pBdr>
                <w:top w:val="single" w:sz="2" w:space="1" w:color="000000"/>
              </w:pBdr>
              <w:bidi w:val="0"/>
              <w:spacing w:before="0" w:after="0"/>
              <w:jc w:val="left"/>
              <w:rPr/>
            </w:pPr>
            <w:r>
              <w:rPr/>
              <w:t> </w:t>
            </w:r>
          </w:p>
        </w:tc>
        <w:tc>
          <w:tcPr>
            <w:tcW w:w="12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pBdr>
                <w:top w:val="single" w:sz="2" w:space="1" w:color="000000"/>
              </w:pBdr>
              <w:bidi w:val="0"/>
              <w:spacing w:before="0" w:after="0"/>
              <w:jc w:val="left"/>
              <w:rPr/>
            </w:pPr>
            <w:r>
              <w:rPr/>
              <w:t> </w:t>
            </w:r>
          </w:p>
        </w:tc>
        <w:tc>
          <w:tcPr>
            <w:tcW w:w="14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6,825,483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80,627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2,525,771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2,127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(47,781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(45,654</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1,121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1,121</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Contribution from related party investors related to SAFEs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2,610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2,610</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(42,823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(42,823</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single" w:sz="2" w:space="1" w:color="000000"/>
              </w:pBdr>
              <w:bidi w:val="0"/>
              <w:spacing w:before="0" w:after="0"/>
              <w:jc w:val="left"/>
              <w:rPr/>
            </w:pPr>
            <w:r>
              <w:rPr/>
              <w:t> </w:t>
            </w:r>
          </w:p>
        </w:tc>
        <w:tc>
          <w:tcPr>
            <w:tcW w:w="7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single" w:sz="2" w:space="1" w:color="000000"/>
              </w:pBdr>
              <w:bidi w:val="0"/>
              <w:spacing w:before="0" w:after="0"/>
              <w:jc w:val="left"/>
              <w:rPr/>
            </w:pPr>
            <w:r>
              <w:rPr/>
              <w:t> </w:t>
            </w:r>
          </w:p>
        </w:tc>
        <w:tc>
          <w:tcPr>
            <w:tcW w:w="55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pBdr>
                <w:top w:val="single" w:sz="2" w:space="1" w:color="000000"/>
              </w:pBdr>
              <w:bidi w:val="0"/>
              <w:spacing w:before="0" w:after="0"/>
              <w:jc w:val="left"/>
              <w:rPr/>
            </w:pPr>
            <w:r>
              <w:rPr/>
              <w:t> </w:t>
            </w:r>
          </w:p>
        </w:tc>
        <w:tc>
          <w:tcPr>
            <w:tcW w:w="125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pBdr>
                <w:top w:val="single" w:sz="2" w:space="1" w:color="000000"/>
              </w:pBdr>
              <w:bidi w:val="0"/>
              <w:spacing w:before="0" w:after="0"/>
              <w:jc w:val="left"/>
              <w:rPr/>
            </w:pPr>
            <w:r>
              <w:rPr/>
              <w:t> </w:t>
            </w:r>
          </w:p>
        </w:tc>
        <w:tc>
          <w:tcPr>
            <w:tcW w:w="1432"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115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single" w:sz="2" w:space="1" w:color="000000"/>
              </w:pBdr>
              <w:bidi w:val="0"/>
              <w:spacing w:before="0" w:after="0"/>
              <w:jc w:val="left"/>
              <w:rPr/>
            </w:pPr>
            <w:r>
              <w:rPr/>
              <w:t> </w:t>
            </w:r>
          </w:p>
        </w:tc>
        <w:tc>
          <w:tcPr>
            <w:tcW w:w="11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6,825,483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80,627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2,634,246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right"/>
              <w:rPr/>
            </w:pPr>
            <w:r>
              <w:rPr/>
              <w:t>5,979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(90,604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(84,636</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pBdr>
                <w:top w:val="double" w:sz="6" w:space="1" w:color="000000"/>
              </w:pBdr>
              <w:bidi w:val="0"/>
              <w:spacing w:before="0" w:after="0"/>
              <w:jc w:val="left"/>
              <w:rPr/>
            </w:pPr>
            <w:r>
              <w:rPr/>
              <w:t> </w:t>
            </w:r>
          </w:p>
        </w:tc>
        <w:tc>
          <w:tcPr>
            <w:tcW w:w="7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pBdr>
                <w:top w:val="double" w:sz="6" w:space="1" w:color="000000"/>
              </w:pBdr>
              <w:bidi w:val="0"/>
              <w:spacing w:before="0" w:after="0"/>
              <w:jc w:val="left"/>
              <w:rPr/>
            </w:pPr>
            <w:r>
              <w:rPr/>
              <w:t> </w:t>
            </w:r>
          </w:p>
        </w:tc>
        <w:tc>
          <w:tcPr>
            <w:tcW w:w="55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center"/>
          </w:tcPr>
          <w:p>
            <w:pPr>
              <w:pStyle w:val="TableContents"/>
              <w:pBdr>
                <w:top w:val="double" w:sz="6" w:space="1" w:color="000000"/>
              </w:pBdr>
              <w:bidi w:val="0"/>
              <w:spacing w:before="0" w:after="0"/>
              <w:jc w:val="left"/>
              <w:rPr/>
            </w:pPr>
            <w:r>
              <w:rPr/>
              <w:t> </w:t>
            </w:r>
          </w:p>
        </w:tc>
        <w:tc>
          <w:tcPr>
            <w:tcW w:w="125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8" w:type="dxa"/>
            <w:tcBorders/>
            <w:vAlign w:val="center"/>
          </w:tcPr>
          <w:p>
            <w:pPr>
              <w:pStyle w:val="TableContents"/>
              <w:pBdr>
                <w:top w:val="double" w:sz="6" w:space="1" w:color="000000"/>
              </w:pBdr>
              <w:bidi w:val="0"/>
              <w:spacing w:before="0" w:after="0"/>
              <w:jc w:val="left"/>
              <w:rPr/>
            </w:pPr>
            <w:r>
              <w:rPr/>
              <w:t> </w:t>
            </w:r>
          </w:p>
        </w:tc>
        <w:tc>
          <w:tcPr>
            <w:tcW w:w="1432"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115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pBdr>
                <w:top w:val="double" w:sz="6" w:space="1" w:color="000000"/>
              </w:pBdr>
              <w:bidi w:val="0"/>
              <w:spacing w:before="0" w:after="0"/>
              <w:jc w:val="left"/>
              <w:rPr/>
            </w:pPr>
            <w:r>
              <w:rPr/>
              <w:t> </w:t>
            </w:r>
          </w:p>
        </w:tc>
        <w:tc>
          <w:tcPr>
            <w:tcW w:w="119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6" w:name="fina770053_5"/>
      <w:bookmarkEnd w:id="1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8840" w:type="dxa"/>
        <w:jc w:val="left"/>
        <w:tblInd w:w="0" w:type="dxa"/>
        <w:tblLayout w:type="fixed"/>
        <w:tblCellMar>
          <w:top w:w="0" w:type="dxa"/>
          <w:left w:w="0" w:type="dxa"/>
          <w:bottom w:w="0" w:type="dxa"/>
          <w:right w:w="0" w:type="dxa"/>
        </w:tblCellMar>
      </w:tblPr>
      <w:tblGrid>
        <w:gridCol w:w="6545"/>
        <w:gridCol w:w="120"/>
        <w:gridCol w:w="140"/>
        <w:gridCol w:w="755"/>
        <w:gridCol w:w="155"/>
        <w:gridCol w:w="60"/>
        <w:gridCol w:w="140"/>
        <w:gridCol w:w="755"/>
        <w:gridCol w:w="170"/>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1,006</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1,119</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fixed asset disposal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 of SAFEs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862</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issuance of common stock for the exchange of license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363</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preferred stock tranche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(643</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(376</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(1,234</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4,509</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(1,105</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(27,637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improvements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(2,088</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(2,088</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SAFEs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convertible preferred stock - net of issuance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38,017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(393</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33,747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37,628</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and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7,903</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28,650</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36,553</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28,769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35,966</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29,356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36,553</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equipment through finance leases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1,340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bookmarkStart w:id="197" w:name="fina770053_6"/>
      <w:bookmarkEnd w:id="197"/>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215"/>
        <w:gridCol w:w="5645"/>
      </w:tblGrid>
      <w:tr>
        <w:trPr/>
        <w:tc>
          <w:tcPr>
            <w:tcW w:w="215" w:type="dxa"/>
            <w:tcBorders/>
            <w:vAlign w:val="center"/>
          </w:tcPr>
          <w:p>
            <w:pPr>
              <w:pStyle w:val="TableContents"/>
              <w:bidi w:val="0"/>
              <w:spacing w:before="0" w:after="283"/>
              <w:jc w:val="left"/>
              <w:rPr>
                <w:b/>
              </w:rPr>
            </w:pPr>
            <w:r>
              <w:rPr>
                <w:b/>
              </w:rPr>
              <w:t>1.</w:t>
            </w:r>
          </w:p>
        </w:tc>
        <w:tc>
          <w:tcPr>
            <w:tcW w:w="56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BUSINESS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(“Company”) is a biotechnology company focused on the discovery and development of therapeutic proteins and antibodies that modulate the activity of G-protein coupled receptors (“GPCRs”). Leveraging its proprietary technology platform called GEODe™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 had an accumulated deficit of $90.6 million and has incurred losses and negative cash flows from operations since inception, including a net loss of $42.8 million for the year ended December 31, 2023. To date, the Company has financed its operations primarily through the issuance of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is seeking to complete a planned reverse merger with AVROBIO, Inc. (“AVROBIO”) (see Note 14). In the event the Company does not complete the reverse merger, the Company plans to seek additional funding through private equity financings, debt financings or other capital sources, including collaboration agreements, strategic alliances and licensing arrangements. The Company may not be able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financing on acceptable terms, or at all. Although management continues to pursue these plans, there is no assurance that the Company will be successful in obtaining sufficient funding on terms acceptable to the Company to fund continuing operations, if at all. Management believes that the Company’s cash and cash equivalents of $28.8 million as of December 31, 2023 is not sufficient to maintain its current and planned operations for at least the next twelve months following the issuance date of these consolidated financial statements. Management has concluded that these conditions, in aggregate, raise 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fund future operations through private and potentially public equity financings, debt financings, collaboration agreements, strategic alliances and licensing arrangements. The availability of sufficient funding to alleviate the conditions that raise substantial doubt are not within management’s control and cannot be assessed as being probable of occurring. If the Company is unable to obtain adequate financing, management will evaluate alternatives, which may include a delay, reduction or elimination of research and development programs, product portfolio expansion or commercialization efforts, which could adversely affect future business prospects, and the ability to continue operations.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215"/>
        <w:gridCol w:w="5060"/>
      </w:tblGrid>
      <w:tr>
        <w:trPr/>
        <w:tc>
          <w:tcPr>
            <w:tcW w:w="215" w:type="dxa"/>
            <w:tcBorders/>
            <w:vAlign w:val="center"/>
          </w:tcPr>
          <w:p>
            <w:pPr>
              <w:pStyle w:val="TableContents"/>
              <w:bidi w:val="0"/>
              <w:spacing w:before="0" w:after="283"/>
              <w:jc w:val="left"/>
              <w:rPr>
                <w:b/>
              </w:rPr>
            </w:pPr>
            <w:r>
              <w:rPr>
                <w:b/>
              </w:rPr>
              <w:t>2.</w:t>
            </w:r>
          </w:p>
        </w:tc>
        <w:tc>
          <w:tcPr>
            <w:tcW w:w="5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accounts of the Company and its subsidiaries.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the fair value determination of the SAFEs and the preferred stock tranche liability settled in 2022.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Company’s wholly-owned foreign subsidiary in Australia is Australian Dollars. </w:t>
      </w:r>
    </w:p>
    <w:p>
      <w:pPr>
        <w:pStyle w:val="TextBody"/>
        <w:bidi w:val="0"/>
        <w:spacing w:before="120" w:after="0"/>
        <w:jc w:val="left"/>
        <w:rPr>
          <w:rFonts w:ascii="Times New Roman" w:hAnsi="Times New Roman"/>
          <w:sz w:val="20"/>
        </w:rPr>
      </w:pPr>
      <w:r>
        <w:rPr>
          <w:rFonts w:ascii="Times New Roman" w:hAnsi="Times New Roman"/>
          <w:sz w:val="20"/>
        </w:rPr>
        <w:t xml:space="preserve">Accounts and transactions denominated in currencies other than an entity’s functional currency are remeasured into the functional currency using the appropriate foreign exchange rate in accordance with FASB ASC Topic 830, </w:t>
      </w:r>
      <w:r>
        <w:rPr>
          <w:rFonts w:ascii="Times New Roman" w:hAnsi="Times New Roman"/>
          <w:i/>
          <w:sz w:val="20"/>
        </w:rPr>
        <w:t>Foreign Currency Matters.</w:t>
      </w:r>
      <w:r>
        <w:rPr>
          <w:rFonts w:ascii="Times New Roman" w:hAnsi="Times New Roman"/>
          <w:sz w:val="20"/>
        </w:rPr>
        <w:t xml:space="preserve"> All foreign currency transaction gains and losses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from transactions denominated in foreign currencies are recorded in the statements of operations and comprehensive loss as other income or expenses. The financial statements of the Australian subsidiary will be translated into the Company’s U.S. dollar reporting currency at each reporting date, and the translation adjustments will be recognized as an unrealized gain or loss within the cumulative translation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considered the Company’s organizational structure and the information regularly reviewed and evaluated by the Company’s chief operating decision maker (“CODM”) when deciding how to allocate resources and assess performance. The Company has determined that its CODM is its Chief Executive Officer. The CODM reviews the financial information on a consolidated basis for purposes of evaluating financial performance and allocating resources. On the basis of this factor, the Company determined that it operates and manages its business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three months or less when purchased to be cash equivalents. As of December 31, 2023, cash equivalents were comprised primarily of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and may not access these funds until after the expiration of the initial lease term on December 31, 2025. The Company has classified the certificate of deposits collateralizing the letter of credits issued as a security deposit as restricted cash in the noncurrent asset section of the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direct legal, accounting and other fees and costs directly attributable to the Company’s proposed Merger (see Note 14). The Company capitalized deferred offering costs incurred prior to the close of the Merger which are included in deferred offering costs within the consolidated balance sheet as of December 31, 2023. The deferred offering costs were $0.7 million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Concentrations of Credit Risk and Off-Balance Sheet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expose the Company to concentrations of credit risk consist primarily of cash and cash equivalents. Periodically, the Company maintains deposits in accredited financial institutions in 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Equipment and Improvements </w:t>
      </w:r>
    </w:p>
    <w:p>
      <w:pPr>
        <w:pStyle w:val="TextBody"/>
        <w:bidi w:val="0"/>
        <w:spacing w:before="120" w:after="0"/>
        <w:jc w:val="left"/>
        <w:rPr>
          <w:rFonts w:ascii="Times New Roman" w:hAnsi="Times New Roman"/>
          <w:sz w:val="20"/>
        </w:rPr>
      </w:pPr>
      <w:r>
        <w:rPr>
          <w:rFonts w:ascii="Times New Roman" w:hAnsi="Times New Roman"/>
          <w:sz w:val="20"/>
        </w:rPr>
        <w:t xml:space="preserve">Property, equipment and improvements are stated at cost less accumulated depreciation. Depreciation is calculated using the straight-line method over the estimated useful life of each asset. Construction in process is capitalized and once the asset is operational, the Company will commence depreciation of the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Upon retirement or sale, the cost of assets disposed of and the related accumulated depreciation are removed from the accounts and any resulting gain or loss is recognized. Expenditures for major renewals and improvements that extend the useful life of the asset are capitalized as part of the asset. Expenditures for repairs and maintenance are expensed as incurred. </w:t>
      </w:r>
    </w:p>
    <w:p>
      <w:pPr>
        <w:pStyle w:val="TextBody"/>
        <w:bidi w:val="0"/>
        <w:spacing w:before="120" w:after="0"/>
        <w:jc w:val="left"/>
        <w:rPr>
          <w:rFonts w:ascii="Times New Roman" w:hAnsi="Times New Roman"/>
          <w:sz w:val="20"/>
        </w:rPr>
      </w:pPr>
      <w:r>
        <w:rPr>
          <w:rFonts w:ascii="Times New Roman" w:hAnsi="Times New Roman"/>
          <w:sz w:val="20"/>
        </w:rPr>
        <w:t xml:space="preserve">The estimated useful lives for property and equipment are as follows: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960"/>
        <w:gridCol w:w="60"/>
        <w:gridCol w:w="3440"/>
      </w:tblGrid>
      <w:tr>
        <w:trPr/>
        <w:tc>
          <w:tcPr>
            <w:tcW w:w="2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0"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2960" w:type="dxa"/>
            <w:tcBorders/>
            <w:vAlign w:val="center"/>
          </w:tcPr>
          <w:p>
            <w:pPr>
              <w:pStyle w:val="TableContents"/>
              <w:bidi w:val="0"/>
              <w:spacing w:before="0" w:after="283"/>
              <w:jc w:val="left"/>
              <w:rPr/>
            </w:pPr>
            <w:r>
              <w:rPr/>
              <w:t>Laboratory equipment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5 years</w:t>
            </w:r>
          </w:p>
        </w:tc>
      </w:tr>
      <w:tr>
        <w:trPr/>
        <w:tc>
          <w:tcPr>
            <w:tcW w:w="2960" w:type="dxa"/>
            <w:tcBorders/>
            <w:vAlign w:val="center"/>
          </w:tcPr>
          <w:p>
            <w:pPr>
              <w:pStyle w:val="TableContents"/>
              <w:bidi w:val="0"/>
              <w:spacing w:before="0" w:after="283"/>
              <w:jc w:val="left"/>
              <w:rPr/>
            </w:pPr>
            <w:r>
              <w:rPr/>
              <w:t>Furniture and office equipment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5 years</w:t>
            </w:r>
          </w:p>
        </w:tc>
      </w:tr>
      <w:tr>
        <w:trPr/>
        <w:tc>
          <w:tcPr>
            <w:tcW w:w="2960" w:type="dxa"/>
            <w:tcBorders/>
            <w:vAlign w:val="center"/>
          </w:tcPr>
          <w:p>
            <w:pPr>
              <w:pStyle w:val="TableContents"/>
              <w:bidi w:val="0"/>
              <w:spacing w:before="0" w:after="283"/>
              <w:jc w:val="left"/>
              <w:rPr/>
            </w:pPr>
            <w:r>
              <w:rPr/>
              <w:t>Computer equipment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3 years</w:t>
            </w:r>
          </w:p>
        </w:tc>
      </w:tr>
      <w:tr>
        <w:trPr/>
        <w:tc>
          <w:tcPr>
            <w:tcW w:w="2960" w:type="dxa"/>
            <w:tcBorders/>
            <w:vAlign w:val="center"/>
          </w:tcPr>
          <w:p>
            <w:pPr>
              <w:pStyle w:val="TableContents"/>
              <w:bidi w:val="0"/>
              <w:spacing w:before="0" w:after="283"/>
              <w:jc w:val="left"/>
              <w:rPr/>
            </w:pPr>
            <w:r>
              <w:rPr/>
              <w:t>Leasehold improvements</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t>Shorter of the lease term or 10 years</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long-lived assets, which consist primarily of property, equipment and improvements,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impairments were identified during the years ended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in an orderly transaction between market participants at the measurement date. Market participants are independent buyers or sellers in the principal (or most advantageous) market for the asset or liability. Fair value measurements are categorized into a three-tier hierarchy on the basis of the inputs to valuation techniques used to measure fair value. The hierarchy gives the highest priority to unadjusted quoted prices in active markets for identical assets or liabilities (Level 1) and the lowest priority to unobservable inputs (Level 3). </w:t>
      </w:r>
    </w:p>
    <w:p>
      <w:pPr>
        <w:pStyle w:val="TextBody"/>
        <w:bidi w:val="0"/>
        <w:spacing w:before="120" w:after="0"/>
        <w:jc w:val="left"/>
        <w:rPr>
          <w:rFonts w:ascii="Times New Roman" w:hAnsi="Times New Roman"/>
          <w:sz w:val="20"/>
        </w:rPr>
      </w:pPr>
      <w:r>
        <w:rPr>
          <w:rFonts w:ascii="Times New Roman" w:hAnsi="Times New Roman"/>
          <w:sz w:val="20"/>
        </w:rPr>
        <w:t xml:space="preserve">The three levels of the fair value hierarchy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1</w:t>
            </w:r>
            <w:r>
              <w:rPr>
                <w:rFonts w:ascii="Times New Roman" w:hAnsi="Times New Roman"/>
                <w:sz w:val="20"/>
              </w:rPr>
              <w:t xml:space="preserve">—Unadjusted quoted prices in active markets for identical, unrestricted assets or liabilities that are accessible at the measurement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2</w:t>
            </w:r>
            <w:r>
              <w:rPr>
                <w:rFonts w:ascii="Times New Roman" w:hAnsi="Times New Roman"/>
                <w:sz w:val="20"/>
              </w:rPr>
              <w:t xml:space="preserve">—Quoted prices for similar assets or liabilities in active markets, quoted prices for identical or similar asset or liabilities in markets that are not active or valuations with significant inputs other than quoted prices that are observable, either directly or indirectly; and,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Level</w:t>
            </w:r>
            <w:r>
              <w:rPr>
                <w:rFonts w:ascii="Times New Roman" w:hAnsi="Times New Roman"/>
                <w:sz w:val="20"/>
              </w:rPr>
              <w:t> </w:t>
            </w:r>
            <w:r>
              <w:rPr>
                <w:rFonts w:ascii="Times New Roman" w:hAnsi="Times New Roman"/>
                <w:b/>
                <w:i/>
                <w:sz w:val="20"/>
              </w:rPr>
              <w:t>3</w:t>
            </w:r>
            <w:r>
              <w:rPr>
                <w:rFonts w:ascii="Times New Roman" w:hAnsi="Times New Roman"/>
                <w:sz w:val="20"/>
              </w:rPr>
              <w:t xml:space="preserve">—Prices or valuations that require inputs that are both significant to the fair value measurement and unobservable.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instruments are categorized in their entirety in the same level of the fair value hierarchy as the lowest level input that is significant to the entire fair value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expenses consist primarily of costs incurred for the development of the proprietary platform and product candidates and include (1) expenses incurred under agreements with third parties and contract research organizations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(“CROs”), (2) costs to acquire and develop supplies for research, (3) salaries and related costs, including stock-based compensation, (4) depreciation and other facility-related and overhead expenses, (5) licensing and license maintenance fees incurred under license option and license agreements where no alternative future use exists, and (6) costs related to compliance with regulatory requirements. The Company recognizes external research and development costs based on an evaluation of the progress to completion of specific tasks using information provided from the Company’s contracted service providers.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Prepaid and Accrued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Substantial portions of the Company’s research are performed by third-party laboratories, CROs and other vendors. These vendors generally bill monthly for services performed, or bill based upon milestone achievement. The Company accrues expenses based upon estimates of percentage of work completed and the contract milestones remaining. On occasion, the Company is obligated to make upfront payments upon execution of research and development agreements. Advance payments, including nonrefundable amounts, for goods or services that will be used or rendered for future research and development activities are capitalized as prepaid expenses until such goods are delivered or the related services are performed. The Company estimates the period over which such services will be performed based on the terms of the agreements as well as the level of effort to be expended in each period. Since inception, the Company has not experienced any material differences between the actual and estimated timing of performance or level of effort.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2022, the Company adopted ASC Topic 842, </w:t>
      </w:r>
      <w:r>
        <w:rPr>
          <w:rFonts w:ascii="Times New Roman" w:hAnsi="Times New Roman"/>
          <w:i/>
          <w:sz w:val="20"/>
        </w:rPr>
        <w:t>Leases</w:t>
      </w:r>
      <w:r>
        <w:rPr>
          <w:rFonts w:ascii="Times New Roman" w:hAnsi="Times New Roman"/>
          <w:sz w:val="20"/>
        </w:rPr>
        <w:t xml:space="preserve"> (“ASC 842”), and elected to apply the modified retrospective transition approach using the effective date as the initial date of application. ASC 842 requires that lessees recognize leases with a term greater than twelve months on the balance sheet. The Company’s existing capital leases will now be referred to as finance leases. The Company’s existing operating sublease arrangement in which it is the sublessor will remain off balance sheet and lease income will continue to be recognized on a straight-lined basis. ASC 842 provided a number of optional practical expedients in transition. The Company applied the package of three practical expedients to leases that commenced prior to the January 1, 2022. Use of these practical expedients allowed the Company not to reassess: (i) whether any expired or existing contracts were or contained leases; (ii) the lease classification for any expired or existing leases; and (iii) the treatment of initial direct costs for existing leases. </w:t>
      </w:r>
    </w:p>
    <w:p>
      <w:pPr>
        <w:pStyle w:val="TextBody"/>
        <w:bidi w:val="0"/>
        <w:spacing w:before="120" w:after="0"/>
        <w:jc w:val="left"/>
        <w:rPr>
          <w:rFonts w:ascii="Times New Roman" w:hAnsi="Times New Roman"/>
          <w:sz w:val="20"/>
        </w:rPr>
      </w:pPr>
      <w:r>
        <w:rPr>
          <w:rFonts w:ascii="Times New Roman" w:hAnsi="Times New Roman"/>
          <w:sz w:val="20"/>
        </w:rPr>
        <w:t xml:space="preserve">On January 1, 2022, the Company recorded operating lease liabilities and their corresponding right-of-use (“ROU”) assets based on the present value of lease payments over the remaining lease term. The Company used its incremental borrowing rate (“IBR”) on January 1, 2022, to calculate the present value of the Company’s leases. The IBR approximates the rate of interest the Company would have to pay to borrow on a collateralized basis over a similar term. The determination of the appropriate IBR was dependent on several factors, including the economic environment, the amount of the borrowing, the Company’s estimated credit rating and the lease term at the time of measurement. The Company’s unsecured credit rating was estimated via a synthetic credit rating model which included fundamental analysis. The Company’s unsecured credit rating was then adjusted upward using a notching technique to reflect collateralization. </w:t>
      </w:r>
    </w:p>
    <w:p>
      <w:pPr>
        <w:pStyle w:val="TextBody"/>
        <w:bidi w:val="0"/>
        <w:spacing w:before="120" w:after="0"/>
        <w:jc w:val="left"/>
        <w:rPr>
          <w:rFonts w:ascii="Times New Roman" w:hAnsi="Times New Roman"/>
          <w:sz w:val="20"/>
        </w:rPr>
      </w:pPr>
      <w:r>
        <w:rPr>
          <w:rFonts w:ascii="Times New Roman" w:hAnsi="Times New Roman"/>
          <w:sz w:val="20"/>
        </w:rPr>
        <w:t xml:space="preserve">For leases entered into after January 1, 2022, the Company applies the guidance in ASC 842, and determines whether an arrangement is or contains a lease at inception. A contract is or contains a lease if the contract conveys the right to control the use of an identified asset for a period of time in exchange for consideration. The Company classifies a lease at the lease commencement date, when control of the underlying asset is transferred from the lessor to the lessee, as an operating or finance lease and records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ROU asset and a lease liability on the consolidated balance sheet for any lease with a lease term greater than twelve months. The Company has elected the practical expedient to not recognize leases with a lease term of twelve months or less on the balance sheet (“short-term leases”) and will recognize lease payments for such short-term leases as an expense on a straight-line basis.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contracts that contain both lease and non-lease components. Non-lease components may include items such as maintenance, utilities, or other operating costs. The Company has elected to combine the lease and associated non-lease components in its lease arrangements as a single lease component for all real estate and equipment leases. Variable lease costs, such as utilities or maintenance costs, are not included in the measurement of ROU assets and lease liabilities, but rather are expensed when the events determining the amount of variable lease consideration to be paid occurs. </w:t>
      </w:r>
    </w:p>
    <w:p>
      <w:pPr>
        <w:pStyle w:val="TextBody"/>
        <w:bidi w:val="0"/>
        <w:spacing w:before="120" w:after="0"/>
        <w:jc w:val="left"/>
        <w:rPr>
          <w:rFonts w:ascii="Times New Roman" w:hAnsi="Times New Roman"/>
          <w:sz w:val="20"/>
        </w:rPr>
      </w:pPr>
      <w:r>
        <w:rPr>
          <w:rFonts w:ascii="Times New Roman" w:hAnsi="Times New Roman"/>
          <w:sz w:val="20"/>
        </w:rPr>
        <w:t xml:space="preserve">For lease arrangements in which the Company is a lessee, finance and operating ROU assets and liabilities are recognized at the lease commencement date based on the present value of the lease payments over the lease term determined using the discount rate implicit in the lease if readily determinable. When the rate implicit in the lease is not readily determinable, the Company utilizes its IBR, which is determined on the basis of information that is available at the lease commencement date. ROU assets are further adjusted for items such as initial direct costs, prepaid rent, or lease incentives. Operating lease costs are expensed using the straight-line method as an operating expense over the lease term unless the operating lease ROU asset has been impaired.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between (i) a portion that is recorded as interest expense and (ii) a portion that reduces the finance lease liability associated with the lease.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Simple Agreements for Future Equity </w:t>
      </w:r>
    </w:p>
    <w:p>
      <w:pPr>
        <w:pStyle w:val="TextBody"/>
        <w:bidi w:val="0"/>
        <w:spacing w:before="120" w:after="0"/>
        <w:jc w:val="left"/>
        <w:rPr>
          <w:rFonts w:ascii="Times New Roman" w:hAnsi="Times New Roman"/>
          <w:sz w:val="20"/>
        </w:rPr>
      </w:pPr>
      <w:r>
        <w:rPr>
          <w:rFonts w:ascii="Times New Roman" w:hAnsi="Times New Roman"/>
          <w:sz w:val="20"/>
        </w:rPr>
        <w:t xml:space="preserve">SAFE instruments do not represent legal form debt (i.e., no creditor rights), but allow for redemption based upon certain triggering events that are outside of the control of the Company. The Company accounts for a SAFE as a liability at fair value on a recurring basis. Triggering events include an equity financing, public listing transaction, change of control or dissolution. Changes in the liability’s fair value are recognized in the Company’s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convertible preferred stock outside of stockholders’ deficit on the consolidated balance sheets as it is redeemable upon the occurrence of a Deemed Liquidation Event, as defined below, that is not strictly within the Company’s control. The issuance of convertible preferred stock is recorded at the issuance price less any amounts allocated to freestanding liabilities associated with the issuance and related allocable issuance costs. The carrying values of the convertible preferred stock have not been adjusted to their liquidation preferences because it is not considered probable that a Deemed Liquidation Event will occur and make such stock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using the straight-line method. For stock options with performance conditions, the Company records stock-based compensation expense when it is deemed probable that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condition will be met. The Company uses the Black-Scholes-Merton (“BSM”) option-pricing model to determine the fair value of stock options. The BSM option-pricing model requires the use of assumptions to determine the fair value of the stock options. The fair value of the shares of common stock underlying stock options has historically been determined by the Board of Directors (“Board”), with input from management and contemporaneous third-party valuations, as there was no public market for the common stock. Given the absence of a public market for the Company’s common stock, and in accordance with the American Institute of Certified Public Accountants Practice Aid, Valuation of Privately Held Company Equity Securities Issued as Compensation, the Board exercised reasonable judgment and considered numerous objective and subjective factors to determine the best estimate of the fair value of the Company’s common stock at each stock option grant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calculates the fair value of stock options granted by using the BSM option-pricing model with the following assumptions: </w:t>
      </w:r>
    </w:p>
    <w:p>
      <w:pPr>
        <w:pStyle w:val="TextBody"/>
        <w:bidi w:val="0"/>
        <w:spacing w:before="12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—The estimated volatility is determined by evaluating the average historical volatility of a peer group of companies for the period preceding the stock option grant for a term that is approximately equal to the stock options’ expected term. </w:t>
      </w:r>
    </w:p>
    <w:p>
      <w:pPr>
        <w:pStyle w:val="TextBody"/>
        <w:bidi w:val="0"/>
        <w:spacing w:before="12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—The expected life represents the period of time that the stock options are expected to be outstanding. Because the Company does not have substantial historical exercise behavior, it determines the expected life assumption using the simplified method, for employees and nonemployees, which is an average of the contractual term of the stock option and its vesting period. </w:t>
      </w:r>
    </w:p>
    <w:p>
      <w:pPr>
        <w:pStyle w:val="TextBody"/>
        <w:bidi w:val="0"/>
        <w:spacing w:before="12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—The risk-free interest rate is based on the implied yield currently available on U.S. Treasury zero-coupon issues with a term that is equal to the stock options’ expected term at the grant date. </w:t>
      </w:r>
    </w:p>
    <w:p>
      <w:pPr>
        <w:pStyle w:val="TextBody"/>
        <w:bidi w:val="0"/>
        <w:spacing w:before="120" w:after="0"/>
        <w:jc w:val="left"/>
        <w:rPr>
          <w:rFonts w:ascii="Times New Roman" w:hAnsi="Times New Roman"/>
          <w:sz w:val="20"/>
        </w:rPr>
      </w:pPr>
      <w:r>
        <w:rPr>
          <w:rFonts w:ascii="Times New Roman" w:hAnsi="Times New Roman"/>
          <w:i/>
          <w:sz w:val="20"/>
        </w:rPr>
        <w:t>Dividend Yield</w:t>
      </w:r>
      <w:r>
        <w:rPr>
          <w:rFonts w:ascii="Times New Roman" w:hAnsi="Times New Roman"/>
          <w:sz w:val="20"/>
        </w:rPr>
        <w:t xml:space="preserve">—The Company has not declared or paid dividends to date and does not anticipate declaring dividends for the foreseeable future. As such, the dividend yield is estimated to be zero. </w:t>
      </w:r>
    </w:p>
    <w:p>
      <w:pPr>
        <w:pStyle w:val="TextBody"/>
        <w:bidi w:val="0"/>
        <w:spacing w:before="120" w:after="0"/>
        <w:jc w:val="left"/>
        <w:rPr>
          <w:rFonts w:ascii="Times New Roman" w:hAnsi="Times New Roman"/>
          <w:sz w:val="20"/>
        </w:rPr>
      </w:pPr>
      <w:r>
        <w:rPr>
          <w:rFonts w:ascii="Times New Roman" w:hAnsi="Times New Roman"/>
          <w:i/>
          <w:sz w:val="20"/>
        </w:rPr>
        <w:t>Forfeitures</w:t>
      </w:r>
      <w:r>
        <w:rPr>
          <w:rFonts w:ascii="Times New Roman" w:hAnsi="Times New Roman"/>
          <w:sz w:val="20"/>
        </w:rPr>
        <w:t xml:space="preserve">—The Company records forfeitures as they occur. </w:t>
      </w:r>
    </w:p>
    <w:p>
      <w:pPr>
        <w:pStyle w:val="TextBody"/>
        <w:bidi w:val="0"/>
        <w:spacing w:before="120" w:after="0"/>
        <w:jc w:val="left"/>
        <w:rPr>
          <w:rFonts w:ascii="Times New Roman" w:hAnsi="Times New Roman"/>
          <w:sz w:val="20"/>
        </w:rPr>
      </w:pPr>
      <w:r>
        <w:rPr>
          <w:rFonts w:ascii="Times New Roman" w:hAnsi="Times New Roman"/>
          <w:sz w:val="20"/>
        </w:rPr>
        <w:t xml:space="preserve">The purchase price of restricted common stock granted to founders, employees and consultants is the estimated fair value on the grant date and is subject to various vesting schedules. Unvested restricted common stock are subject to repurchase rights held by the Company at the original issuance price in the event the restricted common stockholders’ service to the Company is terminated either voluntarily or involuntarily. The associated liability is classified in accrued expenses and other current liabilities in the consolidated balance sheets. The balance of this liability as of December 31, 2023 and 2022 is immaterial. </w:t>
      </w:r>
    </w:p>
    <w:p>
      <w:pPr>
        <w:pStyle w:val="TextBody"/>
        <w:bidi w:val="0"/>
        <w:spacing w:before="120" w:after="0"/>
        <w:jc w:val="left"/>
        <w:rPr>
          <w:rFonts w:ascii="Times New Roman" w:hAnsi="Times New Roman"/>
          <w:sz w:val="20"/>
        </w:rPr>
      </w:pPr>
      <w:r>
        <w:rPr>
          <w:rFonts w:ascii="Times New Roman" w:hAnsi="Times New Roman"/>
          <w:sz w:val="20"/>
        </w:rPr>
        <w:t xml:space="preserve">All stock-based compensation expense is recorded in research and development expense or general and administrative expense in the consolidated statements of operations and comprehensive loss, on the basis of the respective employee and nonemployee’s role within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under ASC Topic 740, </w:t>
      </w:r>
      <w:r>
        <w:rPr>
          <w:rFonts w:ascii="Times New Roman" w:hAnsi="Times New Roman"/>
          <w:i/>
          <w:sz w:val="20"/>
        </w:rPr>
        <w:t xml:space="preserve">Income Taxes </w:t>
      </w:r>
      <w:r>
        <w:rPr>
          <w:rFonts w:ascii="Times New Roman" w:hAnsi="Times New Roman"/>
          <w:sz w:val="20"/>
        </w:rPr>
        <w:t xml:space="preserve">(“ASC 740”), which requires the recognition of deferred tax assets and liabilities for the expected future tax consequences of events that have been included in the financial statements. Under this method, the Company determined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Related parties are directly or indirectly related to the Company, through one or more intermediaries and are in control, controlled by, or under common control with the Company. Related parties also include principal owners of the Company, its management, members of the immediate families of principal owners of the Company and its management, and other parties with which the Company may transact with if one party controls or can significantly influence the management or operating policies of the other to an extent that one of the transacting parties might be prevented from fully pursuing its own separate interests. The Board reviews and approves transactions with directors, officers and holders of 5% or more of the Company’s voting securities and their affiliates or their family members. The material facts as to the related party’s relationship or interest in the transaction are disclosed to the Board prior to its consideration of such transaction, and the transaction is not considered approved by the Board unless a majority of the directors who are not interested in the transaction approve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Net Loss per Share</w:t>
      </w:r>
    </w:p>
    <w:p>
      <w:pPr>
        <w:pStyle w:val="TextBody"/>
        <w:bidi w:val="0"/>
        <w:spacing w:before="120" w:after="0"/>
        <w:jc w:val="left"/>
        <w:rPr>
          <w:rFonts w:ascii="Times New Roman" w:hAnsi="Times New Roman"/>
          <w:sz w:val="20"/>
        </w:rPr>
      </w:pPr>
      <w:r>
        <w:rPr>
          <w:rFonts w:ascii="Times New Roman" w:hAnsi="Times New Roman"/>
          <w:sz w:val="20"/>
        </w:rPr>
        <w:t>The Company applies the two-class method when computing earnings per share attributable to common stockholders as the Company has issued securities that meet the definition of participating securities. The two-class method determines earnings per share for each class of common and participating securities according to dividends declared or accumulated in the current period and participation rights in undistributed earnings. The Company considers its convertible preferred stock and SAFEs to be participating securities as, in the event a dividend is paid on common stock, the holders of convertible preferred stock and SAFEs would be entitled to receive dividends on a basis consistent with the common stockholders. There is no allocation required under the two-class method during periods of loss since the participating securities do not have a contractual obligation to share in the losses of the Company.</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attributable to common stockholders is computed by dividing the net loss attributable to common stockholders by the weighted-average number of common shares outstanding for the period, excluding potentially dilutive common shares. Diluted net loss per share attributable to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stockholders is computed by adjusting net loss attributable to common stockholders to reallocate earnings based on the potential impact of dilutive securities. Diluted net loss per share attributable to common stockholders is computed by dividing the diluted net loss attributable to common stockholders by the weighted-average number of common shares outstanding for the period, including potential dilutive common shares. For purposes of this calculation, the Company’s outstanding convertible preferred stock, stock options, unvested restricted common stock and the SAFEs are considered potential dilutive common shares. </w:t>
      </w:r>
    </w:p>
    <w:p>
      <w:pPr>
        <w:pStyle w:val="TextBody"/>
        <w:bidi w:val="0"/>
        <w:spacing w:before="120" w:after="0"/>
        <w:jc w:val="left"/>
        <w:rPr>
          <w:rFonts w:ascii="Times New Roman" w:hAnsi="Times New Roman"/>
          <w:sz w:val="20"/>
        </w:rPr>
      </w:pPr>
      <w:r>
        <w:rPr>
          <w:rFonts w:ascii="Times New Roman" w:hAnsi="Times New Roman"/>
          <w:sz w:val="20"/>
        </w:rPr>
        <w:t>The Company generated a net loss for each of the years presented. Accordingly, basic and diluted net loss per share attributable to common stockholders are the same because the inclusion of the potentially dilutive securities would be anti-dilutive.</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consolidated financial statements upon adoption.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No. 2020-06, </w:t>
      </w:r>
      <w:r>
        <w:rPr>
          <w:rFonts w:ascii="Times New Roman" w:hAnsi="Times New Roman"/>
          <w:i/>
          <w:sz w:val="20"/>
        </w:rPr>
        <w:t>Debt—Debt with Conversion and Other Options (Subtopic</w:t>
      </w:r>
      <w:r>
        <w:rPr>
          <w:rFonts w:ascii="Times New Roman" w:hAnsi="Times New Roman"/>
          <w:sz w:val="20"/>
        </w:rPr>
        <w:t> </w:t>
      </w:r>
      <w:r>
        <w:rPr>
          <w:rFonts w:ascii="Times New Roman" w:hAnsi="Times New Roman"/>
          <w:i/>
          <w:sz w:val="20"/>
        </w:rPr>
        <w:t xml:space="preserve">470-20) and Derivatives and Hedging Contracts in an Entity’s Own Equity (Subtopic 815-40): Accounting for Convertible Instruments and Contracts in an Entity’s Own Equity </w:t>
      </w:r>
      <w:r>
        <w:rPr>
          <w:rFonts w:ascii="Times New Roman" w:hAnsi="Times New Roman"/>
          <w:sz w:val="20"/>
        </w:rPr>
        <w:t xml:space="preserve">(“ASU 2020-06”). ASU 2020-06 simplifies the accounting for 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in the process of evaluating the impact of the adoption of ASU 2020-06 will have on the consolidated financial statements and disclosures.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w:t>
      </w:r>
      <w:r>
        <w:rPr>
          <w:rFonts w:ascii="Times New Roman" w:hAnsi="Times New Roman"/>
          <w:sz w:val="20"/>
        </w:rPr>
        <w:t xml:space="preserve"> (Topic 280) (“ASU 2023-07”), which enhances the segment disclosure requirements for public entities on an annual and interim basis. Under ASU 2023-07,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No. 2023-09, </w:t>
      </w:r>
      <w:r>
        <w:rPr>
          <w:rFonts w:ascii="Times New Roman" w:hAnsi="Times New Roman"/>
          <w:i/>
          <w:sz w:val="20"/>
        </w:rPr>
        <w:t>Income Taxes</w:t>
      </w:r>
      <w:r>
        <w:rPr>
          <w:rFonts w:ascii="Times New Roman" w:hAnsi="Times New Roman"/>
          <w:sz w:val="20"/>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215"/>
        <w:gridCol w:w="2960"/>
      </w:tblGrid>
      <w:tr>
        <w:trPr/>
        <w:tc>
          <w:tcPr>
            <w:tcW w:w="215" w:type="dxa"/>
            <w:tcBorders/>
            <w:vAlign w:val="center"/>
          </w:tcPr>
          <w:p>
            <w:pPr>
              <w:pStyle w:val="TableContents"/>
              <w:bidi w:val="0"/>
              <w:spacing w:before="0" w:after="283"/>
              <w:jc w:val="left"/>
              <w:rPr>
                <w:b/>
              </w:rPr>
            </w:pPr>
            <w:r>
              <w:rPr>
                <w:b/>
              </w:rPr>
              <w:t>3.</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715"/>
        <w:gridCol w:w="120"/>
        <w:gridCol w:w="140"/>
        <w:gridCol w:w="740"/>
        <w:gridCol w:w="60"/>
        <w:gridCol w:w="120"/>
        <w:gridCol w:w="264"/>
        <w:gridCol w:w="491"/>
        <w:gridCol w:w="60"/>
        <w:gridCol w:w="120"/>
        <w:gridCol w:w="140"/>
        <w:gridCol w:w="740"/>
        <w:gridCol w:w="60"/>
        <w:gridCol w:w="120"/>
        <w:gridCol w:w="140"/>
        <w:gridCol w:w="74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27,278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27,278</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27,278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27,278</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30,515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30,515</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r>
              <w:rPr/>
              <w:t>30,515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30,515</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4130" w:type="dxa"/>
            <w:gridSpan w:val="16"/>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sz w:val="4"/>
                <w:szCs w:val="4"/>
              </w:rPr>
            </w:pPr>
            <w:r>
              <w:rPr>
                <w:sz w:val="4"/>
                <w:szCs w:val="4"/>
              </w:rPr>
            </w:r>
          </w:p>
        </w:tc>
        <w:tc>
          <w:tcPr>
            <w:tcW w:w="4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33,640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33,640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49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33,640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w:t>
            </w:r>
          </w:p>
        </w:tc>
        <w:tc>
          <w:tcPr>
            <w:tcW w:w="4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33,640</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49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Company’s cash equivalents, which were invested in money market funds, were valued based on Level 1 inputs.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 </w:t>
      </w:r>
    </w:p>
    <w:p>
      <w:pPr>
        <w:pStyle w:val="TextBody"/>
        <w:bidi w:val="0"/>
        <w:spacing w:before="120" w:after="0"/>
        <w:jc w:val="left"/>
        <w:rPr>
          <w:rFonts w:ascii="Times New Roman" w:hAnsi="Times New Roman"/>
          <w:sz w:val="20"/>
        </w:rPr>
      </w:pPr>
      <w:r>
        <w:rPr>
          <w:rFonts w:ascii="Times New Roman" w:hAnsi="Times New Roman"/>
          <w:sz w:val="20"/>
        </w:rPr>
        <w:t xml:space="preserve">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adjustments to reflect market risk, a small stock premium, and a selected company-specific risk premium. The valuation of the SAFE liabilities at the October issuance date was determined using the same methodology; however, the discount rate was 30.9% due the higher risk-free rate at the valuation date. In October 2023, the probabilities of the occurrence of an equity financing, public listing transaction and dissolution used were 87.5%, 10.0%, and 2.5%, respectively. The estimated time to redemption used was 1.5 months for an equity financing and 5.5 months for a public listing transaction and dissolution.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Preferred Stock Tranche Liability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preferred stock tranche liability was based on significant inputs not observable in the market and is a Level 3 measurement within the fair value hierarchy. The valuations were made using Black-Scholes-Merton pricing model with inputs based on certain subjective assumptions, including (a) estimated conversion dates, (b) expected stock price volatility, (c) a risk-free interest rates and (d) implied debt yields.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preferred stock tranche liability was determined at the issuance of the Preferred Stock, as defined below, in 2021 and re-measured at each balance sheet date until its settlement in September 2022. Accordingly, there was no outstanding preferred stock tranche liability as of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activity for the preferred stock tranche liability and the SAFE liabilities that were measured at fair value using significant unobservable Level 3 inputs during the years ended December 31, 2023 and 2022 (in thousands): </w:t>
      </w:r>
    </w:p>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2735"/>
        <w:gridCol w:w="120"/>
        <w:gridCol w:w="424"/>
        <w:gridCol w:w="1381"/>
        <w:gridCol w:w="155"/>
        <w:gridCol w:w="120"/>
        <w:gridCol w:w="290"/>
        <w:gridCol w:w="1410"/>
        <w:gridCol w:w="170"/>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Preferred Stock</w:t>
              <w:br/>
              <w:t>Tranche Liability</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 Liabilities</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 2022</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(643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pBdr>
                <w:top w:val="single" w:sz="2" w:space="1" w:color="000000"/>
              </w:pBdr>
              <w:bidi w:val="0"/>
              <w:spacing w:before="0" w:after="0"/>
              <w:jc w:val="left"/>
              <w:rPr/>
            </w:pPr>
            <w:r>
              <w:rPr/>
              <w:t> </w:t>
            </w:r>
          </w:p>
        </w:tc>
        <w:tc>
          <w:tcPr>
            <w:tcW w:w="138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single" w:sz="2" w:space="1" w:color="000000"/>
              </w:pBdr>
              <w:bidi w:val="0"/>
              <w:spacing w:before="0" w:after="0"/>
              <w:jc w:val="left"/>
              <w:rPr/>
            </w:pPr>
            <w:r>
              <w:rPr/>
              <w:t> </w:t>
            </w:r>
          </w:p>
        </w:tc>
        <w:tc>
          <w:tcPr>
            <w:tcW w:w="141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fair value recognition</w:t>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31,515</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issuance</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38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255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right"/>
              <w:rPr/>
            </w:pPr>
            <w:r>
              <w:rPr/>
              <w:t>(1,255</w:t>
            </w:r>
          </w:p>
        </w:tc>
        <w:tc>
          <w:tcPr>
            <w:tcW w:w="1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pBdr>
                <w:top w:val="single" w:sz="2" w:space="1" w:color="000000"/>
              </w:pBdr>
              <w:bidi w:val="0"/>
              <w:spacing w:before="0" w:after="0"/>
              <w:jc w:val="left"/>
              <w:rPr/>
            </w:pPr>
            <w:r>
              <w:rPr/>
              <w:t> </w:t>
            </w:r>
          </w:p>
        </w:tc>
        <w:tc>
          <w:tcPr>
            <w:tcW w:w="138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single" w:sz="2" w:space="1" w:color="000000"/>
              </w:pBdr>
              <w:bidi w:val="0"/>
              <w:spacing w:before="0" w:after="0"/>
              <w:jc w:val="left"/>
              <w:rPr/>
            </w:pPr>
            <w:r>
              <w:rPr/>
              <w:t> </w:t>
            </w:r>
          </w:p>
        </w:tc>
        <w:tc>
          <w:tcPr>
            <w:tcW w:w="141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410" w:type="dxa"/>
            <w:tcBorders/>
            <w:shd w:fill="CCEEFF" w:val="clear"/>
            <w:vAlign w:val="center"/>
          </w:tcPr>
          <w:p>
            <w:pPr>
              <w:pStyle w:val="TableContents"/>
              <w:bidi w:val="0"/>
              <w:spacing w:before="0" w:after="283"/>
              <w:jc w:val="right"/>
              <w:rPr/>
            </w:pPr>
            <w:r>
              <w:rPr/>
              <w:t>30,515</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4" w:type="dxa"/>
            <w:tcBorders/>
            <w:vAlign w:val="center"/>
          </w:tcPr>
          <w:p>
            <w:pPr>
              <w:pStyle w:val="TableContents"/>
              <w:pBdr>
                <w:top w:val="double" w:sz="6" w:space="1" w:color="000000"/>
              </w:pBdr>
              <w:bidi w:val="0"/>
              <w:spacing w:before="0" w:after="0"/>
              <w:jc w:val="left"/>
              <w:rPr/>
            </w:pPr>
            <w:r>
              <w:rPr/>
              <w:t> </w:t>
            </w:r>
          </w:p>
        </w:tc>
        <w:tc>
          <w:tcPr>
            <w:tcW w:w="138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pBdr>
                <w:top w:val="double" w:sz="6" w:space="1" w:color="000000"/>
              </w:pBdr>
              <w:bidi w:val="0"/>
              <w:spacing w:before="0" w:after="0"/>
              <w:jc w:val="left"/>
              <w:rPr/>
            </w:pPr>
            <w:r>
              <w:rPr/>
              <w:t> </w:t>
            </w:r>
          </w:p>
        </w:tc>
        <w:tc>
          <w:tcPr>
            <w:tcW w:w="141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the Level 1, Level 2 or Level 3 categories during the years ended December 31, 2023 and 2022.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15"/>
        <w:gridCol w:w="5045"/>
      </w:tblGrid>
      <w:tr>
        <w:trPr/>
        <w:tc>
          <w:tcPr>
            <w:tcW w:w="215" w:type="dxa"/>
            <w:tcBorders/>
            <w:vAlign w:val="center"/>
          </w:tcPr>
          <w:p>
            <w:pPr>
              <w:pStyle w:val="TableContents"/>
              <w:bidi w:val="0"/>
              <w:spacing w:before="0" w:after="283"/>
              <w:jc w:val="left"/>
              <w:rPr>
                <w:b/>
              </w:rPr>
            </w:pPr>
            <w:r>
              <w:rPr>
                <w:b/>
              </w:rPr>
              <w:t>4.</w:t>
            </w:r>
          </w:p>
        </w:tc>
        <w:tc>
          <w:tcPr>
            <w:tcW w:w="5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EQUIPMENT AND IMPROVEMENTS,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equipment and improvements, net is comprised of the following (in thousands): </w:t>
      </w:r>
    </w:p>
    <w:p>
      <w:pPr>
        <w:pStyle w:val="TextBody"/>
        <w:bidi w:val="0"/>
        <w:spacing w:before="0" w:after="0"/>
        <w:jc w:val="left"/>
        <w:rPr/>
      </w:pPr>
      <w:r>
        <w:rPr/>
        <w:t> </w:t>
      </w:r>
    </w:p>
    <w:tbl>
      <w:tblPr>
        <w:tblW w:w="4640" w:type="dxa"/>
        <w:jc w:val="left"/>
        <w:tblInd w:w="0" w:type="dxa"/>
        <w:tblLayout w:type="fixed"/>
        <w:tblCellMar>
          <w:top w:w="0" w:type="dxa"/>
          <w:left w:w="0" w:type="dxa"/>
          <w:bottom w:w="0" w:type="dxa"/>
          <w:right w:w="0" w:type="dxa"/>
        </w:tblCellMar>
      </w:tblPr>
      <w:tblGrid>
        <w:gridCol w:w="2600"/>
        <w:gridCol w:w="120"/>
        <w:gridCol w:w="140"/>
        <w:gridCol w:w="635"/>
        <w:gridCol w:w="155"/>
        <w:gridCol w:w="120"/>
        <w:gridCol w:w="140"/>
        <w:gridCol w:w="560"/>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4,018</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office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149</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49</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4,978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4,485</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(877</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3,122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3,608</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Depreciation expense was $1.0 million and $0.6 million and was recorded as follows (in thousands): </w:t>
      </w:r>
    </w:p>
    <w:p>
      <w:pPr>
        <w:pStyle w:val="TextBody"/>
        <w:bidi w:val="0"/>
        <w:spacing w:before="0" w:after="0"/>
        <w:jc w:val="left"/>
        <w:rPr/>
      </w:pPr>
      <w:r>
        <w:rPr/>
        <w:t> </w:t>
      </w:r>
    </w:p>
    <w:tbl>
      <w:tblPr>
        <w:tblW w:w="3830" w:type="dxa"/>
        <w:jc w:val="left"/>
        <w:tblInd w:w="0" w:type="dxa"/>
        <w:tblLayout w:type="fixed"/>
        <w:tblCellMar>
          <w:top w:w="0" w:type="dxa"/>
          <w:left w:w="0" w:type="dxa"/>
          <w:bottom w:w="0" w:type="dxa"/>
          <w:right w:w="0" w:type="dxa"/>
        </w:tblCellMar>
      </w:tblPr>
      <w:tblGrid>
        <w:gridCol w:w="2225"/>
        <w:gridCol w:w="120"/>
        <w:gridCol w:w="161"/>
        <w:gridCol w:w="440"/>
        <w:gridCol w:w="68"/>
        <w:gridCol w:w="138"/>
        <w:gridCol w:w="161"/>
        <w:gridCol w:w="442"/>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17</w:t>
            </w:r>
          </w:p>
        </w:tc>
        <w:tc>
          <w:tcPr>
            <w:tcW w:w="6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973</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635</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single" w:sz="2" w:space="1" w:color="000000"/>
              </w:pBdr>
              <w:bidi w:val="0"/>
              <w:spacing w:before="0" w:after="0"/>
              <w:jc w:val="left"/>
              <w:rPr/>
            </w:pPr>
            <w:r>
              <w:rPr/>
              <w:t> </w:t>
            </w:r>
          </w:p>
        </w:tc>
        <w:tc>
          <w:tcPr>
            <w:tcW w:w="44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283"/>
              <w:jc w:val="center"/>
              <w:rPr/>
            </w:pPr>
            <w:r>
              <w:rPr/>
              <w:t>$ 990</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03" w:type="dxa"/>
            <w:gridSpan w:val="2"/>
            <w:tcBorders/>
            <w:vAlign w:val="center"/>
          </w:tcPr>
          <w:p>
            <w:pPr>
              <w:pStyle w:val="TableContents"/>
              <w:bidi w:val="0"/>
              <w:spacing w:before="0" w:after="283"/>
              <w:jc w:val="center"/>
              <w:rPr/>
            </w:pPr>
            <w:r>
              <w:rPr/>
              <w:t>$ 647</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61" w:type="dxa"/>
            <w:tcBorders/>
            <w:vAlign w:val="center"/>
          </w:tcPr>
          <w:p>
            <w:pPr>
              <w:pStyle w:val="TableContents"/>
              <w:pBdr>
                <w:top w:val="double" w:sz="6" w:space="1" w:color="000000"/>
              </w:pBdr>
              <w:bidi w:val="0"/>
              <w:spacing w:before="0" w:after="0"/>
              <w:jc w:val="left"/>
              <w:rPr/>
            </w:pPr>
            <w:r>
              <w:rPr/>
              <w:t> </w:t>
            </w:r>
          </w:p>
        </w:tc>
        <w:tc>
          <w:tcPr>
            <w:tcW w:w="44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These amounts are exclusive of amortization related to finance lease and capital lease assets of $0.5 million and $0.3 million in 2023 and 2022, respectively.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215"/>
        <w:gridCol w:w="5525"/>
      </w:tblGrid>
      <w:tr>
        <w:trPr/>
        <w:tc>
          <w:tcPr>
            <w:tcW w:w="215" w:type="dxa"/>
            <w:tcBorders/>
            <w:vAlign w:val="center"/>
          </w:tcPr>
          <w:p>
            <w:pPr>
              <w:pStyle w:val="TableContents"/>
              <w:bidi w:val="0"/>
              <w:spacing w:before="0" w:after="283"/>
              <w:jc w:val="left"/>
              <w:rPr>
                <w:b/>
              </w:rPr>
            </w:pPr>
            <w:r>
              <w:rPr>
                <w:b/>
              </w:rPr>
              <w:t>5.</w:t>
            </w:r>
          </w:p>
        </w:tc>
        <w:tc>
          <w:tcPr>
            <w:tcW w:w="55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is comprised of the following (in thousands):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5540"/>
        <w:gridCol w:w="120"/>
        <w:gridCol w:w="140"/>
        <w:gridCol w:w="620"/>
        <w:gridCol w:w="60"/>
        <w:gridCol w:w="120"/>
        <w:gridCol w:w="140"/>
        <w:gridCol w:w="620"/>
        <w:gridCol w:w="75"/>
      </w:tblGrid>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Employee compensation related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2,840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2,158</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office and laboratory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481</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contract research organization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2,298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1,345</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contract development and manufacturing organization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842</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489</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499</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$ 8,141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$ 5,814</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b/>
              </w:rPr>
            </w:pPr>
            <w:r>
              <w:rPr>
                <w:b/>
              </w:rPr>
              <w:t>6.</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commitments under its operating and finance leases are described in Note 7.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University of Texas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executed a research agreement with the University of Texas, whereby the Company and the University of Texas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due upon the receipt of the final research report by the Company. The agreement was terminated on June 30, 2022.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the Company did not pay any amounts to the University of Texas under this agreement because the joint research activities were not completed before the research agreement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entered into an agreement with the President and Fellows of Harvard College (“Harvard”), for an option fee in the low five digits, whereby Harvard granted the Company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were expensed. </w:t>
      </w:r>
    </w:p>
    <w:p>
      <w:pPr>
        <w:pStyle w:val="TextBody"/>
        <w:bidi w:val="0"/>
        <w:spacing w:before="120" w:after="0"/>
        <w:jc w:val="left"/>
        <w:rPr>
          <w:rFonts w:ascii="Times New Roman" w:hAnsi="Times New Roman"/>
          <w:sz w:val="20"/>
        </w:rPr>
      </w:pPr>
      <w:r>
        <w:rPr>
          <w:rFonts w:ascii="Times New Roman" w:hAnsi="Times New Roman"/>
          <w:sz w:val="20"/>
        </w:rPr>
        <w:t xml:space="preserve">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There was less than $0.1 million due to Harvard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Alloy Therapeutics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will be responsible to pay ATX commercial payments in the low seven digits per year during the first six years of commercial sales, amounting to an amount in the high eight digits in total commercial payments under the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the Company paid $0.1 million and zero to ATX,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Adimab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During the year ended December 31, 2023, the Company incurred $0.1 million of costs associated with the FTEs.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and 2022, the Company did not have any liabilities or other commitments related to indemnification claims. </w:t>
      </w:r>
    </w:p>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215"/>
        <w:gridCol w:w="830"/>
      </w:tblGrid>
      <w:tr>
        <w:trPr/>
        <w:tc>
          <w:tcPr>
            <w:tcW w:w="215" w:type="dxa"/>
            <w:tcBorders/>
            <w:vAlign w:val="center"/>
          </w:tcPr>
          <w:p>
            <w:pPr>
              <w:pStyle w:val="TableContents"/>
              <w:bidi w:val="0"/>
              <w:spacing w:before="0" w:after="283"/>
              <w:jc w:val="left"/>
              <w:rPr>
                <w:b/>
              </w:rPr>
            </w:pPr>
            <w:r>
              <w:rPr>
                <w:b/>
              </w:rPr>
              <w:t>7.</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 </w:t>
      </w:r>
    </w:p>
    <w:p>
      <w:pPr>
        <w:pStyle w:val="TextBody"/>
        <w:bidi w:val="0"/>
        <w:spacing w:before="120" w:after="0"/>
        <w:jc w:val="left"/>
        <w:rPr>
          <w:rFonts w:ascii="Times New Roman" w:hAnsi="Times New Roman"/>
          <w:sz w:val="20"/>
        </w:rPr>
      </w:pPr>
      <w:r>
        <w:rPr>
          <w:rFonts w:ascii="Times New Roman" w:hAnsi="Times New Roman"/>
          <w:sz w:val="20"/>
        </w:rPr>
        <w:t xml:space="preserve">During 2022, the Company entered into four additional finance leases that resulted in an increase of $1.3 million in ROU assets, inclusive of lease payments made prior to commencement, and $1.3 million in related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about lease costs for the years ended December 31, 2023 and 2022 (in thousands): </w:t>
      </w:r>
    </w:p>
    <w:p>
      <w:pPr>
        <w:pStyle w:val="TextBody"/>
        <w:bidi w:val="0"/>
        <w:spacing w:before="0" w:after="0"/>
        <w:jc w:val="left"/>
        <w:rPr/>
      </w:pPr>
      <w:r>
        <w:rPr/>
        <w:t> </w:t>
      </w:r>
    </w:p>
    <w:tbl>
      <w:tblPr>
        <w:tblW w:w="4275" w:type="dxa"/>
        <w:jc w:val="left"/>
        <w:tblInd w:w="0" w:type="dxa"/>
        <w:tblLayout w:type="fixed"/>
        <w:tblCellMar>
          <w:top w:w="0" w:type="dxa"/>
          <w:left w:w="0" w:type="dxa"/>
          <w:bottom w:w="0" w:type="dxa"/>
          <w:right w:w="0" w:type="dxa"/>
        </w:tblCellMar>
      </w:tblPr>
      <w:tblGrid>
        <w:gridCol w:w="2285"/>
        <w:gridCol w:w="120"/>
        <w:gridCol w:w="140"/>
        <w:gridCol w:w="620"/>
        <w:gridCol w:w="60"/>
        <w:gridCol w:w="120"/>
        <w:gridCol w:w="140"/>
        <w:gridCol w:w="620"/>
        <w:gridCol w:w="17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20"/>
              </w:rPr>
            </w:pPr>
            <w:r>
              <w:rPr>
                <w:sz w:val="20"/>
              </w:rPr>
              <w:t>Finance lease cost</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359</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106</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1,404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1,404</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389</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907</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(253</w:t>
            </w:r>
          </w:p>
        </w:tc>
        <w:tc>
          <w:tcPr>
            <w:tcW w:w="17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3,578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2,912</w:t>
            </w:r>
          </w:p>
        </w:tc>
        <w:tc>
          <w:tcPr>
            <w:tcW w:w="17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information about the Company’s leases for the years ended December 31, 2023 and 2022 (in thousands): </w:t>
      </w:r>
    </w:p>
    <w:p>
      <w:pPr>
        <w:pStyle w:val="TextBody"/>
        <w:bidi w:val="0"/>
        <w:spacing w:before="0" w:after="0"/>
        <w:jc w:val="left"/>
        <w:rPr/>
      </w:pPr>
      <w:r>
        <w:rPr/>
        <w:t> </w:t>
      </w:r>
    </w:p>
    <w:tbl>
      <w:tblPr>
        <w:tblW w:w="7805" w:type="dxa"/>
        <w:jc w:val="left"/>
        <w:tblInd w:w="0" w:type="dxa"/>
        <w:tblLayout w:type="fixed"/>
        <w:tblCellMar>
          <w:top w:w="0" w:type="dxa"/>
          <w:left w:w="0" w:type="dxa"/>
          <w:bottom w:w="0" w:type="dxa"/>
          <w:right w:w="0" w:type="dxa"/>
        </w:tblCellMar>
      </w:tblPr>
      <w:tblGrid>
        <w:gridCol w:w="5720"/>
        <w:gridCol w:w="60"/>
        <w:gridCol w:w="140"/>
        <w:gridCol w:w="560"/>
        <w:gridCol w:w="275"/>
        <w:gridCol w:w="60"/>
        <w:gridCol w:w="140"/>
        <w:gridCol w:w="560"/>
        <w:gridCol w:w="290"/>
      </w:tblGrid>
      <w:tr>
        <w:trPr/>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29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sz w:val="19"/>
              </w:rPr>
            </w:pPr>
            <w:r>
              <w:rPr>
                <w:sz w:val="19"/>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 financing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393</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 - operating cash flows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 - operating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1,470</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1,340</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terms (in years)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4.19</w:t>
            </w:r>
          </w:p>
        </w:tc>
        <w:tc>
          <w:tcPr>
            <w:tcW w:w="29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9.49</w:t>
            </w:r>
          </w:p>
        </w:tc>
        <w:tc>
          <w:tcPr>
            <w:tcW w:w="29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maturity of the Company’s finance and operating lease liabilities for the year ended December 31, 2023 (in thousands):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895"/>
        <w:gridCol w:w="120"/>
        <w:gridCol w:w="288"/>
        <w:gridCol w:w="1277"/>
        <w:gridCol w:w="155"/>
        <w:gridCol w:w="120"/>
        <w:gridCol w:w="329"/>
        <w:gridCol w:w="1461"/>
        <w:gridCol w:w="170"/>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ended December 31,</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Finance Leases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 Leases</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583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 </w:t>
            </w:r>
            <w:r>
              <w:rPr/>
              <w:t>1,534</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1,580</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132</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pBdr>
                <w:top w:val="single" w:sz="2" w:space="1" w:color="000000"/>
              </w:pBdr>
              <w:bidi w:val="0"/>
              <w:spacing w:before="0" w:after="0"/>
              <w:jc w:val="left"/>
              <w:rPr/>
            </w:pPr>
            <w:r>
              <w:rPr/>
              <w:t> </w:t>
            </w:r>
          </w:p>
        </w:tc>
        <w:tc>
          <w:tcPr>
            <w:tcW w:w="127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pBdr>
                <w:top w:val="single" w:sz="2" w:space="1" w:color="000000"/>
              </w:pBdr>
              <w:bidi w:val="0"/>
              <w:spacing w:before="0" w:after="0"/>
              <w:jc w:val="left"/>
              <w:rPr/>
            </w:pPr>
            <w:r>
              <w:rPr/>
              <w:t> </w:t>
            </w:r>
          </w:p>
        </w:tc>
        <w:tc>
          <w:tcPr>
            <w:tcW w:w="146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1,542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3,246</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right"/>
              <w:rPr/>
            </w:pPr>
            <w:r>
              <w:rPr/>
              <w:t>(254</w:t>
            </w:r>
          </w:p>
        </w:tc>
        <w:tc>
          <w:tcPr>
            <w:tcW w:w="17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pBdr>
                <w:top w:val="single" w:sz="2" w:space="1" w:color="000000"/>
              </w:pBdr>
              <w:bidi w:val="0"/>
              <w:spacing w:before="0" w:after="0"/>
              <w:jc w:val="left"/>
              <w:rPr/>
            </w:pPr>
            <w:r>
              <w:rPr/>
              <w:t> </w:t>
            </w:r>
          </w:p>
        </w:tc>
        <w:tc>
          <w:tcPr>
            <w:tcW w:w="127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pBdr>
                <w:top w:val="single" w:sz="2" w:space="1" w:color="000000"/>
              </w:pBdr>
              <w:bidi w:val="0"/>
              <w:spacing w:before="0" w:after="0"/>
              <w:jc w:val="left"/>
              <w:rPr/>
            </w:pPr>
            <w:r>
              <w:rPr/>
              <w:t> </w:t>
            </w:r>
          </w:p>
        </w:tc>
        <w:tc>
          <w:tcPr>
            <w:tcW w:w="1461"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12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 </w:t>
            </w:r>
            <w:r>
              <w:rPr/>
              <w:t>1,351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2,992</w:t>
            </w:r>
          </w:p>
        </w:tc>
        <w:tc>
          <w:tcPr>
            <w:tcW w:w="170"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8" w:type="dxa"/>
            <w:tcBorders/>
            <w:vAlign w:val="center"/>
          </w:tcPr>
          <w:p>
            <w:pPr>
              <w:pStyle w:val="TableContents"/>
              <w:pBdr>
                <w:top w:val="double" w:sz="6" w:space="1" w:color="000000"/>
              </w:pBdr>
              <w:bidi w:val="0"/>
              <w:spacing w:before="0" w:after="0"/>
              <w:jc w:val="left"/>
              <w:rPr/>
            </w:pPr>
            <w:r>
              <w:rPr/>
              <w:t> </w:t>
            </w:r>
          </w:p>
        </w:tc>
        <w:tc>
          <w:tcPr>
            <w:tcW w:w="1277"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9" w:type="dxa"/>
            <w:tcBorders/>
            <w:vAlign w:val="center"/>
          </w:tcPr>
          <w:p>
            <w:pPr>
              <w:pStyle w:val="TableContents"/>
              <w:pBdr>
                <w:top w:val="double" w:sz="6" w:space="1" w:color="000000"/>
              </w:pBdr>
              <w:bidi w:val="0"/>
              <w:spacing w:before="0" w:after="0"/>
              <w:jc w:val="left"/>
              <w:rPr/>
            </w:pPr>
            <w:r>
              <w:rPr/>
              <w:t> </w:t>
            </w:r>
          </w:p>
        </w:tc>
        <w:tc>
          <w:tcPr>
            <w:tcW w:w="1461"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215"/>
        <w:gridCol w:w="3470"/>
      </w:tblGrid>
      <w:tr>
        <w:trPr/>
        <w:tc>
          <w:tcPr>
            <w:tcW w:w="215" w:type="dxa"/>
            <w:tcBorders/>
            <w:vAlign w:val="center"/>
          </w:tcPr>
          <w:p>
            <w:pPr>
              <w:pStyle w:val="TableContents"/>
              <w:bidi w:val="0"/>
              <w:spacing w:before="0" w:after="283"/>
              <w:jc w:val="left"/>
              <w:rPr>
                <w:b/>
              </w:rPr>
            </w:pPr>
            <w:r>
              <w:rPr>
                <w:b/>
              </w:rPr>
              <w:t>8.</w:t>
            </w:r>
          </w:p>
        </w:tc>
        <w:tc>
          <w:tcPr>
            <w:tcW w:w="3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collectively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Preferred Stock consisted of the following (in thousands, expect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6"/>
        <w:gridCol w:w="120"/>
        <w:gridCol w:w="153"/>
        <w:gridCol w:w="814"/>
        <w:gridCol w:w="60"/>
        <w:gridCol w:w="120"/>
        <w:gridCol w:w="67"/>
        <w:gridCol w:w="1108"/>
        <w:gridCol w:w="60"/>
        <w:gridCol w:w="120"/>
        <w:gridCol w:w="99"/>
        <w:gridCol w:w="1631"/>
        <w:gridCol w:w="60"/>
        <w:gridCol w:w="120"/>
        <w:gridCol w:w="153"/>
        <w:gridCol w:w="812"/>
        <w:gridCol w:w="60"/>
        <w:gridCol w:w="120"/>
        <w:gridCol w:w="194"/>
        <w:gridCol w:w="1026"/>
        <w:gridCol w:w="60"/>
        <w:gridCol w:w="120"/>
        <w:gridCol w:w="92"/>
        <w:gridCol w:w="1503"/>
        <w:gridCol w:w="77"/>
      </w:tblGrid>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b/>
              </w:rPr>
              <w:t>Preferred</w:t>
            </w:r>
            <w:r>
              <w:rPr/>
              <w:br/>
            </w:r>
            <w:r>
              <w:rPr>
                <w:b/>
              </w:rPr>
              <w:t>Stock Issued</w:t>
              <w:br/>
              <w:t>and 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 </w:t>
            </w:r>
            <w:r>
              <w:rPr/>
              <w:t>45,016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 </w:t>
            </w:r>
            <w:r>
              <w:rPr/>
              <w:t>54,308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4,118,120</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21,654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21,749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1,649,188</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A-3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9,187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696,516</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A-4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 </w:t>
            </w: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4,770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361,659</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1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single" w:sz="2" w:space="1" w:color="000000"/>
              </w:pBdr>
              <w:bidi w:val="0"/>
              <w:spacing w:before="0" w:after="0"/>
              <w:jc w:val="left"/>
              <w:rPr/>
            </w:pPr>
            <w:r>
              <w:rPr/>
              <w:t> </w:t>
            </w:r>
          </w:p>
        </w:tc>
        <w:tc>
          <w:tcPr>
            <w:tcW w:w="163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single" w:sz="2" w:space="1" w:color="000000"/>
              </w:pBdr>
              <w:bidi w:val="0"/>
              <w:spacing w:before="0" w:after="0"/>
              <w:jc w:val="left"/>
              <w:rPr/>
            </w:pPr>
            <w:r>
              <w:rPr/>
              <w:t> </w:t>
            </w:r>
          </w:p>
        </w:tc>
        <w:tc>
          <w:tcPr>
            <w:tcW w:w="10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$ 80,627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$ 87,459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pPr>
            <w:r>
              <w:rPr/>
              <w:t>6,825,483</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1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double" w:sz="6" w:space="1" w:color="000000"/>
              </w:pBdr>
              <w:bidi w:val="0"/>
              <w:spacing w:before="0" w:after="0"/>
              <w:jc w:val="left"/>
              <w:rPr/>
            </w:pPr>
            <w:r>
              <w:rPr/>
              <w:t> </w:t>
            </w:r>
          </w:p>
        </w:tc>
        <w:tc>
          <w:tcPr>
            <w:tcW w:w="163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double" w:sz="6" w:space="1" w:color="000000"/>
              </w:pBdr>
              <w:bidi w:val="0"/>
              <w:spacing w:before="0" w:after="0"/>
              <w:jc w:val="left"/>
              <w:rPr/>
            </w:pPr>
            <w:r>
              <w:rPr/>
              <w:t> </w:t>
            </w:r>
          </w:p>
        </w:tc>
        <w:tc>
          <w:tcPr>
            <w:tcW w:w="10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6"/>
        <w:gridCol w:w="120"/>
        <w:gridCol w:w="153"/>
        <w:gridCol w:w="814"/>
        <w:gridCol w:w="60"/>
        <w:gridCol w:w="120"/>
        <w:gridCol w:w="67"/>
        <w:gridCol w:w="1108"/>
        <w:gridCol w:w="60"/>
        <w:gridCol w:w="120"/>
        <w:gridCol w:w="99"/>
        <w:gridCol w:w="1631"/>
        <w:gridCol w:w="60"/>
        <w:gridCol w:w="120"/>
        <w:gridCol w:w="153"/>
        <w:gridCol w:w="812"/>
        <w:gridCol w:w="60"/>
        <w:gridCol w:w="120"/>
        <w:gridCol w:w="194"/>
        <w:gridCol w:w="1026"/>
        <w:gridCol w:w="60"/>
        <w:gridCol w:w="120"/>
        <w:gridCol w:w="92"/>
        <w:gridCol w:w="1503"/>
        <w:gridCol w:w="77"/>
      </w:tblGrid>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b/>
              </w:rPr>
              <w:t>Preferred</w:t>
            </w:r>
            <w:r>
              <w:rPr/>
              <w:br/>
            </w:r>
            <w:r>
              <w:rPr>
                <w:b/>
              </w:rPr>
              <w:t>Stock Issued</w:t>
              <w:br/>
              <w:t>and Outstanding</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4,118,120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 </w:t>
            </w:r>
            <w:r>
              <w:rPr/>
              <w:t>45,016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 </w:t>
            </w:r>
            <w:r>
              <w:rPr/>
              <w:t>54,308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4,118,120</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1,649,188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21,654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21,749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1,649,188</w:t>
            </w:r>
          </w:p>
        </w:tc>
        <w:tc>
          <w:tcPr>
            <w:tcW w:w="77" w:type="dxa"/>
            <w:tcBorders/>
            <w:vAlign w:val="center"/>
          </w:tcPr>
          <w:p>
            <w:pPr>
              <w:pStyle w:val="TableContents"/>
              <w:bidi w:val="0"/>
              <w:spacing w:before="0" w:after="283"/>
              <w:jc w:val="left"/>
              <w:rPr/>
            </w:pPr>
            <w:r>
              <w:rPr/>
              <w:t> </w:t>
            </w:r>
          </w:p>
        </w:tc>
      </w:tr>
      <w:tr>
        <w:trPr/>
        <w:tc>
          <w:tcPr>
            <w:tcW w:w="14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A-3 Preferred Stock</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696,516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9,187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696,516</w:t>
            </w:r>
          </w:p>
        </w:tc>
        <w:tc>
          <w:tcPr>
            <w:tcW w:w="77" w:type="dxa"/>
            <w:tcBorders/>
            <w:shd w:fill="CCEEFF" w:val="clear"/>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Series A-4 Preferred Stock</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814" w:type="dxa"/>
            <w:tcBorders/>
            <w:vAlign w:val="center"/>
          </w:tcPr>
          <w:p>
            <w:pPr>
              <w:pStyle w:val="TableContents"/>
              <w:bidi w:val="0"/>
              <w:spacing w:before="0" w:after="283"/>
              <w:jc w:val="right"/>
              <w:rPr/>
            </w:pPr>
            <w:r>
              <w:rPr/>
              <w:t> </w:t>
            </w:r>
            <w:r>
              <w:rPr/>
              <w:t>0.0001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pPr>
            <w:r>
              <w:rPr/>
              <w:t>4,770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361,659</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10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single" w:sz="2" w:space="1" w:color="000000"/>
              </w:pBdr>
              <w:bidi w:val="0"/>
              <w:spacing w:before="0" w:after="0"/>
              <w:jc w:val="left"/>
              <w:rPr/>
            </w:pPr>
            <w:r>
              <w:rPr/>
              <w:t> </w:t>
            </w:r>
          </w:p>
        </w:tc>
        <w:tc>
          <w:tcPr>
            <w:tcW w:w="163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single" w:sz="2" w:space="1" w:color="000000"/>
              </w:pBdr>
              <w:bidi w:val="0"/>
              <w:spacing w:before="0" w:after="0"/>
              <w:jc w:val="left"/>
              <w:rPr/>
            </w:pPr>
            <w:r>
              <w:rPr/>
              <w:t> </w:t>
            </w:r>
          </w:p>
        </w:tc>
        <w:tc>
          <w:tcPr>
            <w:tcW w:w="8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single" w:sz="2" w:space="1" w:color="000000"/>
              </w:pBdr>
              <w:bidi w:val="0"/>
              <w:spacing w:before="0" w:after="0"/>
              <w:jc w:val="left"/>
              <w:rPr/>
            </w:pPr>
            <w:r>
              <w:rPr/>
              <w:t> </w:t>
            </w:r>
          </w:p>
        </w:tc>
        <w:tc>
          <w:tcPr>
            <w:tcW w:w="10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single" w:sz="2" w:space="1" w:color="000000"/>
              </w:pBdr>
              <w:bidi w:val="0"/>
              <w:spacing w:before="0" w:after="0"/>
              <w:jc w:val="left"/>
              <w:rPr/>
            </w:pPr>
            <w:r>
              <w:rPr/>
              <w:t> </w:t>
            </w:r>
          </w:p>
        </w:tc>
        <w:tc>
          <w:tcPr>
            <w:tcW w:w="1503"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6,825,483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$ 80,627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$ 87,459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pPr>
            <w:r>
              <w:rPr/>
              <w:t>6,825,483</w:t>
            </w:r>
          </w:p>
        </w:tc>
        <w:tc>
          <w:tcPr>
            <w:tcW w:w="77" w:type="dxa"/>
            <w:tcBorders/>
            <w:vAlign w:val="center"/>
          </w:tcPr>
          <w:p>
            <w:pPr>
              <w:pStyle w:val="TableContents"/>
              <w:bidi w:val="0"/>
              <w:spacing w:before="0" w:after="283"/>
              <w:jc w:val="left"/>
              <w:rPr/>
            </w:pPr>
            <w:r>
              <w:rPr/>
              <w:t> </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10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pBdr>
                <w:top w:val="double" w:sz="6" w:space="1" w:color="000000"/>
              </w:pBdr>
              <w:bidi w:val="0"/>
              <w:spacing w:before="0" w:after="0"/>
              <w:jc w:val="left"/>
              <w:rPr/>
            </w:pPr>
            <w:r>
              <w:rPr/>
              <w:t> </w:t>
            </w:r>
          </w:p>
        </w:tc>
        <w:tc>
          <w:tcPr>
            <w:tcW w:w="163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pBdr>
                <w:top w:val="double" w:sz="6" w:space="1" w:color="000000"/>
              </w:pBdr>
              <w:bidi w:val="0"/>
              <w:spacing w:before="0" w:after="0"/>
              <w:jc w:val="left"/>
              <w:rPr/>
            </w:pPr>
            <w:r>
              <w:rPr/>
              <w:t> </w:t>
            </w:r>
          </w:p>
        </w:tc>
        <w:tc>
          <w:tcPr>
            <w:tcW w:w="8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double" w:sz="6" w:space="1" w:color="000000"/>
              </w:pBdr>
              <w:bidi w:val="0"/>
              <w:spacing w:before="0" w:after="0"/>
              <w:jc w:val="left"/>
              <w:rPr/>
            </w:pPr>
            <w:r>
              <w:rPr/>
              <w:t> </w:t>
            </w:r>
          </w:p>
        </w:tc>
        <w:tc>
          <w:tcPr>
            <w:tcW w:w="10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pBdr>
                <w:top w:val="double" w:sz="6" w:space="1" w:color="000000"/>
              </w:pBdr>
              <w:bidi w:val="0"/>
              <w:spacing w:before="0" w:after="0"/>
              <w:jc w:val="left"/>
              <w:rPr/>
            </w:pPr>
            <w:r>
              <w:rPr/>
              <w:t> </w:t>
            </w:r>
          </w:p>
        </w:tc>
        <w:tc>
          <w:tcPr>
            <w:tcW w:w="1503"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issuance of each series of the Preferred Stock, the Company assessed the embedded conversion and liquidation features of the issued Preferred Stock and determined that such features did not require the Company to separately account for these features.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7, 2022, the Company issued 2,446,372 shares of Series A-1 Preferred Stock and 437,282 shares of Series A-2 Preferred Stock at a price of $13.1876 per share, for aggregate gross proceeds of $38.0 million and incurred $11,966 of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have the following rights and privileges: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the year ended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shares of the Preferred Stock shall automatically convert into shares of common stock, at the conversion price upon either (a) 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 </w:t>
      </w:r>
    </w:p>
    <w:p>
      <w:pPr>
        <w:pStyle w:val="TextBody"/>
        <w:bidi w:val="0"/>
        <w:spacing w:before="120" w:after="0"/>
        <w:jc w:val="left"/>
        <w:rPr>
          <w:rFonts w:ascii="Times New Roman" w:hAnsi="Times New Roman"/>
          <w:sz w:val="20"/>
        </w:rPr>
      </w:pPr>
      <w:r>
        <w:rPr>
          <w:rFonts w:ascii="Times New Roman" w:hAnsi="Times New Roman"/>
          <w:sz w:val="20"/>
        </w:rPr>
        <w:t xml:space="preserve">Additionally, shares of Series A-1 Preferred Stock and A-2 Preferred Stock held by stockholders that did not exercise their tranche rights as part of the September 7, 2022 second tranche closing of the Preferred Stock financing were automatically converted into shares of common stock at the conversion price in effect immediately prior to this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283"/>
              <w:jc w:val="left"/>
              <w:rPr>
                <w:b/>
              </w:rPr>
            </w:pPr>
            <w:r>
              <w:rPr>
                <w:b/>
              </w:rPr>
              <w:t>9.</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Company’s ARCOI authorized the Company to issue up to 11,947,558 shares of $0.0001 par value common stock, of which, 2,634,246 shares were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included in issued and outstanding common stock shares of restricted common stock granted by the Company. As of December 31, 2023, there were 2,634,246 common shares issued and outstanding, of which 2,598,752 relate to shares of unrestricted common stock.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335"/>
        <w:gridCol w:w="3095"/>
      </w:tblGrid>
      <w:tr>
        <w:trPr/>
        <w:tc>
          <w:tcPr>
            <w:tcW w:w="335" w:type="dxa"/>
            <w:tcBorders/>
            <w:vAlign w:val="center"/>
          </w:tcPr>
          <w:p>
            <w:pPr>
              <w:pStyle w:val="TableContents"/>
              <w:bidi w:val="0"/>
              <w:spacing w:before="0" w:after="283"/>
              <w:jc w:val="left"/>
              <w:rPr>
                <w:b/>
              </w:rPr>
            </w:pPr>
            <w:r>
              <w:rPr>
                <w:b/>
              </w:rPr>
              <w:t>10.</w:t>
            </w:r>
          </w:p>
        </w:tc>
        <w:tc>
          <w:tcPr>
            <w:tcW w:w="3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activity in the 2019 Plan for the year ended December 31, 2023 is as follows (in thousands except share and per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75"/>
        <w:gridCol w:w="60"/>
        <w:gridCol w:w="62"/>
        <w:gridCol w:w="1026"/>
        <w:gridCol w:w="155"/>
        <w:gridCol w:w="60"/>
        <w:gridCol w:w="432"/>
        <w:gridCol w:w="1358"/>
        <w:gridCol w:w="60"/>
        <w:gridCol w:w="60"/>
        <w:gridCol w:w="303"/>
        <w:gridCol w:w="1622"/>
        <w:gridCol w:w="60"/>
        <w:gridCol w:w="60"/>
        <w:gridCol w:w="307"/>
        <w:gridCol w:w="1228"/>
        <w:gridCol w:w="77"/>
      </w:tblGrid>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 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7"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1,556,819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420</w:t>
            </w:r>
          </w:p>
        </w:tc>
        <w:tc>
          <w:tcPr>
            <w:tcW w:w="77"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441,615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(108,475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sz w:val="4"/>
                <w:szCs w:val="4"/>
              </w:rPr>
            </w:pPr>
            <w:r>
              <w:rPr>
                <w:sz w:val="4"/>
                <w:szCs w:val="4"/>
              </w:rPr>
            </w:r>
          </w:p>
        </w:tc>
        <w:tc>
          <w:tcPr>
            <w:tcW w:w="162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172</w:t>
            </w:r>
          </w:p>
        </w:tc>
        <w:tc>
          <w:tcPr>
            <w:tcW w:w="77"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 and expired</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(14,027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single" w:sz="2" w:space="1" w:color="000000"/>
              </w:pBdr>
              <w:bidi w:val="0"/>
              <w:spacing w:before="0" w:after="0"/>
              <w:jc w:val="left"/>
              <w:rPr/>
            </w:pPr>
            <w:r>
              <w:rPr/>
              <w:t> </w:t>
            </w:r>
          </w:p>
        </w:tc>
        <w:tc>
          <w:tcPr>
            <w:tcW w:w="10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1,875,932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2,276</w:t>
            </w:r>
          </w:p>
        </w:tc>
        <w:tc>
          <w:tcPr>
            <w:tcW w:w="77"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double" w:sz="6" w:space="1" w:color="000000"/>
              </w:pBdr>
              <w:bidi w:val="0"/>
              <w:spacing w:before="0" w:after="0"/>
              <w:jc w:val="left"/>
              <w:rPr/>
            </w:pPr>
            <w:r>
              <w:rPr/>
              <w:t> </w:t>
            </w:r>
          </w:p>
        </w:tc>
        <w:tc>
          <w:tcPr>
            <w:tcW w:w="102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December 31, 2023</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972,054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w:t>
            </w:r>
          </w:p>
        </w:tc>
        <w:tc>
          <w:tcPr>
            <w:tcW w:w="1358" w:type="dxa"/>
            <w:tcBorders/>
            <w:vAlign w:val="center"/>
          </w:tcPr>
          <w:p>
            <w:pPr>
              <w:pStyle w:val="TableContents"/>
              <w:bidi w:val="0"/>
              <w:spacing w:before="0" w:after="283"/>
              <w:jc w:val="right"/>
              <w:rPr/>
            </w:pPr>
            <w:r>
              <w:rPr/>
              <w:t>1.30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1,525</w:t>
            </w:r>
          </w:p>
        </w:tc>
        <w:tc>
          <w:tcPr>
            <w:tcW w:w="77"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December 31,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1,875,932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2,276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weighted-average grant-date fair value of options granted during the years ended December 31, 2023 and 2022 was $2.16 and $1.57 per share, respectively. The total intrinsic value of options exercised during the years ended December 31, 2023 and 2022 was $171,915 and $1,458, respectively. </w:t>
      </w:r>
    </w:p>
    <w:p>
      <w:pPr>
        <w:pStyle w:val="TextBody"/>
        <w:bidi w:val="0"/>
        <w:spacing w:before="120" w:after="0"/>
        <w:jc w:val="left"/>
        <w:rPr>
          <w:rFonts w:ascii="Times New Roman" w:hAnsi="Times New Roman"/>
          <w:sz w:val="20"/>
        </w:rPr>
      </w:pPr>
      <w:r>
        <w:rPr>
          <w:rFonts w:ascii="Times New Roman" w:hAnsi="Times New Roman"/>
          <w:sz w:val="20"/>
        </w:rPr>
        <w:t xml:space="preserve">Cash received from option exercises for the years ended December 31, 2023 and 2022 was $111,770 and $4,105,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options granted were estimated based on the BSM option pricing model, using the following assumptions: </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995"/>
        <w:gridCol w:w="120"/>
        <w:gridCol w:w="1595"/>
        <w:gridCol w:w="60"/>
        <w:gridCol w:w="1490"/>
      </w:tblGrid>
      <w:tr>
        <w:trPr/>
        <w:tc>
          <w:tcPr>
            <w:tcW w:w="3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r>
      <w:tr>
        <w:trPr/>
        <w:tc>
          <w:tcPr>
            <w:tcW w:w="3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per share of underlying common stock</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$2.16</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$1.57</w:t>
            </w:r>
          </w:p>
        </w:tc>
      </w:tr>
      <w:tr>
        <w:trPr/>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12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6.01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6.02</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93.44 - 111.21%</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87.02 - 91.24%</w:t>
            </w:r>
          </w:p>
        </w:tc>
      </w:tr>
      <w:tr>
        <w:trPr/>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4.14%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3.01%</w:t>
            </w:r>
          </w:p>
        </w:tc>
      </w:tr>
      <w:tr>
        <w:trPr/>
        <w:tc>
          <w:tcPr>
            <w:tcW w:w="3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0%</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Common Stock </w:t>
      </w:r>
    </w:p>
    <w:p>
      <w:pPr>
        <w:pStyle w:val="TextBody"/>
        <w:bidi w:val="0"/>
        <w:spacing w:before="120" w:after="0"/>
        <w:jc w:val="left"/>
        <w:rPr>
          <w:rFonts w:ascii="Times New Roman" w:hAnsi="Times New Roman"/>
          <w:sz w:val="20"/>
        </w:rPr>
      </w:pPr>
      <w:r>
        <w:rPr>
          <w:rFonts w:ascii="Times New Roman" w:hAnsi="Times New Roman"/>
          <w:sz w:val="20"/>
        </w:rPr>
        <w:t xml:space="preserve">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December 31, 2023, there were 35,494 unvested restricted common stock, with a repurchase liability of less than $0.1 million, that is classified in accrued expenses and other current liabilities in the accompanying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restricted stock activity: </w:t>
      </w:r>
    </w:p>
    <w:p>
      <w:pPr>
        <w:pStyle w:val="TextBody"/>
        <w:bidi w:val="0"/>
        <w:spacing w:before="0" w:after="0"/>
        <w:jc w:val="left"/>
        <w:rPr/>
      </w:pPr>
      <w:r>
        <w:rPr/>
        <w:t> </w:t>
      </w:r>
    </w:p>
    <w:tbl>
      <w:tblPr>
        <w:tblW w:w="5355" w:type="dxa"/>
        <w:jc w:val="left"/>
        <w:tblInd w:w="0" w:type="dxa"/>
        <w:tblLayout w:type="fixed"/>
        <w:tblCellMar>
          <w:top w:w="0" w:type="dxa"/>
          <w:left w:w="0" w:type="dxa"/>
          <w:bottom w:w="0" w:type="dxa"/>
          <w:right w:w="0" w:type="dxa"/>
        </w:tblCellMar>
      </w:tblPr>
      <w:tblGrid>
        <w:gridCol w:w="3245"/>
        <w:gridCol w:w="60"/>
        <w:gridCol w:w="120"/>
        <w:gridCol w:w="1760"/>
        <w:gridCol w:w="170"/>
      </w:tblGrid>
      <w:tr>
        <w:trPr/>
        <w:tc>
          <w:tcPr>
            <w:tcW w:w="3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w:t>
              <w:br/>
              <w:t>January 1,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312,826</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(277,332</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single" w:sz="2" w:space="1" w:color="000000"/>
              </w:pBdr>
              <w:bidi w:val="0"/>
              <w:spacing w:before="0" w:after="0"/>
              <w:jc w:val="left"/>
              <w:rPr/>
            </w:pPr>
            <w:r>
              <w:rPr/>
              <w:t> </w:t>
            </w:r>
          </w:p>
        </w:tc>
        <w:tc>
          <w:tcPr>
            <w:tcW w:w="176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 as of</w:t>
              <w:br/>
              <w:t>December 31, 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35,494</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double" w:sz="6" w:space="1" w:color="000000"/>
              </w:pBdr>
              <w:bidi w:val="0"/>
              <w:spacing w:before="0" w:after="0"/>
              <w:jc w:val="left"/>
              <w:rPr/>
            </w:pPr>
            <w:r>
              <w:rPr/>
              <w:t> </w:t>
            </w:r>
          </w:p>
        </w:tc>
        <w:tc>
          <w:tcPr>
            <w:tcW w:w="176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of unvested restricted common stock and restricted common stock vested and forfeited for the years ended December 31, 2023 and 2022 was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regarding its employees and nonemployees as follows (in thousands):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225"/>
        <w:gridCol w:w="120"/>
        <w:gridCol w:w="140"/>
        <w:gridCol w:w="560"/>
        <w:gridCol w:w="60"/>
        <w:gridCol w:w="120"/>
        <w:gridCol w:w="140"/>
        <w:gridCol w:w="56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738</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1,119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compensation expense on a straight-line basis over the vesting period. As of December 31, 2023, total compensation cost not yet recognized related to unvested stock options was $2.4 million, which is expected to be recognized over a weighted-average period of 2.6 years.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b/>
              </w:rPr>
            </w:pPr>
            <w:r>
              <w:rPr>
                <w:b/>
              </w:rPr>
              <w:t>11.</w:t>
            </w:r>
          </w:p>
        </w:tc>
        <w:tc>
          <w:tcPr>
            <w:tcW w:w="1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consists of the following (in thousands): </w:t>
      </w:r>
    </w:p>
    <w:p>
      <w:pPr>
        <w:pStyle w:val="TextBody"/>
        <w:bidi w:val="0"/>
        <w:spacing w:before="0" w:after="0"/>
        <w:jc w:val="left"/>
        <w:rPr/>
      </w:pPr>
      <w:r>
        <w:rPr/>
        <w:t> </w:t>
      </w:r>
    </w:p>
    <w:tbl>
      <w:tblPr>
        <w:tblW w:w="5165" w:type="dxa"/>
        <w:jc w:val="left"/>
        <w:tblInd w:w="0" w:type="dxa"/>
        <w:tblLayout w:type="fixed"/>
        <w:tblCellMar>
          <w:top w:w="0" w:type="dxa"/>
          <w:left w:w="0" w:type="dxa"/>
          <w:bottom w:w="0" w:type="dxa"/>
          <w:right w:w="0" w:type="dxa"/>
        </w:tblCellMar>
      </w:tblPr>
      <w:tblGrid>
        <w:gridCol w:w="2930"/>
        <w:gridCol w:w="120"/>
        <w:gridCol w:w="140"/>
        <w:gridCol w:w="755"/>
        <w:gridCol w:w="155"/>
        <w:gridCol w:w="120"/>
        <w:gridCol w:w="140"/>
        <w:gridCol w:w="635"/>
        <w:gridCol w:w="17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11,207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7,407</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2,189</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14,568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9,596</w:t>
            </w:r>
          </w:p>
        </w:tc>
        <w:tc>
          <w:tcPr>
            <w:tcW w:w="17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change in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(9,596</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3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income tax expense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3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Company’s loss before income tax expense are compromised solely of domestic sources. The reconciliation of the federal statutory income tax rate to the Company’s effective income tax rate is as follows: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3695"/>
        <w:gridCol w:w="120"/>
        <w:gridCol w:w="60"/>
        <w:gridCol w:w="515"/>
        <w:gridCol w:w="275"/>
        <w:gridCol w:w="60"/>
        <w:gridCol w:w="60"/>
        <w:gridCol w:w="515"/>
        <w:gridCol w:w="290"/>
      </w:tblGrid>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29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statutory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6.8</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rate differential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-0.3</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liability fair value adjustment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0.4</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2.5</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-29.8</w:t>
            </w:r>
          </w:p>
        </w:tc>
        <w:tc>
          <w:tcPr>
            <w:tcW w:w="29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1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1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15"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1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deferred tax assets and liabilities consist of the following (in thousands): </w:t>
      </w:r>
    </w:p>
    <w:p>
      <w:pPr>
        <w:pStyle w:val="TextBody"/>
        <w:bidi w:val="0"/>
        <w:spacing w:before="0" w:after="0"/>
        <w:jc w:val="left"/>
        <w:rPr/>
      </w:pPr>
      <w:r>
        <w:rPr/>
        <w:t> </w:t>
      </w:r>
    </w:p>
    <w:tbl>
      <w:tblPr>
        <w:tblW w:w="5015" w:type="dxa"/>
        <w:jc w:val="left"/>
        <w:tblInd w:w="0" w:type="dxa"/>
        <w:tblLayout w:type="fixed"/>
        <w:tblCellMar>
          <w:top w:w="0" w:type="dxa"/>
          <w:left w:w="0" w:type="dxa"/>
          <w:bottom w:w="0" w:type="dxa"/>
          <w:right w:w="0" w:type="dxa"/>
        </w:tblCellMar>
      </w:tblPr>
      <w:tblGrid>
        <w:gridCol w:w="2660"/>
        <w:gridCol w:w="120"/>
        <w:gridCol w:w="140"/>
        <w:gridCol w:w="755"/>
        <w:gridCol w:w="155"/>
        <w:gridCol w:w="120"/>
        <w:gridCol w:w="140"/>
        <w:gridCol w:w="755"/>
        <w:gridCol w:w="17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11,392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7,765</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1,579</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1,575</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R&amp;D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7,027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 &amp; 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859</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18,805</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(30,228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(15,658</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3,147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(1,530</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(1,617</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(3,147</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Future realization of the tax benefits of existing temporary differences and net operating loss (“NOL”) carryforwards ultimately depends on the existence of sufficient taxable income within the carryforward period. As of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utilization of NOLs and tax credit carryforwards to offset future taxable income may be subject to an annual limitation as a result of ownership changes that have occurred previously or may occur in the future. Under Sections 382 and 383 of the Internal Revenue Code (“IRC”) of 1986, as amended, a corporation that undergoes an ownership change may be subject to limitations on its ability to utilize its pre-change NOLs and other tax attributes otherwise available to offset future taxable income and/or tax liability. An ownership change is defined as a cumulative change of 50% or more in the ownership positions of certain stockholders during a rolling three-year period. The Company has not completed a formal study to determine if any ownership changes within the meaning of the IRC Section 382 and 383 have occurred as of December 31, 2023 and 2022. An ownership change would restrict its ability to use its NOLs or tax credit carryforwards and could require the Company to pay federal or state income taxes earlier than would be required if such limitations were not in effect. </w:t>
      </w:r>
    </w:p>
    <w:p>
      <w:pPr>
        <w:pStyle w:val="TextBody"/>
        <w:bidi w:val="0"/>
        <w:spacing w:before="120" w:after="0"/>
        <w:jc w:val="left"/>
        <w:rPr>
          <w:rFonts w:ascii="Times New Roman" w:hAnsi="Times New Roman"/>
          <w:sz w:val="20"/>
        </w:rPr>
      </w:pPr>
      <w:r>
        <w:rPr>
          <w:rFonts w:ascii="Times New Roman" w:hAnsi="Times New Roman"/>
          <w:sz w:val="20"/>
        </w:rPr>
        <w:t xml:space="preserve">The Company’s valuation allowance increased for the year ended December 31, 2023 by $14.6 million due primarily to the generation of NOLs. As of December 31, 2023, the Company has NOL carryforwards for federal and state tax reporting purposes of $43.6 million and $35.3 million, respectively. NOL carryforwards generated after December 31, 2017 for federal tax reporting purposes of $43.6 million have an indefinite life. NOL carryforwards for state purposes of $35.3 million begin to expire in 2039. As of December 31, 2023, the Company also has federal and state research and development tax credits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$2.9 million and $1.9 million, which being to expire in 2039 and 2034, respectively. The Tax Cuts and Jobs Act resulted in significant changes to the treatment of research and developmental expenses under Section 174. For tax years beginning after December 31, 2021, taxpayers are required to capitalize and amortize all research and development expenses that are paid or incurred in connection with their trade or business. Specifically, costs for U.S. based research and development activities must be amortized over five years and costs for foreign research and development activities must be amortized over 15 years using a midyear convention. During the year ended December 31, 2023, the Company capitalized $36.2 million of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uncertain tax positions under ASC 740-10,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Accrued interest and penalties are included on the related tax liability line in the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the year ended December 31, 2020 for both federal and state. However, to the extent the Company utilizes NOLs from years ending prior to 2020, the statute remains open to the extent of the NOLs or other credits are utilized.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335"/>
        <w:gridCol w:w="2165"/>
      </w:tblGrid>
      <w:tr>
        <w:trPr/>
        <w:tc>
          <w:tcPr>
            <w:tcW w:w="335" w:type="dxa"/>
            <w:tcBorders/>
            <w:vAlign w:val="center"/>
          </w:tcPr>
          <w:p>
            <w:pPr>
              <w:pStyle w:val="TableContents"/>
              <w:bidi w:val="0"/>
              <w:spacing w:before="0" w:after="283"/>
              <w:jc w:val="left"/>
              <w:rPr>
                <w:b/>
              </w:rPr>
            </w:pPr>
            <w:r>
              <w:rPr>
                <w:b/>
              </w:rPr>
              <w:t>12.</w:t>
            </w:r>
          </w:p>
        </w:tc>
        <w:tc>
          <w:tcPr>
            <w:tcW w:w="2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8765" w:type="dxa"/>
        <w:jc w:val="left"/>
        <w:tblInd w:w="0" w:type="dxa"/>
        <w:tblLayout w:type="fixed"/>
        <w:tblCellMar>
          <w:top w:w="0" w:type="dxa"/>
          <w:left w:w="0" w:type="dxa"/>
          <w:bottom w:w="0" w:type="dxa"/>
          <w:right w:w="0" w:type="dxa"/>
        </w:tblCellMar>
      </w:tblPr>
      <w:tblGrid>
        <w:gridCol w:w="5960"/>
        <w:gridCol w:w="120"/>
        <w:gridCol w:w="140"/>
        <w:gridCol w:w="980"/>
        <w:gridCol w:w="155"/>
        <w:gridCol w:w="120"/>
        <w:gridCol w:w="140"/>
        <w:gridCol w:w="980"/>
        <w:gridCol w:w="170"/>
      </w:tblGrid>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(42,823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(32,180</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2,373,674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1,969,418</w:t>
            </w:r>
          </w:p>
        </w:tc>
        <w:tc>
          <w:tcPr>
            <w:tcW w:w="170" w:type="dxa"/>
            <w:tcBorders/>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(16.34</w:t>
            </w:r>
          </w:p>
        </w:tc>
        <w:tc>
          <w:tcPr>
            <w:tcW w:w="17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years ended December 31, 2023 and 2022, the Company excluded the following potential common shares from the computation of diluted net loss per share attributable to common stockholders for the period because including them would have had an anti-dilutive effect: </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4880"/>
        <w:gridCol w:w="120"/>
        <w:gridCol w:w="60"/>
        <w:gridCol w:w="1100"/>
        <w:gridCol w:w="60"/>
        <w:gridCol w:w="120"/>
        <w:gridCol w:w="60"/>
        <w:gridCol w:w="980"/>
        <w:gridCol w:w="75"/>
      </w:tblGrid>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6,825,483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6,825,483</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1,875,932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1,556,819</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restricted common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312,826</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SAFEs (as converted to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2,842,954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11,579,863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8,695,128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283"/>
              <w:jc w:val="left"/>
              <w:rPr>
                <w:b/>
              </w:rPr>
            </w:pPr>
            <w:r>
              <w:rPr>
                <w:b/>
              </w:rPr>
              <w:t>13.</w:t>
            </w:r>
          </w:p>
        </w:tc>
        <w:tc>
          <w:tcPr>
            <w:tcW w:w="32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Scientific Advisory Board Member </w:t>
      </w:r>
    </w:p>
    <w:p>
      <w:pPr>
        <w:pStyle w:val="TextBody"/>
        <w:bidi w:val="0"/>
        <w:spacing w:before="120" w:after="0"/>
        <w:jc w:val="left"/>
        <w:rPr>
          <w:rFonts w:ascii="Times New Roman" w:hAnsi="Times New Roman"/>
          <w:sz w:val="20"/>
        </w:rPr>
      </w:pPr>
      <w:r>
        <w:rPr>
          <w:rFonts w:ascii="Times New Roman" w:hAnsi="Times New Roman"/>
          <w:sz w:val="20"/>
        </w:rPr>
        <w:t xml:space="preserve">One of the Company’s co-founders is a member of the Company’s Scientific Advisory Board (“SAB”) and meets the criteria of a related party. For each of the years ended December 31, 2023 and 2022, the Company paid the SAB member fees in the amount of $0.1 million for advisory services provided. There were no amounts due to or from this related party as of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Harvard College (“Harvard”) meets the criteria of a related party resulting from the Company’s co-founders’ employment as professors in the Harvard Department of Molecular Pharmacology. Additionally, both co-founders are members of the Board and one co-founder is a major shareholder in the Company. Core intellectual property utilized by the Company is licensed from Harvard in exchange for license fees, future milestones and royalties, and equity in the Company in the form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and 2022, the Company paid Harvard $0.2 and $0.1 million in cash considerations, respectively (see Note 6). Accounts payable to Harvard amounted to less than $0.1 million and zero as of December 31,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 sublease agreement with a company controlled by the Company’s co-founders. The sublease agreement was terminated in July 2022. For the years ended December 31, 2023 and 2022, the Company received cash considerations and recorded sublease income in the amount of zero and $0.3 million, respectively (see Note 7). There were no amounts due to or from this related party as of December 31, 2023 or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September 7, 2022, the Company issued 2,237,846 shares of Series A-1 Preferred Stock and 437,282 shares of Series A-2 Preferred Stock to related parties (see Note 8). These related parties include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key members of management, members of the Board, and certain of the Chief Executive Officer’s family members.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Agreements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the Company entered into multiple SAFE agreements with certain existing investors and received $34.1 million representing the purchase amount. All investors are considered related parties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SAFE agreements issued in October 2023, a 10% discount will be applied to the per share issuance price in the equity financing in determining the number of shares of Company preferred stock issued to the investors upon redemption. </w:t>
      </w:r>
    </w:p>
    <w:p>
      <w:pPr>
        <w:pStyle w:val="TextBody"/>
        <w:bidi w:val="0"/>
        <w:spacing w:before="120" w:after="0"/>
        <w:jc w:val="left"/>
        <w:rPr>
          <w:rFonts w:ascii="Times New Roman" w:hAnsi="Times New Roman"/>
          <w:sz w:val="20"/>
        </w:rPr>
      </w:pPr>
      <w:r>
        <w:rPr>
          <w:rFonts w:ascii="Times New Roman" w:hAnsi="Times New Roman"/>
          <w:sz w:val="20"/>
        </w:rPr>
        <w:t xml:space="preserve">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 </w:t>
      </w:r>
    </w:p>
    <w:p>
      <w:pPr>
        <w:pStyle w:val="TextBody"/>
        <w:bidi w:val="0"/>
        <w:spacing w:before="120" w:after="0"/>
        <w:jc w:val="left"/>
        <w:rPr>
          <w:rFonts w:ascii="Times New Roman" w:hAnsi="Times New Roman"/>
          <w:sz w:val="20"/>
        </w:rPr>
      </w:pPr>
      <w:r>
        <w:rPr>
          <w:rFonts w:ascii="Times New Roman" w:hAnsi="Times New Roman"/>
          <w:sz w:val="20"/>
        </w:rPr>
        <w:t xml:space="preserve">The SAFEs are not in the legal form of an outstanding share or debt and therefore were evaluated under ASC 480, </w:t>
      </w:r>
      <w:r>
        <w:rPr>
          <w:rFonts w:ascii="Times New Roman" w:hAnsi="Times New Roman"/>
          <w:i/>
          <w:sz w:val="20"/>
        </w:rPr>
        <w:t xml:space="preserve">Distinguishing Liabilities from Equity </w:t>
      </w:r>
      <w:r>
        <w:rPr>
          <w:rFonts w:ascii="Times New Roman" w:hAnsi="Times New Roman"/>
          <w:sz w:val="20"/>
        </w:rPr>
        <w:t xml:space="preserve">(“ASC 480”). Because the SAFEs allow for redemption based upon certain triggering events that are outside the Company’s control, 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$30.5 million is recorded in the consolidated statement of operations and comprehensive loss. </w:t>
      </w:r>
    </w:p>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335"/>
        <w:gridCol w:w="2210"/>
      </w:tblGrid>
      <w:tr>
        <w:trPr/>
        <w:tc>
          <w:tcPr>
            <w:tcW w:w="335" w:type="dxa"/>
            <w:tcBorders/>
            <w:vAlign w:val="center"/>
          </w:tcPr>
          <w:p>
            <w:pPr>
              <w:pStyle w:val="TableContents"/>
              <w:bidi w:val="0"/>
              <w:spacing w:before="0" w:after="283"/>
              <w:jc w:val="left"/>
              <w:rPr>
                <w:b/>
              </w:rPr>
            </w:pPr>
            <w:r>
              <w:rPr>
                <w:b/>
              </w:rPr>
              <w:t>14.</w:t>
            </w:r>
          </w:p>
        </w:tc>
        <w:tc>
          <w:tcPr>
            <w:tcW w:w="2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March 25, 2024, which is the date the consolidated financial statements were available to be issued and April 12, 2024, which is the date the consolidated financial statements were available to be re-issued, to ensure that these consolidated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include appropriate disclosure of events both recognized in the consolidated financial statements and events which occurred but were not recognized in the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Proposed 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1, on January 30, 2024, the Company entered into an Agreement and Plan of Merger and Reorganization (the “Merger Agreement”) with AVROBIO, pursuant to which the subsidiaries of AVROBIO will merge with and into the Company, with the Company continuing as a wholly owned subsidiary of the surviving corporation of the merger (the “Merger”). The Merger is expected to be accounted for as a reverse recapitalization in accordance with GAAP, with AVROBIO treated as the acquired company for financial reporting purposes, and the Company treated as the accounting acquirer.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Merger Agreement, certain parties will enter into certain subscription agreements (the “Subscription Agreements”) with the Company to purchase, prior to the consummation of the merger, approximately 7,790,903 shares of the Company’s common stock for an aggregate purchase price of approximately $96.6 million. Shares of the Company’s common stock issued pursuant to the Subscription Agreements will be converted into shares of AVROBIO common stock at the closing of the merger based on an exchange ratio,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198" w:name="toc770053_201"/>
      <w:bookmarkEnd w:id="198"/>
      <w:r>
        <w:rPr>
          <w:rFonts w:ascii="Times New Roman" w:hAnsi="Times New Roman"/>
          <w:b/>
          <w:sz w:val="20"/>
        </w:rPr>
        <w:t xml:space="preserve">Annex A </w:t>
      </w:r>
    </w:p>
    <w:p>
      <w:pPr>
        <w:pStyle w:val="TextBody"/>
        <w:bidi w:val="0"/>
        <w:spacing w:before="0" w:after="0"/>
        <w:jc w:val="left"/>
        <w:rPr/>
      </w:pPr>
      <w:r>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480" w:after="0"/>
        <w:jc w:val="center"/>
        <w:rPr>
          <w:rFonts w:ascii="Times New Roman" w:hAnsi="Times New Roman"/>
          <w:sz w:val="20"/>
        </w:rPr>
      </w:pPr>
      <w:r>
        <w:rPr>
          <w:rFonts w:ascii="Times New Roman" w:hAnsi="Times New Roman"/>
          <w:sz w:val="20"/>
        </w:rPr>
        <w:t xml:space="preserve">among: </w:t>
      </w:r>
    </w:p>
    <w:p>
      <w:pPr>
        <w:pStyle w:val="TextBody"/>
        <w:bidi w:val="0"/>
        <w:spacing w:before="480" w:after="0"/>
        <w:jc w:val="center"/>
        <w:rPr>
          <w:rFonts w:ascii="Times New Roman" w:hAnsi="Times New Roman"/>
          <w:sz w:val="20"/>
        </w:rPr>
      </w:pPr>
      <w:r>
        <w:rPr>
          <w:rFonts w:ascii="Times New Roman" w:hAnsi="Times New Roman"/>
          <w:b/>
          <w:sz w:val="20"/>
        </w:rPr>
        <w:t>AVROBIO, INC.</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sz w:val="20"/>
        </w:rPr>
        <w:t>ALPINE MERGER SUBSIDIARY, INC.</w:t>
      </w:r>
      <w:r>
        <w:rPr>
          <w:rFonts w:ascii="Times New Roman" w:hAnsi="Times New Roman"/>
          <w:sz w:val="20"/>
        </w:rPr>
        <w:t xml:space="preserve">; and </w:t>
      </w:r>
    </w:p>
    <w:p>
      <w:pPr>
        <w:pStyle w:val="TextBody"/>
        <w:bidi w:val="0"/>
        <w:spacing w:before="48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480" w:after="0"/>
        <w:jc w:val="center"/>
        <w:rPr>
          <w:rFonts w:ascii="Times New Roman" w:hAnsi="Times New Roman"/>
          <w:sz w:val="20"/>
        </w:rPr>
      </w:pPr>
      <w:r>
        <w:rPr>
          <w:rFonts w:ascii="Times New Roman" w:hAnsi="Times New Roman"/>
          <w:sz w:val="20"/>
        </w:rPr>
        <w:t xml:space="preserve">Dated as of January 30, 2024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12" w:space="1" w:color="000000"/>
        </w:pBdr>
        <w:bidi w:val="0"/>
        <w:spacing w:lineRule="atLeast" w:line="142" w:before="0" w:after="4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6894" w:type="dxa"/>
        <w:jc w:val="left"/>
        <w:tblInd w:w="0" w:type="dxa"/>
        <w:tblLayout w:type="fixed"/>
        <w:tblCellMar>
          <w:top w:w="0" w:type="dxa"/>
          <w:left w:w="0" w:type="dxa"/>
          <w:bottom w:w="0" w:type="dxa"/>
          <w:right w:w="0" w:type="dxa"/>
        </w:tblCellMar>
      </w:tblPr>
      <w:tblGrid>
        <w:gridCol w:w="493"/>
        <w:gridCol w:w="130"/>
        <w:gridCol w:w="5501"/>
        <w:gridCol w:w="120"/>
        <w:gridCol w:w="60"/>
        <w:gridCol w:w="515"/>
        <w:gridCol w:w="75"/>
      </w:tblGrid>
      <w:tr>
        <w:trPr/>
        <w:tc>
          <w:tcPr>
            <w:tcW w:w="4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5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283"/>
              <w:jc w:val="left"/>
              <w:rPr/>
            </w:pPr>
            <w:hyperlink w:anchor="annxa770053_1">
              <w:r>
                <w:rPr>
                  <w:rStyle w:val="InternetLink"/>
                  <w:b/>
                </w:rPr>
                <w:t xml:space="preserve">Section 1. Definitions and Interpretative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A-3</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1.1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
              <w:r>
                <w:rPr>
                  <w:rStyle w:val="InternetLink"/>
                </w:rPr>
                <w:t>Definitions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1.2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
              <w:r>
                <w:rPr>
                  <w:rStyle w:val="InternetLink"/>
                </w:rPr>
                <w:t>Other Definitional and Interpretative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283"/>
              <w:jc w:val="left"/>
              <w:rPr/>
            </w:pPr>
            <w:hyperlink w:anchor="annxa770053_4">
              <w:r>
                <w:rPr>
                  <w:rStyle w:val="InternetLink"/>
                  <w:b/>
                </w:rPr>
                <w:t xml:space="preserve">Section 2. Description of Transaction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5">
              <w:r>
                <w:rPr>
                  <w:rStyle w:val="InternetLink"/>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6">
              <w:r>
                <w:rPr>
                  <w:rStyle w:val="InternetLink"/>
                </w:rPr>
                <w:t>Effects of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7">
              <w:r>
                <w:rPr>
                  <w:rStyle w:val="InternetLink"/>
                </w:rPr>
                <w:t>Closing; Effective Time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2.4</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8">
              <w:r>
                <w:rPr>
                  <w:rStyle w:val="InternetLink"/>
                </w:rPr>
                <w:t>Organizational Documents; Directors and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2.5</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9">
              <w:r>
                <w:rPr>
                  <w:rStyle w:val="InternetLink"/>
                </w:rPr>
                <w:t>Conversion of Company Equity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A-20</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2.6</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0">
              <w:r>
                <w:rPr>
                  <w:rStyle w:val="InternetLink"/>
                </w:rPr>
                <w:t>Contingent Value Right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2.7</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1">
              <w:r>
                <w:rPr>
                  <w:rStyle w:val="InternetLink"/>
                </w:rPr>
                <w:t>Closing of the Company’s Transfer Books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2.8</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2">
              <w:r>
                <w:rPr>
                  <w:rStyle w:val="InternetLink"/>
                </w:rPr>
                <w:t>Surrender of Company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2.9</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3">
              <w:r>
                <w:rPr>
                  <w:rStyle w:val="InternetLink"/>
                </w:rPr>
                <w:t>Calculation of Net Cash and Company Equity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2.10</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4">
              <w:r>
                <w:rPr>
                  <w:rStyle w:val="InternetLink"/>
                </w:rPr>
                <w:t>Further Action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5">
              <w:r>
                <w:rPr>
                  <w:rStyle w:val="InternetLink"/>
                </w:rPr>
                <w:t>Intended Tax Treatment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6">
              <w:r>
                <w:rPr>
                  <w:rStyle w:val="InternetLink"/>
                </w:rPr>
                <w:t>Withholding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2.13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7">
              <w:r>
                <w:rPr>
                  <w:rStyle w:val="InternetLink"/>
                </w:rPr>
                <w:t>Appraisal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6124"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124" w:type="dxa"/>
            <w:gridSpan w:val="3"/>
            <w:tcBorders/>
            <w:vAlign w:val="center"/>
          </w:tcPr>
          <w:p>
            <w:pPr>
              <w:pStyle w:val="TableContents"/>
              <w:bidi w:val="0"/>
              <w:spacing w:before="0" w:after="283"/>
              <w:jc w:val="left"/>
              <w:rPr/>
            </w:pPr>
            <w:hyperlink w:anchor="annxa770053_18">
              <w:r>
                <w:rPr>
                  <w:rStyle w:val="InternetLink"/>
                  <w:b/>
                </w:rPr>
                <w:t xml:space="preserve">Section 3. Representations and Warranties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A-25</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19">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0">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1">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3.4</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2">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3.5</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3">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3.6</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4">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A-27</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3.7</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5">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A-28</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3.8</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6">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3.9</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7">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3.10</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8">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3.11</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29">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A-29</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3.12</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0">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3.13</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1">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A-32</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3.14</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2">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A-34</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3.15</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3">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A-35</w:t>
            </w:r>
          </w:p>
        </w:tc>
        <w:tc>
          <w:tcPr>
            <w:tcW w:w="75" w:type="dxa"/>
            <w:tcBorders/>
            <w:vAlign w:val="center"/>
          </w:tcPr>
          <w:p>
            <w:pPr>
              <w:pStyle w:val="TableContents"/>
              <w:bidi w:val="0"/>
              <w:spacing w:before="0" w:after="283"/>
              <w:jc w:val="left"/>
              <w:rPr/>
            </w:pPr>
            <w:r>
              <w:rPr/>
              <w:t> </w:t>
            </w:r>
          </w:p>
        </w:tc>
      </w:tr>
      <w:tr>
        <w:trPr/>
        <w:tc>
          <w:tcPr>
            <w:tcW w:w="493" w:type="dxa"/>
            <w:tcBorders/>
            <w:vAlign w:val="center"/>
          </w:tcPr>
          <w:p>
            <w:pPr>
              <w:pStyle w:val="TableContents"/>
              <w:bidi w:val="0"/>
              <w:spacing w:before="0" w:after="283"/>
              <w:jc w:val="left"/>
              <w:rPr>
                <w:sz w:val="4"/>
                <w:szCs w:val="4"/>
              </w:rPr>
            </w:pPr>
            <w:r>
              <w:rPr>
                <w:sz w:val="4"/>
                <w:szCs w:val="4"/>
              </w:rPr>
            </w:r>
          </w:p>
        </w:tc>
        <w:tc>
          <w:tcPr>
            <w:tcW w:w="5631"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493" w:type="dxa"/>
            <w:tcBorders/>
            <w:vAlign w:val="center"/>
          </w:tcPr>
          <w:p>
            <w:pPr>
              <w:pStyle w:val="TableContents"/>
              <w:bidi w:val="0"/>
              <w:spacing w:before="0" w:after="283"/>
              <w:jc w:val="left"/>
              <w:rPr/>
            </w:pPr>
            <w:r>
              <w:rPr/>
              <w:t>3.16</w:t>
            </w:r>
          </w:p>
        </w:tc>
        <w:tc>
          <w:tcPr>
            <w:tcW w:w="130" w:type="dxa"/>
            <w:tcBorders/>
            <w:vAlign w:val="center"/>
          </w:tcPr>
          <w:p>
            <w:pPr>
              <w:pStyle w:val="TableContents"/>
              <w:bidi w:val="0"/>
              <w:spacing w:before="0" w:after="283"/>
              <w:jc w:val="left"/>
              <w:rPr/>
            </w:pPr>
            <w:r>
              <w:rPr/>
              <w:t>  </w:t>
            </w:r>
          </w:p>
        </w:tc>
        <w:tc>
          <w:tcPr>
            <w:tcW w:w="5501" w:type="dxa"/>
            <w:tcBorders/>
            <w:vAlign w:val="center"/>
          </w:tcPr>
          <w:p>
            <w:pPr>
              <w:pStyle w:val="TableContents"/>
              <w:bidi w:val="0"/>
              <w:spacing w:before="0" w:after="283"/>
              <w:jc w:val="left"/>
              <w:rPr/>
            </w:pPr>
            <w:hyperlink w:anchor="annxa770053_34">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899" w:type="dxa"/>
        <w:jc w:val="left"/>
        <w:tblInd w:w="0" w:type="dxa"/>
        <w:tblLayout w:type="fixed"/>
        <w:tblCellMar>
          <w:top w:w="0" w:type="dxa"/>
          <w:left w:w="0" w:type="dxa"/>
          <w:bottom w:w="0" w:type="dxa"/>
          <w:right w:w="0" w:type="dxa"/>
        </w:tblCellMar>
      </w:tblPr>
      <w:tblGrid>
        <w:gridCol w:w="685"/>
        <w:gridCol w:w="180"/>
        <w:gridCol w:w="6264"/>
        <w:gridCol w:w="120"/>
        <w:gridCol w:w="60"/>
        <w:gridCol w:w="515"/>
        <w:gridCol w:w="75"/>
      </w:tblGrid>
      <w:tr>
        <w:trPr/>
        <w:tc>
          <w:tcPr>
            <w:tcW w:w="6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2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3.17</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5">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3.18</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6">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3.19</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7">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3.20</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8">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39">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0">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1">
              <w:r>
                <w:rPr>
                  <w:rStyle w:val="InternetLink"/>
                </w:rPr>
                <w:t>Anti-Corruption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2">
              <w:r>
                <w:rPr>
                  <w:rStyle w:val="InternetLink"/>
                </w:rPr>
                <w:t>Sanctions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3.25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3">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7129" w:type="dxa"/>
            <w:gridSpan w:val="3"/>
            <w:tcBorders/>
            <w:vAlign w:val="center"/>
          </w:tcPr>
          <w:p>
            <w:pPr>
              <w:pStyle w:val="TableContents"/>
              <w:bidi w:val="0"/>
              <w:spacing w:before="0" w:after="283"/>
              <w:jc w:val="left"/>
              <w:rPr/>
            </w:pPr>
            <w:hyperlink w:anchor="annxa770053_44">
              <w:r>
                <w:rPr>
                  <w:rStyle w:val="InternetLink"/>
                  <w:b/>
                </w:rPr>
                <w:t xml:space="preserve">Section 4. Representations and Warranties of Aspen and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A-41</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5">
              <w:r>
                <w:rPr>
                  <w:rStyle w:val="InternetLink"/>
                </w:rPr>
                <w:t>Due Organization; Subsidiaries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6">
              <w:r>
                <w:rPr>
                  <w:rStyle w:val="InternetLink"/>
                </w:rPr>
                <w:t>Organizational 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7">
              <w:r>
                <w:rPr>
                  <w:rStyle w:val="InternetLink"/>
                </w:rPr>
                <w:t>Authority; Binding Nature of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8">
              <w:r>
                <w:rPr>
                  <w:rStyle w:val="InternetLink"/>
                </w:rPr>
                <w:t>Vote Required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49">
              <w:r>
                <w:rPr>
                  <w:rStyle w:val="InternetLink"/>
                </w:rPr>
                <w:t>Non-Contravention; Consents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4.6</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0">
              <w:r>
                <w:rPr>
                  <w:rStyle w:val="InternetLink"/>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A-44</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4.7</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1">
              <w:r>
                <w:rPr>
                  <w:rStyle w:val="InternetLink"/>
                </w:rPr>
                <w:t>SEC Filings;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A-45</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4.8</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2">
              <w:r>
                <w:rPr>
                  <w:rStyle w:val="InternetLink"/>
                </w:rPr>
                <w:t>Absence of Changes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4.9</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3">
              <w:r>
                <w:rPr>
                  <w:rStyle w:val="InternetLink"/>
                </w:rPr>
                <w:t>Absence of Undisclosed Liabilities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4.10</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4">
              <w:r>
                <w:rPr>
                  <w:rStyle w:val="InternetLink"/>
                </w:rPr>
                <w:t>Title to Assets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5">
              <w:r>
                <w:rPr>
                  <w:rStyle w:val="InternetLink"/>
                </w:rPr>
                <w:t>Real Property; Leasehold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6">
              <w:r>
                <w:rPr>
                  <w:rStyle w:val="InternetLink"/>
                </w:rPr>
                <w:t>Intellectual Property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7">
              <w:r>
                <w:rPr>
                  <w:rStyle w:val="InternetLink"/>
                </w:rPr>
                <w:t>Agreements, Contracts and Commitments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A-50</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8">
              <w:r>
                <w:rPr>
                  <w:rStyle w:val="InternetLink"/>
                </w:rPr>
                <w:t>Compliance; Permits; Restrictions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A-52</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59">
              <w:r>
                <w:rPr>
                  <w:rStyle w:val="InternetLink"/>
                </w:rPr>
                <w:t>Legal Proceedings; Orders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4.16</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0">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4.17</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1">
              <w:r>
                <w:rPr>
                  <w:rStyle w:val="InternetLink"/>
                </w:rPr>
                <w:t>Employee and Labor Matters; Benefit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4.18</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2">
              <w:r>
                <w:rPr>
                  <w:rStyle w:val="InternetLink"/>
                </w:rPr>
                <w:t>Environmental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4.19</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3">
              <w:r>
                <w:rPr>
                  <w:rStyle w:val="InternetLink"/>
                </w:rPr>
                <w:t>Insurance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4.20</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4">
              <w:r>
                <w:rPr>
                  <w:rStyle w:val="InternetLink"/>
                </w:rPr>
                <w:t>Transactions with Affiliates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4.21</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5">
              <w:r>
                <w:rPr>
                  <w:rStyle w:val="InternetLink"/>
                </w:rPr>
                <w:t>No Financial Advisors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4.22</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6">
              <w:r>
                <w:rPr>
                  <w:rStyle w:val="InternetLink"/>
                </w:rPr>
                <w:t>Valid Issuance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4.23</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7">
              <w:r>
                <w:rPr>
                  <w:rStyle w:val="InternetLink"/>
                </w:rPr>
                <w:t>Privacy and Data 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4.24</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8">
              <w:r>
                <w:rPr>
                  <w:rStyle w:val="InternetLink"/>
                </w:rPr>
                <w:t>Anti-Corruption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A-58</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4.25</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69">
              <w:r>
                <w:rPr>
                  <w:rStyle w:val="InternetLink"/>
                </w:rPr>
                <w:t>Sanctions 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sz w:val="4"/>
                <w:szCs w:val="4"/>
              </w:rPr>
            </w:pPr>
            <w:r>
              <w:rPr>
                <w:sz w:val="4"/>
                <w:szCs w:val="4"/>
              </w:rPr>
            </w:r>
          </w:p>
        </w:tc>
        <w:tc>
          <w:tcPr>
            <w:tcW w:w="6444"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685" w:type="dxa"/>
            <w:tcBorders/>
            <w:vAlign w:val="center"/>
          </w:tcPr>
          <w:p>
            <w:pPr>
              <w:pStyle w:val="TableContents"/>
              <w:bidi w:val="0"/>
              <w:spacing w:before="0" w:after="283"/>
              <w:jc w:val="left"/>
              <w:rPr/>
            </w:pPr>
            <w:r>
              <w:rPr/>
              <w:t>4.26</w:t>
            </w:r>
          </w:p>
        </w:tc>
        <w:tc>
          <w:tcPr>
            <w:tcW w:w="180" w:type="dxa"/>
            <w:tcBorders/>
            <w:vAlign w:val="center"/>
          </w:tcPr>
          <w:p>
            <w:pPr>
              <w:pStyle w:val="TableContents"/>
              <w:bidi w:val="0"/>
              <w:spacing w:before="0" w:after="283"/>
              <w:jc w:val="left"/>
              <w:rPr/>
            </w:pPr>
            <w:r>
              <w:rPr/>
              <w:t>  </w:t>
            </w:r>
          </w:p>
        </w:tc>
        <w:tc>
          <w:tcPr>
            <w:tcW w:w="6264" w:type="dxa"/>
            <w:tcBorders/>
            <w:vAlign w:val="center"/>
          </w:tcPr>
          <w:p>
            <w:pPr>
              <w:pStyle w:val="TableContents"/>
              <w:bidi w:val="0"/>
              <w:spacing w:before="0" w:after="283"/>
              <w:jc w:val="left"/>
              <w:rPr/>
            </w:pPr>
            <w:hyperlink w:anchor="annxa770053_70">
              <w:r>
                <w:rPr>
                  <w:rStyle w:val="InternetLink"/>
                </w:rPr>
                <w:t>No Other Representations or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398" w:type="dxa"/>
        <w:jc w:val="left"/>
        <w:tblInd w:w="0" w:type="dxa"/>
        <w:tblLayout w:type="fixed"/>
        <w:tblCellMar>
          <w:top w:w="0" w:type="dxa"/>
          <w:left w:w="0" w:type="dxa"/>
          <w:bottom w:w="0" w:type="dxa"/>
          <w:right w:w="0" w:type="dxa"/>
        </w:tblCellMar>
      </w:tblPr>
      <w:tblGrid>
        <w:gridCol w:w="521"/>
        <w:gridCol w:w="137"/>
        <w:gridCol w:w="7970"/>
        <w:gridCol w:w="120"/>
        <w:gridCol w:w="60"/>
        <w:gridCol w:w="515"/>
        <w:gridCol w:w="75"/>
      </w:tblGrid>
      <w:tr>
        <w:trPr/>
        <w:tc>
          <w:tcPr>
            <w:tcW w:w="5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71">
              <w:r>
                <w:rPr>
                  <w:rStyle w:val="InternetLink"/>
                  <w:b/>
                </w:rPr>
                <w:t xml:space="preserve">Section 5. Certain Covenants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A-59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2">
              <w:r>
                <w:rPr>
                  <w:rStyle w:val="InternetLink"/>
                </w:rPr>
                <w:t>Operation of Aspen’s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3">
              <w:r>
                <w:rPr>
                  <w:rStyle w:val="InternetLink"/>
                </w:rPr>
                <w:t>Operation of the Company’s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A-61</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4">
              <w:r>
                <w:rPr>
                  <w:rStyle w:val="InternetLink"/>
                </w:rPr>
                <w:t>Access and Investigation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A-63</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5">
              <w:r>
                <w:rPr>
                  <w:rStyle w:val="InternetLink"/>
                </w:rPr>
                <w:t>No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A-64</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5.5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6">
              <w:r>
                <w:rPr>
                  <w:rStyle w:val="InternetLink"/>
                </w:rPr>
                <w:t>Notification of Certain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77">
              <w:r>
                <w:rPr>
                  <w:rStyle w:val="InternetLink"/>
                  <w:b/>
                </w:rPr>
                <w:t xml:space="preserve">Section 6. Additional Agreements of the Parties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A-65</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8">
              <w:r>
                <w:rPr>
                  <w:rStyle w:val="InternetLink"/>
                </w:rPr>
                <w:t>Registration Statement, Proxy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A-65</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79">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A-67</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0">
              <w:r>
                <w:rPr>
                  <w:rStyle w:val="InternetLink"/>
                </w:rPr>
                <w:t>Aspen Stockholder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1">
              <w:r>
                <w:rPr>
                  <w:rStyle w:val="InternetLink"/>
                </w:rPr>
                <w:t>Efforts; Regulatory Approvals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A-70</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2">
              <w:r>
                <w:rPr>
                  <w:rStyle w:val="InternetLink"/>
                </w:rPr>
                <w:t>Company Options; Company Restricted Stock Units; Company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6.6</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3">
              <w:r>
                <w:rPr>
                  <w:rStyle w:val="InternetLink"/>
                </w:rPr>
                <w:t>Employee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6.7</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4">
              <w:r>
                <w:rPr>
                  <w:rStyle w:val="InternetLink"/>
                </w:rPr>
                <w:t>Aspen Equity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6.8</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5">
              <w:r>
                <w:rPr>
                  <w:rStyle w:val="InternetLink"/>
                </w:rPr>
                <w:t>Indemnification of 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6.9</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6">
              <w:r>
                <w:rPr>
                  <w:rStyle w:val="InternetLink"/>
                </w:rPr>
                <w:t>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6.10</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7">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8">
              <w:r>
                <w:rPr>
                  <w:rStyle w:val="InternetLink"/>
                </w:rPr>
                <w:t>Tax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89">
              <w:r>
                <w:rPr>
                  <w:rStyle w:val="InternetLink"/>
                </w:rPr>
                <w:t>Legends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0">
              <w:r>
                <w:rPr>
                  <w:rStyle w:val="InternetLink"/>
                </w:rPr>
                <w:t>Officers and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1">
              <w:r>
                <w:rPr>
                  <w:rStyle w:val="InternetLink"/>
                </w:rPr>
                <w:t>Termination of Certain Agreements and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2">
              <w:r>
                <w:rPr>
                  <w:rStyle w:val="InternetLink"/>
                </w:rPr>
                <w:t>Section 16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A-76</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6.16</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3">
              <w:r>
                <w:rPr>
                  <w:rStyle w:val="InternetLink"/>
                </w:rPr>
                <w:t>Allocation Certificate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6.17</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4">
              <w:r>
                <w:rPr>
                  <w:rStyle w:val="InternetLink"/>
                </w:rPr>
                <w:t>Obligations of Merger Sub</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6.18</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5">
              <w:r>
                <w:rPr>
                  <w:rStyle w:val="InternetLink"/>
                </w:rPr>
                <w:t>Covenants Regarding Concurrent Investment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96">
              <w:r>
                <w:rPr>
                  <w:rStyle w:val="InternetLink"/>
                  <w:b/>
                </w:rPr>
                <w:t xml:space="preserve">Section 7. Conditions Precedent to Obligations of Each Party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7">
              <w:r>
                <w:rPr>
                  <w:rStyle w:val="InternetLink"/>
                </w:rPr>
                <w:t>Effectiveness of Registration Statement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8">
              <w:r>
                <w:rPr>
                  <w:rStyle w:val="InternetLink"/>
                </w:rPr>
                <w:t>No Restraints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99">
              <w:r>
                <w:rPr>
                  <w:rStyle w:val="InternetLink"/>
                </w:rPr>
                <w:t>Stockholder 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0">
              <w:r>
                <w:rPr>
                  <w:rStyle w:val="InternetLink"/>
                </w:rPr>
                <w:t>Listing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7.5</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1">
              <w:r>
                <w:rPr>
                  <w:rStyle w:val="InternetLink"/>
                </w:rPr>
                <w:t>Lock-Up Agreements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A-78</w:t>
            </w:r>
          </w:p>
        </w:tc>
        <w:tc>
          <w:tcPr>
            <w:tcW w:w="75" w:type="dxa"/>
            <w:tcBorders/>
            <w:vAlign w:val="center"/>
          </w:tcPr>
          <w:p>
            <w:pPr>
              <w:pStyle w:val="TableContents"/>
              <w:bidi w:val="0"/>
              <w:spacing w:before="0" w:after="283"/>
              <w:jc w:val="left"/>
              <w:rPr/>
            </w:pPr>
            <w:r>
              <w:rPr/>
              <w:t> </w:t>
            </w:r>
          </w:p>
        </w:tc>
      </w:tr>
      <w:tr>
        <w:trPr/>
        <w:tc>
          <w:tcPr>
            <w:tcW w:w="8628"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628" w:type="dxa"/>
            <w:gridSpan w:val="3"/>
            <w:tcBorders/>
            <w:vAlign w:val="center"/>
          </w:tcPr>
          <w:p>
            <w:pPr>
              <w:pStyle w:val="TableContents"/>
              <w:bidi w:val="0"/>
              <w:spacing w:before="0" w:after="283"/>
              <w:jc w:val="left"/>
              <w:rPr/>
            </w:pPr>
            <w:hyperlink w:anchor="annxa770053_102">
              <w:r>
                <w:rPr>
                  <w:rStyle w:val="InternetLink"/>
                  <w:b/>
                </w:rPr>
                <w:t xml:space="preserve">Section 8. Additional Conditions Precedent to Obligations of Aspen and Merger Sub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8.1</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3">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8.2</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4">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8.3</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5">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521" w:type="dxa"/>
            <w:tcBorders/>
            <w:vAlign w:val="center"/>
          </w:tcPr>
          <w:p>
            <w:pPr>
              <w:pStyle w:val="TableContents"/>
              <w:bidi w:val="0"/>
              <w:spacing w:before="0" w:after="283"/>
              <w:jc w:val="left"/>
              <w:rPr>
                <w:sz w:val="4"/>
                <w:szCs w:val="4"/>
              </w:rPr>
            </w:pPr>
            <w:r>
              <w:rPr>
                <w:sz w:val="4"/>
                <w:szCs w:val="4"/>
              </w:rPr>
            </w:r>
          </w:p>
        </w:tc>
        <w:tc>
          <w:tcPr>
            <w:tcW w:w="8107"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283"/>
              <w:jc w:val="left"/>
              <w:rPr/>
            </w:pPr>
            <w:r>
              <w:rPr/>
              <w:t>8.4</w:t>
            </w:r>
          </w:p>
        </w:tc>
        <w:tc>
          <w:tcPr>
            <w:tcW w:w="137"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hyperlink w:anchor="annxa770053_106">
              <w:r>
                <w:rPr>
                  <w:rStyle w:val="InternetLink"/>
                </w:rPr>
                <w:t>No Company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510" w:type="dxa"/>
        <w:jc w:val="left"/>
        <w:tblInd w:w="0" w:type="dxa"/>
        <w:tblLayout w:type="fixed"/>
        <w:tblCellMar>
          <w:top w:w="0" w:type="dxa"/>
          <w:left w:w="0" w:type="dxa"/>
          <w:bottom w:w="0" w:type="dxa"/>
          <w:right w:w="0" w:type="dxa"/>
        </w:tblCellMar>
      </w:tblPr>
      <w:tblGrid>
        <w:gridCol w:w="575"/>
        <w:gridCol w:w="120"/>
        <w:gridCol w:w="8045"/>
        <w:gridCol w:w="120"/>
        <w:gridCol w:w="60"/>
        <w:gridCol w:w="515"/>
        <w:gridCol w:w="75"/>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8.5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07">
              <w:r>
                <w:rPr>
                  <w:rStyle w:val="InternetLink"/>
                </w:rPr>
                <w:t>Company Stockholder Written Consent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8.6</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08">
              <w:r>
                <w:rPr>
                  <w:rStyle w:val="InternetLink"/>
                </w:rPr>
                <w:t>Concurrent Investment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8.7</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09">
              <w:r>
                <w:rPr>
                  <w:rStyle w:val="InternetLink"/>
                </w:rPr>
                <w:t>FIRPTA Certificate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8740"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3"/>
            <w:tcBorders/>
            <w:vAlign w:val="center"/>
          </w:tcPr>
          <w:p>
            <w:pPr>
              <w:pStyle w:val="TableContents"/>
              <w:bidi w:val="0"/>
              <w:spacing w:before="0" w:after="283"/>
              <w:jc w:val="left"/>
              <w:rPr/>
            </w:pPr>
            <w:hyperlink w:anchor="annxa770053_110">
              <w:r>
                <w:rPr>
                  <w:rStyle w:val="InternetLink"/>
                  <w:b/>
                </w:rPr>
                <w:t xml:space="preserve">Section 9. Additional Conditions Precedent to Obligation of the Company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1">
              <w:r>
                <w:rPr>
                  <w:rStyle w:val="InternetLink"/>
                </w:rPr>
                <w:t>Accuracy of Representations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2">
              <w:r>
                <w:rPr>
                  <w:rStyle w:val="InternetLink"/>
                </w:rPr>
                <w:t>Performance of Covenants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3">
              <w:r>
                <w:rPr>
                  <w:rStyle w:val="InternetLink"/>
                </w:rPr>
                <w:t>Documents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4">
              <w:r>
                <w:rPr>
                  <w:rStyle w:val="InternetLink"/>
                </w:rPr>
                <w:t>No Aspen Material Adverse Effect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8740"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3"/>
            <w:tcBorders/>
            <w:vAlign w:val="center"/>
          </w:tcPr>
          <w:p>
            <w:pPr>
              <w:pStyle w:val="TableContents"/>
              <w:bidi w:val="0"/>
              <w:spacing w:before="0" w:after="283"/>
              <w:jc w:val="left"/>
              <w:rPr/>
            </w:pPr>
            <w:hyperlink w:anchor="annxa770053_115">
              <w:r>
                <w:rPr>
                  <w:rStyle w:val="InternetLink"/>
                  <w:b/>
                </w:rPr>
                <w:t>Section 10.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A-81</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6">
              <w:r>
                <w:rPr>
                  <w:rStyle w:val="InternetLink"/>
                </w:rPr>
                <w:t>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7">
              <w:r>
                <w:rPr>
                  <w:rStyle w:val="InternetLink"/>
                </w:rPr>
                <w:t>Effect of Termination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A-82</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18">
              <w:r>
                <w:rPr>
                  <w:rStyle w:val="InternetLink"/>
                </w:rPr>
                <w:t>Expenses; Termination Fees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A-83</w:t>
            </w:r>
          </w:p>
        </w:tc>
        <w:tc>
          <w:tcPr>
            <w:tcW w:w="75" w:type="dxa"/>
            <w:tcBorders/>
            <w:vAlign w:val="center"/>
          </w:tcPr>
          <w:p>
            <w:pPr>
              <w:pStyle w:val="TableContents"/>
              <w:bidi w:val="0"/>
              <w:spacing w:before="0" w:after="283"/>
              <w:jc w:val="left"/>
              <w:rPr/>
            </w:pPr>
            <w:r>
              <w:rPr/>
              <w:t> </w:t>
            </w:r>
          </w:p>
        </w:tc>
      </w:tr>
      <w:tr>
        <w:trPr/>
        <w:tc>
          <w:tcPr>
            <w:tcW w:w="8740"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740" w:type="dxa"/>
            <w:gridSpan w:val="3"/>
            <w:tcBorders/>
            <w:vAlign w:val="center"/>
          </w:tcPr>
          <w:p>
            <w:pPr>
              <w:pStyle w:val="TableContents"/>
              <w:bidi w:val="0"/>
              <w:spacing w:before="0" w:after="283"/>
              <w:jc w:val="left"/>
              <w:rPr/>
            </w:pPr>
            <w:hyperlink w:anchor="annxa770053_119">
              <w:r>
                <w:rPr>
                  <w:rStyle w:val="InternetLink"/>
                  <w:b/>
                </w:rPr>
                <w:t xml:space="preserve">Section 11. Miscellaneous Provisions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0">
              <w:r>
                <w:rPr>
                  <w:rStyle w:val="InternetLink"/>
                </w:rPr>
                <w:t>Non-Survival of Representations and Warranties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1">
              <w:r>
                <w:rPr>
                  <w:rStyle w:val="InternetLink"/>
                </w:rPr>
                <w:t>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2">
              <w:r>
                <w:rPr>
                  <w:rStyle w:val="InternetLink"/>
                </w:rPr>
                <w:t>Waiver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A-84</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3">
              <w:r>
                <w:rPr>
                  <w:rStyle w:val="InternetLink"/>
                </w:rPr>
                <w:t>Entire Agreement; Counterparts; Exchanges by Electronic Transmission or Facsimile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4">
              <w:r>
                <w:rPr>
                  <w:rStyle w:val="InternetLink"/>
                </w:rPr>
                <w:t>Applicable Law; Jurisdiction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11.6</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5">
              <w:r>
                <w:rPr>
                  <w:rStyle w:val="InternetLink"/>
                </w:rPr>
                <w:t>Assignability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11.7</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6">
              <w:r>
                <w:rPr>
                  <w:rStyle w:val="InternetLink"/>
                </w:rPr>
                <w:t>Notices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A-85</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11.8</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7">
              <w:r>
                <w:rPr>
                  <w:rStyle w:val="InternetLink"/>
                </w:rPr>
                <w:t>Cooperation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A-86</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11.9</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8">
              <w:r>
                <w:rPr>
                  <w:rStyle w:val="InternetLink"/>
                </w:rPr>
                <w:t>Severability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A-86</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11.10</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29">
              <w:r>
                <w:rPr>
                  <w:rStyle w:val="InternetLink"/>
                </w:rPr>
                <w:t>Other Remedies; Specific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A-86</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11.11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hyperlink w:anchor="annxa770053_130">
              <w:r>
                <w:rPr>
                  <w:rStyle w:val="InternetLink"/>
                </w:rPr>
                <w:t>No Third-Party Beneficiaries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A-87</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1160"/>
        <w:gridCol w:w="120"/>
        <w:gridCol w:w="4910"/>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A-1</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Aspen Stockholder Support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A-2</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Company Stockholder Support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B</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Lock-Up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C</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Subscription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D</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CVR Agreement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Exhibit E</w:t>
            </w:r>
          </w:p>
        </w:tc>
        <w:tc>
          <w:tcPr>
            <w:tcW w:w="12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Form of FIRPTA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AND REORGANIZATION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b/>
          <w:sz w:val="20"/>
          <w:u w:val="single"/>
        </w:rPr>
        <w:t>HIS</w:t>
      </w:r>
      <w:r>
        <w:rPr>
          <w:rFonts w:ascii="Times New Roman" w:hAnsi="Times New Roman"/>
          <w:b/>
          <w:sz w:val="20"/>
        </w:rPr>
        <w:t xml:space="preserve"> A</w:t>
      </w:r>
      <w:r>
        <w:rPr>
          <w:rFonts w:ascii="Times New Roman" w:hAnsi="Times New Roman"/>
          <w:b/>
          <w:sz w:val="20"/>
          <w:u w:val="single"/>
        </w:rPr>
        <w:t>GREEMENT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EORGANIZATION</w:t>
      </w:r>
      <w:r>
        <w:rPr>
          <w:rFonts w:ascii="Times New Roman" w:hAnsi="Times New Roman"/>
          <w:b/>
          <w:sz w:val="20"/>
        </w:rPr>
        <w:t xml:space="preserve">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January 30, 2024, by and among </w:t>
      </w:r>
      <w:r>
        <w:rPr>
          <w:rFonts w:ascii="Times New Roman" w:hAnsi="Times New Roman"/>
          <w:b/>
          <w:sz w:val="20"/>
        </w:rPr>
        <w:t>AVROBIO, Inc.</w:t>
      </w:r>
      <w:r>
        <w:rPr>
          <w:rFonts w:ascii="Times New Roman" w:hAnsi="Times New Roman"/>
          <w:sz w:val="20"/>
        </w:rPr>
        <w:t>, a Delaware corporation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A</w:t>
      </w:r>
      <w:r>
        <w:rPr>
          <w:rFonts w:ascii="Times New Roman" w:hAnsi="Times New Roman"/>
          <w:b/>
          <w:sz w:val="20"/>
          <w:u w:val="single"/>
        </w:rPr>
        <w:t>LPINE</w:t>
      </w:r>
      <w:r>
        <w:rPr>
          <w:rFonts w:ascii="Times New Roman" w:hAnsi="Times New Roman"/>
          <w:b/>
          <w:sz w:val="20"/>
        </w:rPr>
        <w:t xml:space="preserve"> M</w:t>
      </w:r>
      <w:r>
        <w:rPr>
          <w:rFonts w:ascii="Times New Roman" w:hAnsi="Times New Roman"/>
          <w:b/>
          <w:sz w:val="20"/>
          <w:u w:val="single"/>
        </w:rPr>
        <w:t>ERGER</w:t>
      </w:r>
      <w:r>
        <w:rPr>
          <w:rFonts w:ascii="Times New Roman" w:hAnsi="Times New Roman"/>
          <w:b/>
          <w:sz w:val="20"/>
        </w:rPr>
        <w:t xml:space="preserve"> S</w:t>
      </w:r>
      <w:r>
        <w:rPr>
          <w:rFonts w:ascii="Times New Roman" w:hAnsi="Times New Roman"/>
          <w:b/>
          <w:sz w:val="20"/>
          <w:u w:val="single"/>
        </w:rPr>
        <w:t>UBSIDIARY</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and wholly owned subsidiary of Aspen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T</w:t>
      </w:r>
      <w:r>
        <w:rPr>
          <w:rFonts w:ascii="Times New Roman" w:hAnsi="Times New Roman"/>
          <w:b/>
          <w:sz w:val="20"/>
          <w:u w:val="single"/>
        </w:rPr>
        <w:t>ECTONIC</w:t>
      </w:r>
      <w:r>
        <w:rPr>
          <w:rFonts w:ascii="Times New Roman" w:hAnsi="Times New Roman"/>
          <w:b/>
          <w:sz w:val="20"/>
        </w:rPr>
        <w:t xml:space="preserve"> T</w:t>
      </w:r>
      <w:r>
        <w:rPr>
          <w:rFonts w:ascii="Times New Roman" w:hAnsi="Times New Roman"/>
          <w:b/>
          <w:sz w:val="20"/>
          <w:u w:val="single"/>
        </w:rPr>
        <w:t>HERAPEUTIC</w:t>
      </w:r>
      <w:r>
        <w:rPr>
          <w:rFonts w:ascii="Times New Roman" w:hAnsi="Times New Roman"/>
          <w:b/>
          <w:sz w:val="20"/>
        </w:rPr>
        <w:t>, I</w:t>
      </w:r>
      <w:r>
        <w:rPr>
          <w:rFonts w:ascii="Times New Roman" w:hAnsi="Times New Roman"/>
          <w:b/>
          <w:sz w:val="20"/>
          <w:u w:val="single"/>
        </w:rPr>
        <w:t>NC</w:t>
      </w:r>
      <w:r>
        <w:rPr>
          <w:rFonts w:ascii="Times New Roman" w:hAnsi="Times New Roman"/>
          <w:b/>
          <w:sz w:val="20"/>
        </w:rPr>
        <w:t>.</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R</w:t>
      </w:r>
      <w:r>
        <w:rPr>
          <w:rFonts w:ascii="Times New Roman" w:hAnsi="Times New Roman"/>
          <w:b/>
          <w:sz w:val="20"/>
          <w:u w:val="single"/>
        </w:rPr>
        <w:t>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Aspen and the Company intend to effect a merger of Merger Sub with and into the Company (the “</w:t>
      </w:r>
      <w:r>
        <w:rPr>
          <w:rFonts w:ascii="Times New Roman" w:hAnsi="Times New Roman"/>
          <w:b/>
          <w:sz w:val="20"/>
        </w:rPr>
        <w:t>Merger</w:t>
      </w:r>
      <w:r>
        <w:rPr>
          <w:rFonts w:ascii="Times New Roman" w:hAnsi="Times New Roman"/>
          <w:sz w:val="20"/>
        </w:rPr>
        <w:t xml:space="preserve">”) in accordance with this Agreement and the DGCL. Upon consummation of the Merger, Merger Sub will cease to exist and the Company will become a wholly owned subsidiary of Aspen.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for U.S. federal (and applicable state and local) income Tax purposes, the Merger qualifies as a “reorganization” within the meaning of Section 368(a) of the Code and the Treasury Regulations, and that this Agreement be, and hereby is, adopted as a “plan of reorganization” for the purposes of Section 368 of the Code and Treasury Regulations Sections 1.368-2(g) and 1.368-3. </w:t>
      </w:r>
    </w:p>
    <w:p>
      <w:pPr>
        <w:pStyle w:val="TextBody"/>
        <w:bidi w:val="0"/>
        <w:spacing w:before="240" w:after="0"/>
        <w:jc w:val="left"/>
        <w:rPr>
          <w:rFonts w:ascii="Times New Roman" w:hAnsi="Times New Roman"/>
          <w:sz w:val="20"/>
        </w:rPr>
      </w:pPr>
      <w:r>
        <w:rPr>
          <w:rFonts w:ascii="Times New Roman" w:hAnsi="Times New Roman"/>
          <w:sz w:val="20"/>
        </w:rPr>
        <w:t>C. The Aspen Board has (i) determined that the Contemplated Transactions are fair to, advisable and in the best interests of Aspen and its stockholders, (ii) approved and declared advisable this Agreement and the Contemplated Transactions, including the issuance of shares of Aspen Common Stock to the stockholders of the Company pursuant to the terms of this Agreement, and (iii) determined to recommend, upon the terms and subject to the conditions set forth in this Agreement, that the stockholders of Aspen vote (A) to approve the issuance of shares of Aspen Common Stock to the stockholders of the Company pursuant to the terms of this Agreement, (B) to approve an amendment to the Aspen Charter to effect the Nasdaq Reverse Split and (C) to approve an amendment to the Aspen Charter to provide for the exculpation of officers (the matters in clauses (A) through (C), together with Aspen stockholder action to approve the Equity Plan Proposals when approved by the Aspen Board in accordance with the terms of the definition thereof, the “</w:t>
      </w:r>
      <w:r>
        <w:rPr>
          <w:rFonts w:ascii="Times New Roman" w:hAnsi="Times New Roman"/>
          <w:b/>
          <w:sz w:val="20"/>
        </w:rPr>
        <w:t>Aspen Stockholder Matters</w:t>
      </w:r>
      <w:r>
        <w:rPr>
          <w:rFonts w:ascii="Times New Roman" w:hAnsi="Times New Roman"/>
          <w:sz w:val="20"/>
        </w:rPr>
        <w:t>”, with the Aspen Stockholder Matters set forth in clauses (A) and (B) only being the “</w:t>
      </w:r>
      <w:r>
        <w:rPr>
          <w:rFonts w:ascii="Times New Roman" w:hAnsi="Times New Roman"/>
          <w:b/>
          <w:sz w:val="20"/>
        </w:rPr>
        <w:t>Specified Aspen Stockholder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Concurrently with the execution and delivery of this Agreement and as a condition and inducement to the Company’s willingness to enter into this Agreement, each of the officers, directors and stockholders set forth on </w:t>
      </w:r>
      <w:r>
        <w:rPr>
          <w:rFonts w:ascii="Times New Roman" w:hAnsi="Times New Roman"/>
          <w:sz w:val="20"/>
          <w:u w:val="single"/>
        </w:rPr>
        <w:t>Section A</w:t>
      </w:r>
      <w:r>
        <w:rPr>
          <w:rFonts w:ascii="Times New Roman" w:hAnsi="Times New Roman"/>
          <w:sz w:val="20"/>
        </w:rPr>
        <w:t xml:space="preserve"> of the Aspen Disclosure Schedule (solely in their capacity as stockholders of Aspen) are executing support agreements in favor of the Company in substantially the form attached hereto as Exhibit A-1 (the “</w:t>
      </w:r>
      <w:r>
        <w:rPr>
          <w:rFonts w:ascii="Times New Roman" w:hAnsi="Times New Roman"/>
          <w:b/>
          <w:sz w:val="20"/>
        </w:rPr>
        <w:t>Aspen Stockholder Support Agreement</w:t>
      </w:r>
      <w:r>
        <w:rPr>
          <w:rFonts w:ascii="Times New Roman" w:hAnsi="Times New Roman"/>
          <w:sz w:val="20"/>
        </w:rPr>
        <w:t xml:space="preserve">”), pursuant to which such Persons have, subject to the terms and conditions set forth therein, agreed to vote all of their shares of capital stock of Aspen (a) to approve the Aspen Stockholder Matters and (b) against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Concurrently with the execution and delivery of this Agreement and as a condition and inducement to Aspen’s willingness to enter into this Agreement, each of the Persons set forth on </w:t>
      </w:r>
      <w:r>
        <w:rPr>
          <w:rFonts w:ascii="Times New Roman" w:hAnsi="Times New Roman"/>
          <w:sz w:val="20"/>
          <w:u w:val="single"/>
        </w:rPr>
        <w:t>Section A</w:t>
      </w:r>
      <w:r>
        <w:rPr>
          <w:rFonts w:ascii="Times New Roman" w:hAnsi="Times New Roman"/>
          <w:sz w:val="20"/>
        </w:rPr>
        <w:t xml:space="preserve"> of the Company Disclosure Schedule, who collectively hold shares of Company Capital Stock sufficient to adopt and approve this Agreement and the Merger as required under the DGCL and the Organizational Documents of the Company and represent no less than 88% of the voting power of the Company, are executing (solely in their capacity as stockholders of the Company) support agreements in favor of Aspen in substantially the form attached hereto as </w:t>
      </w:r>
      <w:r>
        <w:rPr>
          <w:rFonts w:ascii="Times New Roman" w:hAnsi="Times New Roman"/>
          <w:sz w:val="20"/>
          <w:u w:val="single"/>
        </w:rPr>
        <w:t>Exhibit A-2</w:t>
      </w:r>
      <w:r>
        <w:rPr>
          <w:rFonts w:ascii="Times New Roman" w:hAnsi="Times New Roman"/>
          <w:sz w:val="20"/>
        </w:rPr>
        <w:t xml:space="preserve"> (each a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(A) to adopt and approve the Merger Agreement, (B) to approve the Contemplated Transactions, (C) to approve an amendment to the Company’ certificate of incorporation to effect the Company Authorized Share Increase, (D) to the extent such Person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Aspen’s and the Company’s willingness to enter into this Agreement, the Persons listed on </w:t>
      </w:r>
      <w:r>
        <w:rPr>
          <w:rFonts w:ascii="Times New Roman" w:hAnsi="Times New Roman"/>
          <w:sz w:val="20"/>
          <w:u w:val="single"/>
        </w:rPr>
        <w:t>Section B</w:t>
      </w:r>
      <w:r>
        <w:rPr>
          <w:rFonts w:ascii="Times New Roman" w:hAnsi="Times New Roman"/>
          <w:sz w:val="20"/>
        </w:rPr>
        <w:t xml:space="preserve"> of the Company Disclosure Schedule and Section B of the Aspen Disclosure Schedule are executing lock-up agreements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It is expected that within four (4) Business Days after the Registration Statement is declared effective under the Securities Act, the holders of shares of Company Capital Stock sufficient to adopt and approve this Agreement and the Merger as required under the DGCL and the Organizational Documents of the Company will execute and deliver an action by written consent adopting this Agreement, in form and substance reasonably acceptable to Aspen,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J. Prior to the date of this Agreement, certain investors (the “</w:t>
      </w:r>
      <w:r>
        <w:rPr>
          <w:rFonts w:ascii="Times New Roman" w:hAnsi="Times New Roman"/>
          <w:b/>
          <w:sz w:val="20"/>
        </w:rPr>
        <w:t>Company SAFE Concurrent Investors</w:t>
      </w:r>
      <w:r>
        <w:rPr>
          <w:rFonts w:ascii="Times New Roman" w:hAnsi="Times New Roman"/>
          <w:sz w:val="20"/>
        </w:rPr>
        <w:t>”) have entered into the Company SAFEs with the Company (the investments contemplated by such Company SAFEs, collectively, the “</w:t>
      </w:r>
      <w:r>
        <w:rPr>
          <w:rFonts w:ascii="Times New Roman" w:hAnsi="Times New Roman"/>
          <w:b/>
          <w:sz w:val="20"/>
        </w:rPr>
        <w:t>Company SAFE Concurrent Investment</w:t>
      </w:r>
      <w:r>
        <w:rPr>
          <w:rFonts w:ascii="Times New Roman" w:hAnsi="Times New Roman"/>
          <w:sz w:val="20"/>
        </w:rPr>
        <w:t>”), pursuant to which such Company SAFEs shall automatically convert into shares of Company Common Stock at the same price per share at which the Concurrent Investment Company Shares are sold pursuant to the Subscription Agreement (which shall be the Public Offering/Conversion Price as defined in the Company SAFEs), in connection with the Closing (such shares of Company Common Stock upon issuance to such Company SAFE Concurrent Investors, the (“</w:t>
      </w:r>
      <w:r>
        <w:rPr>
          <w:rFonts w:ascii="Times New Roman" w:hAnsi="Times New Roman"/>
          <w:b/>
          <w:sz w:val="20"/>
        </w:rPr>
        <w:t>Company SAFE Concurrent Investment Company Shares</w:t>
      </w:r>
      <w:r>
        <w:rPr>
          <w:rFonts w:ascii="Times New Roman" w:hAnsi="Times New Roman"/>
          <w:sz w:val="20"/>
        </w:rPr>
        <w:t>”). In addition, concurrently with the execution and delivery of this Agreement, certain investors (the “</w:t>
      </w:r>
      <w:r>
        <w:rPr>
          <w:rFonts w:ascii="Times New Roman" w:hAnsi="Times New Roman"/>
          <w:b/>
          <w:sz w:val="20"/>
        </w:rPr>
        <w:t>Subscription Agreement Concurrent Investors</w:t>
      </w:r>
      <w:r>
        <w:rPr>
          <w:rFonts w:ascii="Times New Roman" w:hAnsi="Times New Roman"/>
          <w:sz w:val="20"/>
        </w:rPr>
        <w:t>” and, together with the Company SAFE Concurrent Investors, the “</w:t>
      </w:r>
      <w:r>
        <w:rPr>
          <w:rFonts w:ascii="Times New Roman" w:hAnsi="Times New Roman"/>
          <w:b/>
          <w:sz w:val="20"/>
        </w:rPr>
        <w:t>Concurrent Investors</w:t>
      </w:r>
      <w:r>
        <w:rPr>
          <w:rFonts w:ascii="Times New Roman" w:hAnsi="Times New Roman"/>
          <w:sz w:val="20"/>
        </w:rPr>
        <w:t>”) have entered into a Subscription Agreement (the “</w:t>
      </w:r>
      <w:r>
        <w:rPr>
          <w:rFonts w:ascii="Times New Roman" w:hAnsi="Times New Roman"/>
          <w:b/>
          <w:sz w:val="20"/>
        </w:rPr>
        <w:t>Subscription Agreement</w:t>
      </w:r>
      <w:r>
        <w:rPr>
          <w:rFonts w:ascii="Times New Roman" w:hAnsi="Times New Roman"/>
          <w:sz w:val="20"/>
        </w:rPr>
        <w:t xml:space="preserve">”) in the form attached hereto as </w:t>
      </w:r>
      <w:r>
        <w:rPr>
          <w:rFonts w:ascii="Times New Roman" w:hAnsi="Times New Roman"/>
          <w:sz w:val="20"/>
          <w:u w:val="single"/>
        </w:rPr>
        <w:t>Exhibit C</w:t>
      </w:r>
      <w:r>
        <w:rPr>
          <w:rFonts w:ascii="Times New Roman" w:hAnsi="Times New Roman"/>
          <w:sz w:val="20"/>
        </w:rPr>
        <w:t xml:space="preserve"> among the Company and the Persons named therein, pursuant to which such Persons have agreed to purchase in the amounts set forth therein shares of Company Common Stock at the Specified Time (collectively, the “</w:t>
      </w:r>
      <w:r>
        <w:rPr>
          <w:rFonts w:ascii="Times New Roman" w:hAnsi="Times New Roman"/>
          <w:b/>
          <w:sz w:val="20"/>
        </w:rPr>
        <w:t>Subscription Agreement Concurrent Investment</w:t>
      </w:r>
      <w:r>
        <w:rPr>
          <w:rFonts w:ascii="Times New Roman" w:hAnsi="Times New Roman"/>
          <w:sz w:val="20"/>
        </w:rPr>
        <w:t>”). The Company SAFEs and the Subscription Agreement are collectively referred to herein as the “</w:t>
      </w:r>
      <w:r>
        <w:rPr>
          <w:rFonts w:ascii="Times New Roman" w:hAnsi="Times New Roman"/>
          <w:b/>
          <w:sz w:val="20"/>
        </w:rPr>
        <w:t>Concurrent Investment Agreements</w:t>
      </w:r>
      <w:r>
        <w:rPr>
          <w:rFonts w:ascii="Times New Roman" w:hAnsi="Times New Roman"/>
          <w:sz w:val="20"/>
        </w:rPr>
        <w:t>”. The Company SAFE Concurrent Investment and the Subscription Agreement Concurrent Investment are collectively referred to herein as the “</w:t>
      </w:r>
      <w:r>
        <w:rPr>
          <w:rFonts w:ascii="Times New Roman" w:hAnsi="Times New Roman"/>
          <w:b/>
          <w:sz w:val="20"/>
        </w:rPr>
        <w:t>Concurrent Investment</w:t>
      </w:r>
      <w:r>
        <w:rPr>
          <w:rFonts w:ascii="Times New Roman" w:hAnsi="Times New Roman"/>
          <w:sz w:val="20"/>
        </w:rPr>
        <w:t>”. The shares of Company Common Stock so issued to Company SAFE Concurrent Investors upon the automatic conversion of their Company SAFEs and to Subscription Agreement Concurrent Investors in accordance with the Subscription Agreement are referred to collectively herein as the “</w:t>
      </w:r>
      <w:r>
        <w:rPr>
          <w:rFonts w:ascii="Times New Roman" w:hAnsi="Times New Roman"/>
          <w:b/>
          <w:sz w:val="20"/>
        </w:rPr>
        <w:t>Concurrent Investment Company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left"/>
        <w:rPr>
          <w:rFonts w:ascii="Times New Roman" w:hAnsi="Times New Roman"/>
          <w:sz w:val="20"/>
        </w:rPr>
      </w:pPr>
      <w:bookmarkStart w:id="199" w:name="annxa770053_1"/>
      <w:bookmarkEnd w:id="199"/>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0" w:name="annxa770053_2"/>
      <w:bookmarkEnd w:id="200"/>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no-hire provisions. Notwithstanding the foregoing, a Person who has previously entered into a confidentiality agreement with Aspen relating to a potential Acquisition Proposal on terms that are not materially less restrictive than the Confidentiality Agreement, in the aggregate,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Aspen, on the other hand, to the other Party) that could reasonably be expected to lead to an Acquisition Proposal.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Proposal</w:t>
      </w:r>
      <w:r>
        <w:rPr>
          <w:rFonts w:ascii="Times New Roman" w:hAnsi="Times New Roman"/>
          <w:sz w:val="20"/>
        </w:rPr>
        <w:t xml:space="preserve">” means, with respect to a Party, any offer or proposal, whether written or oral, contemplating or otherwise relating to any Acquisition Transaction with such Party. </w:t>
      </w:r>
    </w:p>
    <w:p>
      <w:pPr>
        <w:pStyle w:val="TextBody"/>
        <w:bidi w:val="0"/>
        <w:spacing w:before="240" w:after="0"/>
        <w:jc w:val="left"/>
        <w:rPr/>
      </w:pPr>
      <w:r>
        <w:rPr/>
        <w:t>“</w:t>
      </w:r>
      <w:r>
        <w:rPr>
          <w:rFonts w:ascii="Times New Roman" w:hAnsi="Times New Roman"/>
          <w:b/>
          <w:sz w:val="20"/>
        </w:rPr>
        <w:t>Acquisition</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means, with respect to a Party, any transaction or series of related transactions (other than the Contemplated Transactions and, with respect to Aspen, any Aspen Pre-Closing Transaction) involving: </w:t>
      </w:r>
    </w:p>
    <w:p>
      <w:pPr>
        <w:pStyle w:val="TextBody"/>
        <w:bidi w:val="0"/>
        <w:spacing w:before="24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such Party is a constituent Entity, (ii) in which a Person or “group” (as defined in the Exchange Act and the rules promulgated thereunder) of Persons directly or indirectly acquires beneficial or record ownership of securities representing 20% or more of the outstanding shares of Aspen Common Stock (in the case of Aspen) or Company Capital Stock (in the case of the Company) or (iii) in which such Party or any of its Subsidiaries issues securities representing 20% or more of the outstanding shares of Aspen Common Stock (in the case of Aspen) or Company Capital Stock (in the case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fair market value of the assets of such Party and its Subsidiaries, taken as a whole (as determined by such Party’s board of directors or a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any transactions, series of related transactions, agreement or discussion entered into or proposed to enter into by the Company for purposes of raising capital that is otherwise in accordance with the terms of this Agreement shall not be deemed an Acquisition Transaction.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As used in this definition, the term “control” (including, with correlative meanings, the terms “controlling,” “controlled by” and “under common control with”) means possession, directly or indirectly, of the power to direct or cause the direction of the management and policies of a Person, whether through the ownership of voting securities, by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Anti-Corruption Laws</w:t>
      </w:r>
      <w:r>
        <w:rPr>
          <w:rFonts w:ascii="Times New Roman" w:hAnsi="Times New Roman"/>
          <w:sz w:val="20"/>
        </w:rPr>
        <w:t xml:space="preserve">” means (i) the Foreign Corrupt Practices Act of 1977, as amended, the Anti-Kickback Act of 1986 and all other applicable Laws of similar effect, and the related rules, regulations and published interpretations thereunder, (ii) all applicable anti-money laundering laws, and the related rules, regulations and published interpretations thereunder, and (iii) all applicable anti-terrorism financing laws, and the related rules, regulations and published interpretations thereunder.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in good faith by Aspen and the Company. </w:t>
      </w:r>
    </w:p>
    <w:p>
      <w:pPr>
        <w:pStyle w:val="TextBody"/>
        <w:bidi w:val="0"/>
        <w:spacing w:before="240" w:after="0"/>
        <w:jc w:val="left"/>
        <w:rPr/>
      </w:pPr>
      <w:r>
        <w:rPr/>
        <w:t>“</w:t>
      </w:r>
      <w:r>
        <w:rPr>
          <w:rFonts w:ascii="Times New Roman" w:hAnsi="Times New Roman"/>
          <w:b/>
          <w:sz w:val="20"/>
        </w:rPr>
        <w:t>Aspen Associate</w:t>
      </w:r>
      <w:r>
        <w:rPr>
          <w:rFonts w:ascii="Times New Roman" w:hAnsi="Times New Roman"/>
          <w:sz w:val="20"/>
        </w:rPr>
        <w:t xml:space="preserve">” means any current or former employee, independent contractor, officer or director of Aspen or any of its Subsidiaries. </w:t>
      </w:r>
    </w:p>
    <w:p>
      <w:pPr>
        <w:pStyle w:val="TextBody"/>
        <w:bidi w:val="0"/>
        <w:spacing w:before="240" w:after="0"/>
        <w:jc w:val="left"/>
        <w:rPr/>
      </w:pPr>
      <w:r>
        <w:rPr/>
        <w:t>“</w:t>
      </w:r>
      <w:r>
        <w:rPr>
          <w:rFonts w:ascii="Times New Roman" w:hAnsi="Times New Roman"/>
          <w:b/>
          <w:sz w:val="20"/>
        </w:rPr>
        <w:t>Aspen Balance Sheet</w:t>
      </w:r>
      <w:r>
        <w:rPr>
          <w:rFonts w:ascii="Times New Roman" w:hAnsi="Times New Roman"/>
          <w:sz w:val="20"/>
        </w:rPr>
        <w:t xml:space="preserve">” means the audited balance sheet of Aspen as of December 31, 2022, included in Aspen’s Annual Report on Form 10-K for the year ended December 31, 2022, as filed with the SEC. </w:t>
      </w:r>
    </w:p>
    <w:p>
      <w:pPr>
        <w:pStyle w:val="TextBody"/>
        <w:bidi w:val="0"/>
        <w:spacing w:before="240" w:after="0"/>
        <w:jc w:val="left"/>
        <w:rPr/>
      </w:pPr>
      <w:r>
        <w:rPr/>
        <w:t>“</w:t>
      </w:r>
      <w:r>
        <w:rPr>
          <w:rFonts w:ascii="Times New Roman" w:hAnsi="Times New Roman"/>
          <w:b/>
          <w:sz w:val="20"/>
        </w:rPr>
        <w:t>Aspen Board</w:t>
      </w:r>
      <w:r>
        <w:rPr>
          <w:rFonts w:ascii="Times New Roman" w:hAnsi="Times New Roman"/>
          <w:sz w:val="20"/>
        </w:rPr>
        <w:t xml:space="preserve">” means the board of directors of Aspen. </w:t>
      </w:r>
    </w:p>
    <w:p>
      <w:pPr>
        <w:pStyle w:val="TextBody"/>
        <w:bidi w:val="0"/>
        <w:spacing w:before="240" w:after="0"/>
        <w:jc w:val="left"/>
        <w:rPr/>
      </w:pPr>
      <w:r>
        <w:rPr/>
        <w:t>“</w:t>
      </w:r>
      <w:r>
        <w:rPr>
          <w:rFonts w:ascii="Times New Roman" w:hAnsi="Times New Roman"/>
          <w:b/>
          <w:sz w:val="20"/>
        </w:rPr>
        <w:t>Aspen Capitalization Representations</w:t>
      </w:r>
      <w:r>
        <w:rPr>
          <w:rFonts w:ascii="Times New Roman" w:hAnsi="Times New Roman"/>
          <w:sz w:val="20"/>
        </w:rPr>
        <w:t xml:space="preserve">” means the representations and warranties of Aspen and Merger Sub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Aspen Charter</w:t>
      </w:r>
      <w:r>
        <w:rPr>
          <w:rFonts w:ascii="Times New Roman" w:hAnsi="Times New Roman"/>
          <w:sz w:val="20"/>
        </w:rPr>
        <w:t xml:space="preserve">” means the Fourth Amended and Restated Certificate of Incorporation of Aspen effective as of June 25, 2018. </w:t>
      </w:r>
    </w:p>
    <w:p>
      <w:pPr>
        <w:pStyle w:val="TextBody"/>
        <w:bidi w:val="0"/>
        <w:spacing w:before="240" w:after="0"/>
        <w:jc w:val="left"/>
        <w:rPr/>
      </w:pPr>
      <w:r>
        <w:rPr/>
        <w:t>“</w:t>
      </w:r>
      <w:r>
        <w:rPr>
          <w:rFonts w:ascii="Times New Roman" w:hAnsi="Times New Roman"/>
          <w:b/>
          <w:sz w:val="20"/>
        </w:rPr>
        <w:t>Aspen Closing Price</w:t>
      </w:r>
      <w:r>
        <w:rPr>
          <w:rFonts w:ascii="Times New Roman" w:hAnsi="Times New Roman"/>
          <w:sz w:val="20"/>
        </w:rPr>
        <w:t xml:space="preserve">” means the volume weighted average closing trading price of a share of Aspen Common Stock on Nasdaq for the five (5) consecutive trading days ending three (3) trading days immediately prior to the date of the public announcement of this Agreement. </w:t>
      </w:r>
    </w:p>
    <w:p>
      <w:pPr>
        <w:pStyle w:val="TextBody"/>
        <w:bidi w:val="0"/>
        <w:spacing w:before="240" w:after="0"/>
        <w:jc w:val="left"/>
        <w:rPr/>
      </w:pPr>
      <w:r>
        <w:rPr/>
        <w:t>“</w:t>
      </w:r>
      <w:r>
        <w:rPr>
          <w:rFonts w:ascii="Times New Roman" w:hAnsi="Times New Roman"/>
          <w:b/>
          <w:sz w:val="20"/>
        </w:rPr>
        <w:t>Aspen Common Stock</w:t>
      </w:r>
      <w:r>
        <w:rPr>
          <w:rFonts w:ascii="Times New Roman" w:hAnsi="Times New Roman"/>
          <w:sz w:val="20"/>
        </w:rPr>
        <w:t xml:space="preserve">” means the common stock, $0.0001 par value per share, of Aspen. </w:t>
      </w:r>
    </w:p>
    <w:p>
      <w:pPr>
        <w:pStyle w:val="TextBody"/>
        <w:bidi w:val="0"/>
        <w:spacing w:before="240" w:after="0"/>
        <w:jc w:val="left"/>
        <w:rPr/>
      </w:pPr>
      <w:r>
        <w:rPr/>
        <w:t>“</w:t>
      </w:r>
      <w:r>
        <w:rPr>
          <w:rFonts w:ascii="Times New Roman" w:hAnsi="Times New Roman"/>
          <w:b/>
          <w:sz w:val="20"/>
        </w:rPr>
        <w:t>Aspen Contract</w:t>
      </w:r>
      <w:r>
        <w:rPr>
          <w:rFonts w:ascii="Times New Roman" w:hAnsi="Times New Roman"/>
          <w:sz w:val="20"/>
        </w:rPr>
        <w:t xml:space="preserve">” means any Contract: (a) to which Aspen is a party, (b) by which Aspen or any Aspen Intellectual Property or any other asset of Aspen is bound or under which Aspen has any obligation or (c) under which Aspen has or may acquire any right or interest. </w:t>
      </w:r>
    </w:p>
    <w:p>
      <w:pPr>
        <w:pStyle w:val="TextBody"/>
        <w:bidi w:val="0"/>
        <w:spacing w:before="240" w:after="0"/>
        <w:jc w:val="left"/>
        <w:rPr/>
      </w:pPr>
      <w:r>
        <w:rPr/>
        <w:t>“</w:t>
      </w:r>
      <w:r>
        <w:rPr>
          <w:rFonts w:ascii="Times New Roman" w:hAnsi="Times New Roman"/>
          <w:b/>
          <w:sz w:val="20"/>
        </w:rPr>
        <w:t>Aspen Employee Plan</w:t>
      </w:r>
      <w:r>
        <w:rPr>
          <w:rFonts w:ascii="Times New Roman" w:hAnsi="Times New Roman"/>
          <w:sz w:val="20"/>
        </w:rPr>
        <w:t xml:space="preserve">” means any Employee Plan that Aspen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Aspen or any of its Subsidiaries (or their spouses, dependents, or beneficiaries). </w:t>
      </w:r>
    </w:p>
    <w:p>
      <w:pPr>
        <w:pStyle w:val="TextBody"/>
        <w:bidi w:val="0"/>
        <w:spacing w:before="240" w:after="0"/>
        <w:jc w:val="left"/>
        <w:rPr/>
      </w:pPr>
      <w:r>
        <w:rPr/>
        <w:t>“</w:t>
      </w:r>
      <w:r>
        <w:rPr>
          <w:rFonts w:ascii="Times New Roman" w:hAnsi="Times New Roman"/>
          <w:b/>
          <w:sz w:val="20"/>
        </w:rPr>
        <w:t>Aspen Fundamental Representations</w:t>
      </w:r>
      <w:r>
        <w:rPr>
          <w:rFonts w:ascii="Times New Roman" w:hAnsi="Times New Roman"/>
          <w:sz w:val="20"/>
        </w:rPr>
        <w:t xml:space="preserve">” means the representations and warranties of Aspen and Merger Sub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Aspen Intellectual Property</w:t>
      </w:r>
      <w:r>
        <w:rPr>
          <w:rFonts w:ascii="Times New Roman" w:hAnsi="Times New Roman"/>
          <w:sz w:val="20"/>
        </w:rPr>
        <w:t>” means (i) any and all Intellectual Property owned or purported to be owned, solely or jointly, by Aspen (“</w:t>
      </w:r>
      <w:r>
        <w:rPr>
          <w:rFonts w:ascii="Times New Roman" w:hAnsi="Times New Roman"/>
          <w:b/>
          <w:sz w:val="20"/>
        </w:rPr>
        <w:t>Aspen Owned Intellectual Property</w:t>
      </w:r>
      <w:r>
        <w:rPr>
          <w:rFonts w:ascii="Times New Roman" w:hAnsi="Times New Roman"/>
          <w:sz w:val="20"/>
        </w:rPr>
        <w:t>”), and (ii) any and all Intellectual Property owned by any other Person and licensed or purported to be licensed to Aspen or to which Aspen has or purports to have any other right (“</w:t>
      </w:r>
      <w:r>
        <w:rPr>
          <w:rFonts w:ascii="Times New Roman" w:hAnsi="Times New Roman"/>
          <w:b/>
          <w:sz w:val="20"/>
        </w:rPr>
        <w:t>Aspen Licensed Intellectual Property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Key Employee</w:t>
      </w:r>
      <w:r>
        <w:rPr>
          <w:rFonts w:ascii="Times New Roman" w:hAnsi="Times New Roman"/>
          <w:sz w:val="20"/>
        </w:rPr>
        <w:t xml:space="preserve">” means (i) an executive officer of Aspen; and (ii) any employee of Aspen that reports directly to the Aspen Board or to an executive officer of Aspen. </w:t>
      </w:r>
    </w:p>
    <w:p>
      <w:pPr>
        <w:pStyle w:val="TextBody"/>
        <w:bidi w:val="0"/>
        <w:spacing w:before="240" w:after="0"/>
        <w:jc w:val="left"/>
        <w:rPr/>
      </w:pPr>
      <w:r>
        <w:rPr/>
        <w:t>“</w:t>
      </w:r>
      <w:r>
        <w:rPr>
          <w:rFonts w:ascii="Times New Roman" w:hAnsi="Times New Roman"/>
          <w:b/>
          <w:sz w:val="20"/>
        </w:rPr>
        <w:t>Aspen Pre-Closing Assets</w:t>
      </w:r>
      <w:r>
        <w:rPr>
          <w:rFonts w:ascii="Times New Roman" w:hAnsi="Times New Roman"/>
          <w:sz w:val="20"/>
        </w:rPr>
        <w:t xml:space="preserve">” means those assets of Aspen, to the extent existing as of immediately prior to the Closing, relating to (a) Aspen’s plato manufacturing platform, (b) Aspen’s AVR-RD-01 (Fabry), AVR-RD-02 (Gaucher), and/or AVR-RD-03 (Pompe) research and development programs, and (c) Aspen’s Intellectual Property set forth in Section 4.12(a) of the Aspen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Aspen Material Adverse Effect</w:t>
      </w:r>
      <w:r>
        <w:rPr>
          <w:rFonts w:ascii="Times New Roman" w:hAnsi="Times New Roman"/>
          <w:sz w:val="20"/>
        </w:rPr>
        <w:t xml:space="preserve">” means any Effect that, considered together with all other Effects that have occurred prior to the date of determination of the occurrence of the Aspen Material Adverse Effect, has or would reasonably be expected to have a material adverse effect on the business, financial condition, assets, liabilities or results of operations of Aspen or any of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an Aspen Material Adverse Effect: (a) the announcement of this Agreement or the pendency of the Contemplated Transactions, (b) any change in the stock price or trading volume of Aspen Common Stock (it being understood, however, that any Effect causing or contributing to any change in stock price or trading volume of Aspen Common Stock may be taken into account in determining whether an Aspen Material Adverse Effect has occurred, unless such Effects are otherwise excepted from this definition), (c) the taking of any action, or the failure to take any action, by Aspen that is required to comply with the terms of this Agreement, (d)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Aspen or any of its Subsidiaries operates (other than to the extent contemplated by the succeeding clause (g)), (g) any government shutdown or slowdown, (h) the sale or winding down of the Aspen’s business or operations as they exist prior to the Closing, and the sale, license or other disposition of the Aspen Pre-Closing Assets in compliance with the terms of this Agreement and applicable Law, or (i) any change in the cash position of Aspen and its Subsidiaries which results from operations in the Ordinary Course of Business; except, in each case with respect to clauses (d), (e) and (f), to the extent materially and disproportionately affecting Aspen and any its Subsidiaries, taken as a whole, relative to other similarly situated companies in the industries in which Aspen or any of its Subsidiaries operates. </w:t>
      </w:r>
    </w:p>
    <w:p>
      <w:pPr>
        <w:pStyle w:val="TextBody"/>
        <w:bidi w:val="0"/>
        <w:spacing w:before="240" w:after="0"/>
        <w:jc w:val="left"/>
        <w:rPr/>
      </w:pPr>
      <w:r>
        <w:rPr/>
        <w:t>“</w:t>
      </w:r>
      <w:r>
        <w:rPr>
          <w:rFonts w:ascii="Times New Roman" w:hAnsi="Times New Roman"/>
          <w:b/>
          <w:sz w:val="20"/>
        </w:rPr>
        <w:t>Aspen Net Cash</w:t>
      </w:r>
      <w:r>
        <w:rPr>
          <w:rFonts w:ascii="Times New Roman" w:hAnsi="Times New Roman"/>
          <w:sz w:val="20"/>
        </w:rPr>
        <w:t xml:space="preserve">” means, without duplication, (i) Aspen’s cash and cash equivalents and marketable securities as of immediately prior to the Closing and determined in accordance with GAAP, in a manner consistent with the manner in which such items were historically determined and in accordance with Aspen’s financial statements, </w:t>
      </w:r>
      <w:r>
        <w:rPr>
          <w:rFonts w:ascii="Times New Roman" w:hAnsi="Times New Roman"/>
          <w:i/>
          <w:sz w:val="20"/>
          <w:u w:val="single"/>
        </w:rPr>
        <w:t>plus</w:t>
      </w:r>
      <w:r>
        <w:rPr>
          <w:rFonts w:ascii="Times New Roman" w:hAnsi="Times New Roman"/>
          <w:sz w:val="20"/>
        </w:rPr>
        <w:t xml:space="preserve"> (ii) all prepaid expenses or deposits of Aspen and its Subsidiaries set forth on </w:t>
      </w:r>
      <w:r>
        <w:rPr>
          <w:rFonts w:ascii="Times New Roman" w:hAnsi="Times New Roman"/>
          <w:sz w:val="20"/>
          <w:u w:val="single"/>
        </w:rPr>
        <w:t>Section 1.1(b)(i)</w:t>
      </w:r>
      <w:r>
        <w:rPr>
          <w:rFonts w:ascii="Times New Roman" w:hAnsi="Times New Roman"/>
          <w:sz w:val="20"/>
        </w:rPr>
        <w:t xml:space="preserve"> of the Aspen Disclosure Schedule, </w:t>
      </w:r>
      <w:r>
        <w:rPr>
          <w:rFonts w:ascii="Times New Roman" w:hAnsi="Times New Roman"/>
          <w:i/>
          <w:sz w:val="20"/>
          <w:u w:val="single"/>
        </w:rPr>
        <w:t>minus</w:t>
      </w:r>
      <w:r>
        <w:rPr>
          <w:rFonts w:ascii="Times New Roman" w:hAnsi="Times New Roman"/>
          <w:sz w:val="20"/>
        </w:rPr>
        <w:t xml:space="preserve"> (iii) the sum of all cash payments actually required to be made by Aspen under its contractual obligations as set forth on </w:t>
      </w:r>
      <w:r>
        <w:rPr>
          <w:rFonts w:ascii="Times New Roman" w:hAnsi="Times New Roman"/>
          <w:sz w:val="20"/>
          <w:u w:val="single"/>
        </w:rPr>
        <w:t>Section 1.1(b)(ii)</w:t>
      </w:r>
      <w:r>
        <w:rPr>
          <w:rFonts w:ascii="Times New Roman" w:hAnsi="Times New Roman"/>
          <w:sz w:val="20"/>
        </w:rPr>
        <w:t xml:space="preserve"> of the Aspen Disclosure Schedule to the extent unpaid as of immediately prior to the Closing, </w:t>
      </w:r>
      <w:r>
        <w:rPr>
          <w:rFonts w:ascii="Times New Roman" w:hAnsi="Times New Roman"/>
          <w:i/>
          <w:sz w:val="20"/>
          <w:u w:val="single"/>
        </w:rPr>
        <w:t>minus</w:t>
      </w:r>
      <w:r>
        <w:rPr>
          <w:rFonts w:ascii="Times New Roman" w:hAnsi="Times New Roman"/>
          <w:sz w:val="20"/>
        </w:rPr>
        <w:t xml:space="preserve"> (iv) all unpaid liabilities accrued at the Closing Date required to be set forth on a balance sheet calculated in accordance with GAAP, in each case determined in accordance with GAAP and, to the extent in accordance with GAAP, in a manner consistent with the manner in which such items were historically determined and in accordance with Aspen’s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Aspen’s property, liabilities for Taxes relating to the disposition of the Aspen Pre-Closing Assets, and any guarantees relating to each of the foregoing), </w:t>
      </w:r>
      <w:r>
        <w:rPr>
          <w:rFonts w:ascii="Times New Roman" w:hAnsi="Times New Roman"/>
          <w:i/>
          <w:sz w:val="20"/>
          <w:u w:val="single"/>
        </w:rPr>
        <w:t>minus</w:t>
      </w:r>
      <w:r>
        <w:rPr>
          <w:rFonts w:ascii="Times New Roman" w:hAnsi="Times New Roman"/>
          <w:sz w:val="20"/>
        </w:rPr>
        <w:t xml:space="preserve"> (v) the Transaction Expenses of Aspen to the extent unpaid as of the Closing; </w:t>
      </w:r>
      <w:r>
        <w:rPr>
          <w:rFonts w:ascii="Times New Roman" w:hAnsi="Times New Roman"/>
          <w:i/>
          <w:sz w:val="20"/>
          <w:u w:val="single"/>
        </w:rPr>
        <w:t>minus</w:t>
      </w:r>
      <w:r>
        <w:rPr>
          <w:rFonts w:ascii="Times New Roman" w:hAnsi="Times New Roman"/>
          <w:sz w:val="20"/>
        </w:rPr>
        <w:t xml:space="preserve"> (vi) the unpaid cash cost of any change in control payments, severance payments, bonus payments or retention payments payable to employees of Aspen (whether “single” or “double” trigger) (including, without limitation, (a) a reasonable estimate of payment or reimbursement by Aspen for continued coverage under any employee benefit plan in existence immediately prior to the Closing (excluding any such plan contemplated by the Equity Plan Proposals) and (b) including the employer portion of any employment, payroll or similar Taxes with respect to all such compensation), </w:t>
      </w:r>
      <w:r>
        <w:rPr>
          <w:rFonts w:ascii="Times New Roman" w:hAnsi="Times New Roman"/>
          <w:i/>
          <w:sz w:val="20"/>
          <w:u w:val="single"/>
        </w:rPr>
        <w:t>minus</w:t>
      </w:r>
      <w:r>
        <w:rPr>
          <w:rFonts w:ascii="Times New Roman" w:hAnsi="Times New Roman"/>
          <w:sz w:val="20"/>
        </w:rPr>
        <w:t> (vii) all Liabilities with respect to Aspen’s or any of its Subsidiaries’ payment obligations pursuant to real estate leases, </w:t>
      </w:r>
      <w:r>
        <w:rPr>
          <w:rFonts w:ascii="Times New Roman" w:hAnsi="Times New Roman"/>
          <w:i/>
          <w:sz w:val="20"/>
          <w:u w:val="single"/>
        </w:rPr>
        <w:t>minus</w:t>
      </w:r>
      <w:r>
        <w:rPr>
          <w:rFonts w:ascii="Times New Roman" w:hAnsi="Times New Roman"/>
          <w:sz w:val="20"/>
        </w:rPr>
        <w:t xml:space="preserve"> (viii) any unpaid premium of (x) the “D&amp;O tail policy” pursuant to </w:t>
      </w:r>
      <w:r>
        <w:rPr>
          <w:rFonts w:ascii="Times New Roman" w:hAnsi="Times New Roman"/>
          <w:sz w:val="20"/>
          <w:u w:val="single"/>
        </w:rPr>
        <w:t>Section 6.8(d)</w:t>
      </w:r>
      <w:r>
        <w:rPr>
          <w:rFonts w:ascii="Times New Roman" w:hAnsi="Times New Roman"/>
          <w:sz w:val="20"/>
        </w:rPr>
        <w:t xml:space="preserve"> and (y) the clinical trial liability insurance tail policy, </w:t>
      </w:r>
      <w:r>
        <w:rPr>
          <w:rFonts w:ascii="Times New Roman" w:hAnsi="Times New Roman"/>
          <w:i/>
          <w:sz w:val="20"/>
          <w:u w:val="single"/>
        </w:rPr>
        <w:t>minus</w:t>
      </w:r>
      <w:r>
        <w:rPr>
          <w:rFonts w:ascii="Times New Roman" w:hAnsi="Times New Roman"/>
          <w:sz w:val="20"/>
        </w:rPr>
        <w:t> (ix) any unpaid Taxes of Aspen and its Subsidiaries for Tax periods (or portions thereof) ending on or before the Closing and which are accrued in accordance with GAAP as of immediately prior to Closing (unless otherwise required by Law), </w:t>
      </w:r>
      <w:r>
        <w:rPr>
          <w:rFonts w:ascii="Times New Roman" w:hAnsi="Times New Roman"/>
          <w:i/>
          <w:sz w:val="20"/>
          <w:u w:val="single"/>
        </w:rPr>
        <w:t>minus</w:t>
      </w:r>
      <w:r>
        <w:rPr>
          <w:rFonts w:ascii="Times New Roman" w:hAnsi="Times New Roman"/>
          <w:sz w:val="20"/>
        </w:rPr>
        <w:t xml:space="preserve"> (x) all unpaid costs and expenses (including a reasonable estimate of any Taxes) relating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winding down of any portion of Aspen’s pre-Closing business, which is either not to be held for sale after the Closing Date or subject to the terms of the CVR Agreement, </w:t>
      </w:r>
      <w:r>
        <w:rPr>
          <w:rFonts w:ascii="Times New Roman" w:hAnsi="Times New Roman"/>
          <w:i/>
          <w:sz w:val="20"/>
          <w:u w:val="single"/>
        </w:rPr>
        <w:t>minus</w:t>
      </w:r>
      <w:r>
        <w:rPr>
          <w:rFonts w:ascii="Times New Roman" w:hAnsi="Times New Roman"/>
          <w:sz w:val="20"/>
        </w:rPr>
        <w:t xml:space="preserve"> (xi) 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r>
        <w:rPr>
          <w:rFonts w:ascii="Times New Roman" w:hAnsi="Times New Roman"/>
          <w:i/>
          <w:sz w:val="20"/>
          <w:u w:val="single"/>
        </w:rPr>
        <w:t>minus</w:t>
      </w:r>
      <w:r>
        <w:rPr>
          <w:rFonts w:ascii="Times New Roman" w:hAnsi="Times New Roman"/>
          <w:sz w:val="20"/>
        </w:rPr>
        <w:t xml:space="preserve"> (xii) all withholding Taxes payable in connection with the distribution of any contingent value rights to any former Aspen shareholder, </w:t>
      </w:r>
      <w:r>
        <w:rPr>
          <w:rFonts w:ascii="Times New Roman" w:hAnsi="Times New Roman"/>
          <w:i/>
          <w:sz w:val="20"/>
          <w:u w:val="single"/>
        </w:rPr>
        <w:t>minus</w:t>
      </w:r>
      <w:r>
        <w:rPr>
          <w:rFonts w:ascii="Times New Roman" w:hAnsi="Times New Roman"/>
          <w:sz w:val="20"/>
        </w:rPr>
        <w:t xml:space="preserve"> (xiii) all amounts paid prior to, or actually incurred as of, the Closing not otherwise already reducing cash and cash equivalents, by Aspen as a result of any Aspen Transaction Litigation, </w:t>
      </w:r>
      <w:r>
        <w:rPr>
          <w:rFonts w:ascii="Times New Roman" w:hAnsi="Times New Roman"/>
          <w:i/>
          <w:sz w:val="20"/>
          <w:u w:val="single"/>
        </w:rPr>
        <w:t>plus</w:t>
      </w:r>
      <w:r>
        <w:rPr>
          <w:rFonts w:ascii="Times New Roman" w:hAnsi="Times New Roman"/>
          <w:sz w:val="20"/>
        </w:rPr>
        <w:t xml:space="preserve"> (xiv) any amount of Company Portion paid by Aspen or its Subsidiaries prior to the Closing, </w:t>
      </w:r>
      <w:r>
        <w:rPr>
          <w:rFonts w:ascii="Times New Roman" w:hAnsi="Times New Roman"/>
          <w:i/>
          <w:sz w:val="20"/>
        </w:rPr>
        <w:t>minus</w:t>
      </w:r>
      <w:r>
        <w:rPr>
          <w:rFonts w:ascii="Times New Roman" w:hAnsi="Times New Roman"/>
          <w:sz w:val="20"/>
        </w:rPr>
        <w:t xml:space="preserve"> (xv) 80% of the IP Expense Fund (as defined in the CVR Agreement). </w:t>
      </w:r>
    </w:p>
    <w:p>
      <w:pPr>
        <w:pStyle w:val="TextBody"/>
        <w:bidi w:val="0"/>
        <w:spacing w:before="240" w:after="0"/>
        <w:jc w:val="left"/>
        <w:rPr/>
      </w:pPr>
      <w:r>
        <w:rPr/>
        <w:t>“</w:t>
      </w:r>
      <w:r>
        <w:rPr>
          <w:rFonts w:ascii="Times New Roman" w:hAnsi="Times New Roman"/>
          <w:b/>
          <w:sz w:val="20"/>
        </w:rPr>
        <w:t>Aspen Options</w:t>
      </w:r>
      <w:r>
        <w:rPr>
          <w:rFonts w:ascii="Times New Roman" w:hAnsi="Times New Roman"/>
          <w:sz w:val="20"/>
        </w:rPr>
        <w:t xml:space="preserve">” means options to purchase shares of Aspen Common Stock granted by Aspen whether or not granted pursuant to any Aspen Stock Plan. </w:t>
      </w:r>
    </w:p>
    <w:p>
      <w:pPr>
        <w:pStyle w:val="TextBody"/>
        <w:bidi w:val="0"/>
        <w:spacing w:before="240" w:after="0"/>
        <w:jc w:val="left"/>
        <w:rPr/>
      </w:pPr>
      <w:r>
        <w:rPr/>
        <w:t>“</w:t>
      </w:r>
      <w:r>
        <w:rPr>
          <w:rFonts w:ascii="Times New Roman" w:hAnsi="Times New Roman"/>
          <w:b/>
          <w:sz w:val="20"/>
        </w:rPr>
        <w:t>Aspen Outbound License</w:t>
      </w:r>
      <w:r>
        <w:rPr>
          <w:rFonts w:ascii="Times New Roman" w:hAnsi="Times New Roman"/>
          <w:sz w:val="20"/>
        </w:rPr>
        <w:t xml:space="preserve">” means any Aspen Contract pursuant to which Aspen grants any license or any other right or immunity (including any sublicense, option, right of first refusal or other preferential right or covenant not to sue) under any Aspen Intellectual Property that is material to the business of Aspen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Aspen or (ii) incidental to any assays or other materials obtained from third parties under material transfer agreements or other similar contracts, in each case, consistent with industry standard, and (b) agreements between any of Aspen or any Subsidiary thereof and another Subsidiary of Aspen. </w:t>
      </w:r>
    </w:p>
    <w:p>
      <w:pPr>
        <w:pStyle w:val="TextBody"/>
        <w:bidi w:val="0"/>
        <w:spacing w:before="240" w:after="0"/>
        <w:jc w:val="left"/>
        <w:rPr/>
      </w:pPr>
      <w:r>
        <w:rPr/>
        <w:t>“</w:t>
      </w:r>
      <w:r>
        <w:rPr>
          <w:rFonts w:ascii="Times New Roman" w:hAnsi="Times New Roman"/>
          <w:b/>
          <w:sz w:val="20"/>
        </w:rPr>
        <w:t>Aspen Product</w:t>
      </w:r>
      <w:r>
        <w:rPr>
          <w:rFonts w:ascii="Times New Roman" w:hAnsi="Times New Roman"/>
          <w:sz w:val="20"/>
        </w:rPr>
        <w:t xml:space="preserve">” means any pharmaceutical, biological or medicinal therapy, compound, drug, product candidate or product that is being developed, researched, manufactured, tested, licensed, offered, marketed, sold, or distributed by or on behalf of Aspen, including any discovery or clinical programs or platforms and the therapies and compounds made and tested in such programs, including through collaboration with others, or through compassionate use/named patient activities. </w:t>
      </w:r>
    </w:p>
    <w:p>
      <w:pPr>
        <w:pStyle w:val="TextBody"/>
        <w:bidi w:val="0"/>
        <w:spacing w:before="240" w:after="0"/>
        <w:jc w:val="left"/>
        <w:rPr/>
      </w:pPr>
      <w:r>
        <w:rPr/>
        <w:t>“</w:t>
      </w:r>
      <w:r>
        <w:rPr>
          <w:rFonts w:ascii="Times New Roman" w:hAnsi="Times New Roman"/>
          <w:b/>
          <w:sz w:val="20"/>
        </w:rPr>
        <w:t>Aspen Restricted Stock Units</w:t>
      </w:r>
      <w:r>
        <w:rPr>
          <w:rFonts w:ascii="Times New Roman" w:hAnsi="Times New Roman"/>
          <w:sz w:val="20"/>
        </w:rPr>
        <w:t xml:space="preserve">” means any equity award of restricted stock units with respect to Aspen Common Stock that represents the right to receive in the future shares of Aspen Common Stock granted by Aspen whether or not granted pursuant to any Aspen Stock Plan. </w:t>
      </w:r>
    </w:p>
    <w:p>
      <w:pPr>
        <w:pStyle w:val="TextBody"/>
        <w:bidi w:val="0"/>
        <w:spacing w:before="240" w:after="0"/>
        <w:jc w:val="left"/>
        <w:rPr/>
      </w:pPr>
      <w:r>
        <w:rPr/>
        <w:t>“</w:t>
      </w:r>
      <w:r>
        <w:rPr>
          <w:rFonts w:ascii="Times New Roman" w:hAnsi="Times New Roman"/>
          <w:b/>
          <w:sz w:val="20"/>
        </w:rPr>
        <w:t>Aspen Triggering Event</w:t>
      </w:r>
      <w:r>
        <w:rPr>
          <w:rFonts w:ascii="Times New Roman" w:hAnsi="Times New Roman"/>
          <w:sz w:val="20"/>
        </w:rPr>
        <w:t xml:space="preserve">” shall be deemed to have occurred if: (a) Aspen shall have failed to include in the Proxy Statement the Aspen Board Recommendation, (b)(i) the Aspen Board or any committee thereof shall have made an Aspen Board Adverse Recommendation Change or (ii) the Aspen Board or any committee thereof shall have approved, endorsed or recommended any Acquisition Proposal with respect to an acquisition of Aspen (other than by the Company or an Affiliate thereof and other than actions made in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(except for an Aspen Board Adverse Recommendation Change)), (c) Aspen shall have entered into any letter of intent or similar document or any similar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or (d) upon willful and material breach of Aspen’s obligations set forth in the first sentence of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means any day other than a day on which banks in the State of New York are authorized or obligated to be closed.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Collaboration Partner</w:t>
      </w:r>
      <w:r>
        <w:rPr>
          <w:rFonts w:ascii="Times New Roman" w:hAnsi="Times New Roman"/>
          <w:sz w:val="20"/>
        </w:rPr>
        <w:t xml:space="preserve">” means any research, development, collaboration or similar commercialization partner of the Company or its Subsidiaries with respect to the Company Products or of Aspen or its Subsidiaries with respect to the Aspen Products, as applicable.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or any of its Subsidiaries. </w:t>
      </w:r>
    </w:p>
    <w:p>
      <w:pPr>
        <w:pStyle w:val="TextBody"/>
        <w:bidi w:val="0"/>
        <w:spacing w:before="240" w:after="0"/>
        <w:jc w:val="left"/>
        <w:rPr/>
      </w:pPr>
      <w:r>
        <w:rPr/>
        <w:t>“</w:t>
      </w:r>
      <w:r>
        <w:rPr>
          <w:rFonts w:ascii="Times New Roman" w:hAnsi="Times New Roman"/>
          <w:b/>
          <w:sz w:val="20"/>
        </w:rPr>
        <w:t>Company Authorized Share Increase</w:t>
      </w:r>
      <w:r>
        <w:rPr>
          <w:rFonts w:ascii="Times New Roman" w:hAnsi="Times New Roman"/>
          <w:sz w:val="20"/>
        </w:rPr>
        <w:t xml:space="preserve">” means an increase in the number of authorized shares of Company Common Stock from 11,947,558 shares of Company Common Stock to 30,000,000 shares of Company Common Stock or such other number of shares of Company Common Stock as may be mutually agreed in writing by the Company and Aspen.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24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or any of its Subsidiaries is a Party, (b) by which the Company or any of its Subsidiaries is bound or under which the Company or any of its Subsidiaries has any obligation or (c) under which the Company or any of its Subsidiaries has any right or interest. </w:t>
      </w:r>
    </w:p>
    <w:p>
      <w:pPr>
        <w:pStyle w:val="TextBody"/>
        <w:bidi w:val="0"/>
        <w:spacing w:before="240" w:after="0"/>
        <w:jc w:val="left"/>
        <w:rPr/>
      </w:pPr>
      <w:r>
        <w:rPr/>
        <w:t>“</w:t>
      </w:r>
      <w:r>
        <w:rPr>
          <w:rFonts w:ascii="Times New Roman" w:hAnsi="Times New Roman"/>
          <w:b/>
          <w:sz w:val="20"/>
        </w:rPr>
        <w:t>Company Convertible Notes</w:t>
      </w:r>
      <w:r>
        <w:rPr>
          <w:rFonts w:ascii="Times New Roman" w:hAnsi="Times New Roman"/>
          <w:sz w:val="20"/>
        </w:rPr>
        <w:t xml:space="preserve">” means the convertible promissory notes in respect of shares of Company Capital Stock issued by the Company, as amended or supplemented (for the avoidance of doubt, (i) other than Company Options and (ii) including the Company SAFEs).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the Company or any of its Subsidiaries (or their spouses, dependents, or beneficiaries). </w:t>
      </w:r>
    </w:p>
    <w:p>
      <w:pPr>
        <w:pStyle w:val="TextBody"/>
        <w:bidi w:val="0"/>
        <w:spacing w:before="240" w:after="0"/>
        <w:jc w:val="left"/>
        <w:rPr/>
      </w:pPr>
      <w:r>
        <w:rPr/>
        <w:t>“</w:t>
      </w:r>
      <w:r>
        <w:rPr>
          <w:rFonts w:ascii="Times New Roman" w:hAnsi="Times New Roman"/>
          <w:b/>
          <w:sz w:val="20"/>
        </w:rPr>
        <w:t>Company Equity Incentive Plan</w:t>
      </w:r>
      <w:r>
        <w:rPr>
          <w:rFonts w:ascii="Times New Roman" w:hAnsi="Times New Roman"/>
          <w:sz w:val="20"/>
        </w:rPr>
        <w:t xml:space="preserve">” means the Company’s 2019 Equity Incentive Plan. </w:t>
      </w:r>
    </w:p>
    <w:p>
      <w:pPr>
        <w:pStyle w:val="TextBody"/>
        <w:bidi w:val="0"/>
        <w:spacing w:before="240" w:after="0"/>
        <w:jc w:val="left"/>
        <w:rPr/>
      </w:pPr>
      <w:r>
        <w:rPr/>
        <w:t>“</w:t>
      </w:r>
      <w:r>
        <w:rPr>
          <w:rFonts w:ascii="Times New Roman" w:hAnsi="Times New Roman"/>
          <w:b/>
          <w:sz w:val="20"/>
        </w:rPr>
        <w:t>Company Exclusively Licensed Intellectual Property</w:t>
      </w:r>
      <w:r>
        <w:rPr>
          <w:rFonts w:ascii="Times New Roman" w:hAnsi="Times New Roman"/>
          <w:sz w:val="20"/>
        </w:rPr>
        <w:t xml:space="preserve">” means any and all Company Licensed Intellectual Property that is, or is purported to be, exclusively licensed to the Company, or to which the Company has or purports to have any other exclusive right, but excluding agreements between any of the Company or any Subsidiary thereof and another Subsidiary of the Company.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3.1(b)</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Inbound License</w:t>
      </w:r>
      <w:r>
        <w:rPr>
          <w:rFonts w:ascii="Times New Roman" w:hAnsi="Times New Roman"/>
          <w:sz w:val="20"/>
        </w:rPr>
        <w:t xml:space="preserve">” means any Company Contract pursuant to which the Company is granted any license or obtains any other right or immunity (including any sublicense, option, right of first refusal or other preferential right or covenant not to be sued) under (a) any Intellectual Property of any other Person that is material to the business of the Company taken as a whole (or to the further research, development and commercialization of Company Products as currently planned by Company), in each case,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agreements between the Company and its employees or consultants, with this exception limited to the extent of the assignment of Intellectual Property created by such individuals to the Company thereunder and (ii) agreements for any Third Party non-customized commercially available object code software licensed to the Company on generally available, standard commercial pricing and other terms for less than $250,000; or (b) any Company Exclusively Licensed Intellectual Property. </w:t>
      </w:r>
    </w:p>
    <w:p>
      <w:pPr>
        <w:pStyle w:val="TextBody"/>
        <w:bidi w:val="0"/>
        <w:spacing w:before="240" w:after="0"/>
        <w:jc w:val="left"/>
        <w:rPr/>
      </w:pPr>
      <w:r>
        <w:rPr/>
        <w:t>“</w:t>
      </w:r>
      <w:r>
        <w:rPr>
          <w:rFonts w:ascii="Times New Roman" w:hAnsi="Times New Roman"/>
          <w:b/>
          <w:sz w:val="20"/>
        </w:rPr>
        <w:t>Company Intellectual Property</w:t>
      </w:r>
      <w:r>
        <w:rPr>
          <w:rFonts w:ascii="Times New Roman" w:hAnsi="Times New Roman"/>
          <w:sz w:val="20"/>
        </w:rPr>
        <w:t>” means (i) any and all Intellectual Property owned or purported to be owned, solely or jointly, by any the Company (“</w:t>
      </w:r>
      <w:r>
        <w:rPr>
          <w:rFonts w:ascii="Times New Roman" w:hAnsi="Times New Roman"/>
          <w:b/>
          <w:sz w:val="20"/>
        </w:rPr>
        <w:t>Company Owned Intellectual Property</w:t>
      </w:r>
      <w:r>
        <w:rPr>
          <w:rFonts w:ascii="Times New Roman" w:hAnsi="Times New Roman"/>
          <w:sz w:val="20"/>
        </w:rPr>
        <w:t>”), and (ii) any and all Intellectual Property owned by any other Person and licensed or purported to be licensed to the Company or to which the Company has or purports to have any other right (“</w:t>
      </w:r>
      <w:r>
        <w:rPr>
          <w:rFonts w:ascii="Times New Roman" w:hAnsi="Times New Roman"/>
          <w:b/>
          <w:sz w:val="20"/>
        </w:rPr>
        <w:t>Company Licensed Intellectual Property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(i) any executive officer of the Company or any of its Subsidiaries; and (ii) any employee of the Company or any of its Subsidiaries that reports directly to the Company Board. </w:t>
      </w:r>
    </w:p>
    <w:p>
      <w:pPr>
        <w:pStyle w:val="TextBody"/>
        <w:bidi w:val="0"/>
        <w:spacing w:before="24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Company Material Adverse Effect: (a) the announcement of this Agreement or the pendency of the Contemplated Transactions, (b) the taking of any action, or the failure to take any action, by the Company that is required to comply with the terms of this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or applicable Law or the interpretation thereof, (e) any change in the cash position of the Company and its Subsidiaries which results from operations in the Ordinary Course of Business, or (f) general economic or political conditions or conditions generally affecting the industries in which the Company and its Subsidiaries operate; except in each case with respect to clauses (c), (d) and (f), to the extent disproportionately affecting the Company and its Subsidiaries, taken as a whole, relative to other similarly situated companies in the industries in which the Company and its Subsidiaries operate. </w:t>
      </w:r>
    </w:p>
    <w:p>
      <w:pPr>
        <w:pStyle w:val="TextBody"/>
        <w:bidi w:val="0"/>
        <w:spacing w:before="240" w:after="0"/>
        <w:jc w:val="left"/>
        <w:rPr/>
      </w:pPr>
      <w:r>
        <w:rPr/>
        <w:t>“</w:t>
      </w:r>
      <w:r>
        <w:rPr>
          <w:rFonts w:ascii="Times New Roman" w:hAnsi="Times New Roman"/>
          <w:b/>
          <w:sz w:val="20"/>
        </w:rPr>
        <w:t>Company Merger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the product determined by </w:t>
      </w:r>
      <w:r>
        <w:rPr>
          <w:rFonts w:ascii="Times New Roman" w:hAnsi="Times New Roman"/>
          <w:i/>
          <w:sz w:val="20"/>
          <w:u w:val="single"/>
        </w:rPr>
        <w:t>multiplying</w:t>
      </w:r>
      <w:r>
        <w:rPr>
          <w:rFonts w:ascii="Times New Roman" w:hAnsi="Times New Roman"/>
          <w:sz w:val="20"/>
        </w:rPr>
        <w:t xml:space="preserve"> (i) the Post-Closing Aspen Shares </w:t>
      </w:r>
      <w:r>
        <w:rPr>
          <w:rFonts w:ascii="Times New Roman" w:hAnsi="Times New Roman"/>
          <w:i/>
          <w:sz w:val="20"/>
          <w:u w:val="single"/>
        </w:rPr>
        <w:t>by</w:t>
      </w:r>
      <w:r>
        <w:rPr>
          <w:rFonts w:ascii="Times New Roman" w:hAnsi="Times New Roman"/>
          <w:sz w:val="20"/>
        </w:rPr>
        <w:t xml:space="preserve"> (ii) the Company Allocation Percentage, in which: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Aspen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Aspen Allocation Percentage</w:t>
            </w:r>
            <w:r>
              <w:rPr>
                <w:rFonts w:ascii="Times New Roman" w:hAnsi="Times New Roman"/>
                <w:sz w:val="20"/>
              </w:rPr>
              <w:t xml:space="preserve">” means the quotient (expressed as a percentage and rounded to eight decimal places) determined by </w:t>
            </w:r>
            <w:r>
              <w:rPr>
                <w:rFonts w:ascii="Times New Roman" w:hAnsi="Times New Roman"/>
                <w:i/>
                <w:sz w:val="20"/>
                <w:u w:val="single"/>
              </w:rPr>
              <w:t>dividing</w:t>
            </w:r>
            <w:r>
              <w:rPr>
                <w:rFonts w:ascii="Times New Roman" w:hAnsi="Times New Roman"/>
                <w:sz w:val="20"/>
              </w:rPr>
              <w:t xml:space="preserve"> (i) the Aspen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pPr>
            <w:r>
              <w:rPr/>
              <w:t>“</w:t>
            </w:r>
            <w:r>
              <w:rPr>
                <w:rFonts w:ascii="Times New Roman" w:hAnsi="Times New Roman"/>
                <w:b/>
                <w:sz w:val="20"/>
              </w:rPr>
              <w:t>Aspen Equity Value</w:t>
            </w:r>
            <w:r>
              <w:rPr>
                <w:rFonts w:ascii="Times New Roman" w:hAnsi="Times New Roman"/>
                <w:sz w:val="20"/>
              </w:rPr>
              <w:t xml:space="preserve">” means $77,500,000.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Aspen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(including, without limitation, the effects of the Nasdaq Reverse Split), the total number of shares of Aspen Common Stock outstanding immediately prior to the Effective Time, expressed on a fully-diluted and as-converted-to-Aspen Common Stock basis, and assuming, without limitation or duplication, (i) the issuance of shares of Aspen Common Stock in respect of all Aspen Options, warrants or other rights to receive shares, whether conditional or unconditional, that will be outstanding as of immediately prior to the Effective Time, calculated on a treasury stock method basis, (ii) the settlement in shares of Aspen Common Stock of Aspen Restricted Stock Units outstanding as of immediately prior to the Effective Time on a net settlement basis as provided in </w:t>
            </w:r>
            <w:r>
              <w:rPr>
                <w:rFonts w:ascii="Times New Roman" w:hAnsi="Times New Roman"/>
                <w:sz w:val="20"/>
                <w:u w:val="single"/>
              </w:rPr>
              <w:t>Section 6.7</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(iii) the exclusion of shares of Aspen Common Stock held immediately prior to the Effective Time by Aspen as treasury stock or in connection with any unallocated equity pool or by the Company, any of its Subsidiaries or any Subsidiary of Aspen. Notwithstanding any of the foregoing, no Out of the Money Aspen Options or performance based Aspen Restricted Stock Units for which the performance condition has not been met as of the Effective Time and no shares reserved for issuance under the Equity Plan Proposals shall be included in the total number of shares of Aspen Common Stock outstanding for purposes of determining the Aspen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Aspen Valuation</w:t>
            </w:r>
            <w:r>
              <w:rPr>
                <w:rFonts w:ascii="Times New Roman" w:hAnsi="Times New Roman"/>
                <w:sz w:val="20"/>
              </w:rPr>
              <w:t xml:space="preserve">” means (i) the Aspen Equity Value </w:t>
            </w:r>
            <w:r>
              <w:rPr>
                <w:rFonts w:ascii="Times New Roman" w:hAnsi="Times New Roman"/>
                <w:i/>
                <w:sz w:val="20"/>
                <w:u w:val="single"/>
              </w:rPr>
              <w:t>minus</w:t>
            </w:r>
            <w:r>
              <w:rPr>
                <w:rFonts w:ascii="Times New Roman" w:hAnsi="Times New Roman"/>
                <w:sz w:val="20"/>
              </w:rPr>
              <w:t xml:space="preserve"> (ii) the Lower Aspen Net Cash Amount (if any) </w:t>
            </w:r>
            <w:r>
              <w:rPr>
                <w:rFonts w:ascii="Times New Roman" w:hAnsi="Times New Roman"/>
                <w:i/>
                <w:sz w:val="20"/>
                <w:u w:val="single"/>
              </w:rPr>
              <w:t>plus</w:t>
            </w:r>
            <w:r>
              <w:rPr>
                <w:rFonts w:ascii="Times New Roman" w:hAnsi="Times New Roman"/>
                <w:sz w:val="20"/>
              </w:rPr>
              <w:t xml:space="preserve"> (iii) the Upper Aspen Net Cash Amount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Allocation Percentage</w:t>
            </w:r>
            <w:r>
              <w:rPr>
                <w:rFonts w:ascii="Times New Roman" w:hAnsi="Times New Roman"/>
                <w:sz w:val="20"/>
              </w:rPr>
              <w:t xml:space="preserve">” means the quotient (expressed as a percentage and rounded to eight decimal places) determined by </w:t>
            </w:r>
            <w:r>
              <w:rPr>
                <w:rFonts w:ascii="Times New Roman" w:hAnsi="Times New Roman"/>
                <w:i/>
                <w:sz w:val="20"/>
                <w:u w:val="single"/>
              </w:rPr>
              <w:t>subtracting</w:t>
            </w:r>
            <w:r>
              <w:rPr>
                <w:rFonts w:ascii="Times New Roman" w:hAnsi="Times New Roman"/>
                <w:sz w:val="20"/>
              </w:rPr>
              <w:t xml:space="preserve"> (i) the Aspen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b/>
                <w:sz w:val="20"/>
              </w:rPr>
              <w:t>Company Equity Value</w:t>
            </w:r>
            <w:r>
              <w:rPr>
                <w:rFonts w:ascii="Times New Roman" w:hAnsi="Times New Roman"/>
                <w:sz w:val="20"/>
              </w:rPr>
              <w:t xml:space="preserve">” means $140,000,000.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the total number of shares of Company Common Stock outstanding immediately prior to the Effective Time, expressed on a fully-diluted and as-converted-to-Company Common Stock basis (including, without limitation, after giving effect to the Company SAFEs Conversion and the Company Preferred Stock Conversion), and assuming, without limitation or duplication, (i) the inclusion of Concurrent Investment Company Shares, (ii) the issuance of shares of Company Common Stock in respect of all Company Options, or other rights to receive shares, whether conditional or unconditional, that will be outstanding as of immediately prior to the Effective Time, calculated on a treasury stock method basis, and (iii) the exclusion of shares of Company Common Stock held immediately prior to the Effective Time by the Company as treasury stock or in connection with any unallocated equity pool or by Aspen, any of its Subsidiaries or any Subsidiary of the Company.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pPr>
            <w:r>
              <w:rPr/>
              <w:t>“</w:t>
            </w:r>
            <w:r>
              <w:rPr>
                <w:rFonts w:ascii="Times New Roman" w:hAnsi="Times New Roman"/>
                <w:b/>
                <w:sz w:val="20"/>
              </w:rPr>
              <w:t>Company Valuation</w:t>
            </w:r>
            <w:r>
              <w:rPr>
                <w:rFonts w:ascii="Times New Roman" w:hAnsi="Times New Roman"/>
                <w:sz w:val="20"/>
              </w:rPr>
              <w:t xml:space="preserve">” means (i) the Company Equity Value </w:t>
            </w:r>
            <w:r>
              <w:rPr>
                <w:rFonts w:ascii="Times New Roman" w:hAnsi="Times New Roman"/>
                <w:i/>
                <w:sz w:val="20"/>
                <w:u w:val="single"/>
              </w:rPr>
              <w:t>plus</w:t>
            </w:r>
            <w:r>
              <w:rPr>
                <w:rFonts w:ascii="Times New Roman" w:hAnsi="Times New Roman"/>
                <w:sz w:val="20"/>
              </w:rPr>
              <w:t xml:space="preserve"> (ii) the Concurrent Investment Proceeds.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Exchange Ratio</w:t>
            </w:r>
            <w:r>
              <w:rPr>
                <w:rFonts w:ascii="Times New Roman" w:hAnsi="Times New Roman"/>
                <w:sz w:val="20"/>
              </w:rPr>
              <w:t xml:space="preserve">” means the ratio (rounded to eight decimal places) equal to the quotient obtained by dividing (i) the Company Merger Shares by (ii) the Company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Lower Aspen Net Cash Amount</w:t>
            </w:r>
            <w:r>
              <w:rPr>
                <w:rFonts w:ascii="Times New Roman" w:hAnsi="Times New Roman"/>
                <w:sz w:val="20"/>
              </w:rPr>
              <w:t xml:space="preserve">” means, if Aspen Net Cash is less than the Lower Target Aspen Net Cash, then the amount, if any, that the Target Aspen Net Cash exceeds the Aspen Net Cash.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pPr>
            <w:r>
              <w:rPr/>
              <w:t>“</w:t>
            </w:r>
            <w:r>
              <w:rPr>
                <w:rFonts w:ascii="Times New Roman" w:hAnsi="Times New Roman"/>
                <w:b/>
                <w:sz w:val="20"/>
              </w:rPr>
              <w:t>Lower Target Aspen Net Cash</w:t>
            </w:r>
            <w:r>
              <w:rPr>
                <w:rFonts w:ascii="Times New Roman" w:hAnsi="Times New Roman"/>
                <w:sz w:val="20"/>
              </w:rPr>
              <w:t xml:space="preserve">” means $64,500,000.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Post-Closing Aspen Shares</w:t>
            </w:r>
            <w:r>
              <w:rPr>
                <w:rFonts w:ascii="Times New Roman" w:hAnsi="Times New Roman"/>
                <w:sz w:val="20"/>
              </w:rPr>
              <w:t xml:space="preserve">” means the quotient determined by </w:t>
            </w:r>
            <w:r>
              <w:rPr>
                <w:rFonts w:ascii="Times New Roman" w:hAnsi="Times New Roman"/>
                <w:i/>
                <w:sz w:val="20"/>
                <w:u w:val="single"/>
              </w:rPr>
              <w:t>dividing</w:t>
            </w:r>
            <w:r>
              <w:rPr>
                <w:rFonts w:ascii="Times New Roman" w:hAnsi="Times New Roman"/>
                <w:sz w:val="20"/>
              </w:rPr>
              <w:t xml:space="preserve"> (i) the Aspen Outstanding Shares </w:t>
            </w:r>
            <w:r>
              <w:rPr>
                <w:rFonts w:ascii="Times New Roman" w:hAnsi="Times New Roman"/>
                <w:i/>
                <w:sz w:val="20"/>
                <w:u w:val="single"/>
              </w:rPr>
              <w:t>by</w:t>
            </w:r>
            <w:r>
              <w:rPr>
                <w:rFonts w:ascii="Times New Roman" w:hAnsi="Times New Roman"/>
                <w:sz w:val="20"/>
              </w:rPr>
              <w:t xml:space="preserve"> (ii) the Aspen Allocation Percentage.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pPr>
            <w:r>
              <w:rPr/>
              <w:t>“</w:t>
            </w:r>
            <w:r>
              <w:rPr>
                <w:rFonts w:ascii="Times New Roman" w:hAnsi="Times New Roman"/>
                <w:b/>
                <w:sz w:val="20"/>
              </w:rPr>
              <w:t>Target Aspen Net Cash</w:t>
            </w:r>
            <w:r>
              <w:rPr>
                <w:rFonts w:ascii="Times New Roman" w:hAnsi="Times New Roman"/>
                <w:sz w:val="20"/>
              </w:rPr>
              <w:t xml:space="preserve">” means $65,000,000.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Upper Aspen Net Cash Amount</w:t>
            </w:r>
            <w:r>
              <w:rPr>
                <w:rFonts w:ascii="Times New Roman" w:hAnsi="Times New Roman"/>
                <w:sz w:val="20"/>
              </w:rPr>
              <w:t xml:space="preserve">” means, if Aspen Net Cash is greater than the Upper Target Aspen Net Cash, then the amount, if any, that the Aspen Net Cash exceeds the Target Aspen Net Cash.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pPr>
            <w:r>
              <w:rPr/>
              <w:t>“</w:t>
            </w:r>
            <w:r>
              <w:rPr>
                <w:rFonts w:ascii="Times New Roman" w:hAnsi="Times New Roman"/>
                <w:b/>
                <w:sz w:val="20"/>
              </w:rPr>
              <w:t>Upper Target Aspen Net Cash</w:t>
            </w:r>
            <w:r>
              <w:rPr>
                <w:rFonts w:ascii="Times New Roman" w:hAnsi="Times New Roman"/>
                <w:sz w:val="20"/>
              </w:rPr>
              <w:t xml:space="preserve">” means $65,500,000.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Concurrent Investment Proceeds shall not be included in the calculation or determination of the Company Equity Value, the Aspen Valuation or any component thereof. Set forth on </w:t>
      </w:r>
      <w:r>
        <w:rPr>
          <w:rFonts w:ascii="Times New Roman" w:hAnsi="Times New Roman"/>
          <w:sz w:val="20"/>
          <w:u w:val="single"/>
        </w:rPr>
        <w:t>Annex A</w:t>
      </w:r>
      <w:r>
        <w:rPr>
          <w:rFonts w:ascii="Times New Roman" w:hAnsi="Times New Roman"/>
          <w:sz w:val="20"/>
        </w:rPr>
        <w:t xml:space="preserve"> attached hereto is an illustrative example of the calculation of Company Merger Shares. </w:t>
      </w:r>
    </w:p>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to purchase shares of Company Capital Stock issued by the Company pursuant to the Company Equity Incentive Plan (for the avoidance of doubt, other than Company Convertible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Company Outbound License</w:t>
      </w:r>
      <w:r>
        <w:rPr>
          <w:rFonts w:ascii="Times New Roman" w:hAnsi="Times New Roman"/>
          <w:sz w:val="20"/>
        </w:rPr>
        <w:t xml:space="preserve">” means any Company Contract pursuant to which the Company grants any license or any other right or immunity (including any sublicense, option, right of first refusal or other preferential right or covenant not to sue) under any Company Intellectual Property that is material to the business of the Company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the Company or (ii) incidental to any assays or other materials obtained from third parties under material transfer agreements or other similar contracts, in each case, consistent with industry standard, and (b) agreements between any of the Company or any Subsidiary thereof and another Subsidiary of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the Preferred Stock, $0.0001 par value per share, of the Company. </w:t>
      </w:r>
    </w:p>
    <w:p>
      <w:pPr>
        <w:pStyle w:val="TextBody"/>
        <w:bidi w:val="0"/>
        <w:spacing w:before="240" w:after="0"/>
        <w:jc w:val="left"/>
        <w:rPr/>
      </w:pPr>
      <w:r>
        <w:rPr/>
        <w:t>“</w:t>
      </w:r>
      <w:r>
        <w:rPr>
          <w:rFonts w:ascii="Times New Roman" w:hAnsi="Times New Roman"/>
          <w:b/>
          <w:sz w:val="20"/>
        </w:rPr>
        <w:t>Company Product</w:t>
      </w:r>
      <w:r>
        <w:rPr>
          <w:rFonts w:ascii="Times New Roman" w:hAnsi="Times New Roman"/>
          <w:sz w:val="20"/>
        </w:rPr>
        <w:t xml:space="preserve">” means any pharmaceutical, biological or medicinal therapy, compound, drug, product candidate or product that is being developed, researched, manufactured, tested, licensed, offered, marketed, sold, or distributed by or on behalf of the Company or its Subsidiaries, including any discovery or clinical programs or platforms and the therapies and compounds made and tested in such programs, including through collaboration with others, or through compassionate use/named patient activities. </w:t>
      </w:r>
    </w:p>
    <w:p>
      <w:pPr>
        <w:pStyle w:val="TextBody"/>
        <w:bidi w:val="0"/>
        <w:spacing w:before="240" w:after="0"/>
        <w:jc w:val="left"/>
        <w:rPr/>
      </w:pPr>
      <w:r>
        <w:rPr/>
        <w:t>“</w:t>
      </w:r>
      <w:r>
        <w:rPr>
          <w:rFonts w:ascii="Times New Roman" w:hAnsi="Times New Roman"/>
          <w:b/>
          <w:sz w:val="20"/>
        </w:rPr>
        <w:t>Company Restricted Stock</w:t>
      </w:r>
      <w:r>
        <w:rPr>
          <w:rFonts w:ascii="Times New Roman" w:hAnsi="Times New Roman"/>
          <w:sz w:val="20"/>
        </w:rPr>
        <w:t xml:space="preserve">” means any shares of Company Common Stock that are unvested or are subject to a repurchase option, risk of forfeiture or other condition on title or ownership under any applicable restricted stock purchase agreement or other Company Material Contract. </w:t>
      </w:r>
    </w:p>
    <w:p>
      <w:pPr>
        <w:pStyle w:val="TextBody"/>
        <w:bidi w:val="0"/>
        <w:spacing w:before="240" w:after="0"/>
        <w:jc w:val="left"/>
        <w:rPr/>
      </w:pPr>
      <w:r>
        <w:rPr/>
        <w:t>“</w:t>
      </w:r>
      <w:r>
        <w:rPr>
          <w:rFonts w:ascii="Times New Roman" w:hAnsi="Times New Roman"/>
          <w:b/>
          <w:sz w:val="20"/>
        </w:rPr>
        <w:t>Company Restricted Stock Unit</w:t>
      </w:r>
      <w:r>
        <w:rPr>
          <w:rFonts w:ascii="Times New Roman" w:hAnsi="Times New Roman"/>
          <w:sz w:val="20"/>
        </w:rPr>
        <w:t xml:space="preserve">” means a restricted stock unit of the Company, whether issued pursuant to the Company Equity Incentive Plan or otherwise (for the avoidance of doubt, other than Company Convertible Notes, Company Options or Company Warrants). </w:t>
      </w:r>
    </w:p>
    <w:p>
      <w:pPr>
        <w:pStyle w:val="TextBody"/>
        <w:bidi w:val="0"/>
        <w:spacing w:before="240" w:after="0"/>
        <w:jc w:val="left"/>
        <w:rPr/>
      </w:pPr>
      <w:r>
        <w:rPr/>
        <w:t>“</w:t>
      </w:r>
      <w:r>
        <w:rPr>
          <w:rFonts w:ascii="Times New Roman" w:hAnsi="Times New Roman"/>
          <w:b/>
          <w:sz w:val="20"/>
        </w:rPr>
        <w:t xml:space="preserve">Company SAFEs” </w:t>
      </w:r>
      <w:r>
        <w:rPr>
          <w:rFonts w:ascii="Times New Roman" w:hAnsi="Times New Roman"/>
          <w:sz w:val="20"/>
        </w:rPr>
        <w:t xml:space="preserve">means those certain simple agreements for future equity by and between the Company and the holders party thereto in the aggregate principal amount of $34,125,000 and listed as part of the definition of “Safes” in Subsection 3.21 of the Company Disclosure Schedule.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 the Company Board or any committee thereof shall have made a Company Board Adverse Recommendation Change or approved, endorsed or recommended any Acquisition Proposal with respect to the Company (other than by Aspen or an Affiliate thereof and other than actions made in compliance with </w:t>
      </w:r>
      <w:r>
        <w:rPr>
          <w:rFonts w:ascii="Times New Roman" w:hAnsi="Times New Roman"/>
          <w:sz w:val="20"/>
          <w:u w:val="single"/>
        </w:rPr>
        <w:t>Section 5.4</w:t>
      </w:r>
      <w:r>
        <w:rPr>
          <w:rFonts w:ascii="Times New Roman" w:hAnsi="Times New Roman"/>
          <w:sz w:val="20"/>
        </w:rPr>
        <w:t xml:space="preserve">), (b) the Company shall have entered into any letter of intent or similar document or any Contract relating to any Acquisition Proposal with respect to the Company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or (c) upon willful and material breach of the Company’s obligations set forth in the first sentence of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Warrants</w:t>
      </w:r>
      <w:r>
        <w:rPr>
          <w:rFonts w:ascii="Times New Roman" w:hAnsi="Times New Roman"/>
          <w:sz w:val="20"/>
        </w:rPr>
        <w:t xml:space="preserve">” means warrants to purchase shares of Company Capital Stock issued by the Company (for the avoidance of doubt, other than Company Convertible Notes, Company Restricted Stock Units or Company Options). </w:t>
      </w:r>
    </w:p>
    <w:p>
      <w:pPr>
        <w:pStyle w:val="TextBody"/>
        <w:bidi w:val="0"/>
        <w:spacing w:before="240" w:after="0"/>
        <w:jc w:val="left"/>
        <w:rPr/>
      </w:pPr>
      <w:r>
        <w:rPr/>
        <w:t>“</w:t>
      </w:r>
      <w:r>
        <w:rPr>
          <w:rFonts w:ascii="Times New Roman" w:hAnsi="Times New Roman"/>
          <w:b/>
          <w:sz w:val="20"/>
        </w:rPr>
        <w:t>Concurrent Investment Amount</w:t>
      </w:r>
      <w:r>
        <w:rPr>
          <w:rFonts w:ascii="Times New Roman" w:hAnsi="Times New Roman"/>
          <w:sz w:val="20"/>
        </w:rPr>
        <w:t xml:space="preserve">” means $114,500,000. </w:t>
      </w:r>
    </w:p>
    <w:p>
      <w:pPr>
        <w:pStyle w:val="TextBody"/>
        <w:bidi w:val="0"/>
        <w:spacing w:before="240" w:after="0"/>
        <w:jc w:val="left"/>
        <w:rPr/>
      </w:pPr>
      <w:r>
        <w:rPr/>
        <w:t>“</w:t>
      </w:r>
      <w:r>
        <w:rPr>
          <w:rFonts w:ascii="Times New Roman" w:hAnsi="Times New Roman"/>
          <w:b/>
          <w:sz w:val="20"/>
        </w:rPr>
        <w:t>Concurrent Investment Proceeds</w:t>
      </w:r>
      <w:r>
        <w:rPr>
          <w:rFonts w:ascii="Times New Roman" w:hAnsi="Times New Roman"/>
          <w:sz w:val="20"/>
        </w:rPr>
        <w:t xml:space="preserve">” means the collective proceeds actually resulting from (i) the Subscription Agreement Concurrent Investment and (ii) the Company SAFE Concurrent Investment. </w:t>
      </w:r>
    </w:p>
    <w:p>
      <w:pPr>
        <w:pStyle w:val="TextBody"/>
        <w:bidi w:val="0"/>
        <w:spacing w:before="240" w:after="0"/>
        <w:jc w:val="left"/>
        <w:rPr/>
      </w:pPr>
      <w:r>
        <w:rPr/>
        <w:t>“</w:t>
      </w:r>
      <w:r>
        <w:rPr>
          <w:rFonts w:ascii="Times New Roman" w:hAnsi="Times New Roman"/>
          <w:b/>
          <w:sz w:val="20"/>
        </w:rPr>
        <w:t>Confidentiality</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the Confidentiality Agreement, dated as of October 24, 2023, between the Company and Aspen.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Contemplated</w:t>
      </w:r>
      <w:r>
        <w:rPr>
          <w:rFonts w:ascii="Times New Roman" w:hAnsi="Times New Roman"/>
          <w:sz w:val="20"/>
        </w:rPr>
        <w:t xml:space="preserve"> </w:t>
      </w:r>
      <w:r>
        <w:rPr>
          <w:rFonts w:ascii="Times New Roman" w:hAnsi="Times New Roman"/>
          <w:b/>
          <w:sz w:val="20"/>
        </w:rPr>
        <w:t>Transactions</w:t>
      </w:r>
      <w:r>
        <w:rPr>
          <w:rFonts w:ascii="Times New Roman" w:hAnsi="Times New Roman"/>
          <w:sz w:val="20"/>
        </w:rPr>
        <w:t xml:space="preserve">” means the Merger and the other transactions contemplated by this Agreement, including the CVR Agreement, any Aspen Pre-Closing Transaction and the Concurrent Investment.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b/>
          <w:sz w:val="20"/>
        </w:rPr>
        <w:t>Drug Governmental Authority</w:t>
      </w:r>
      <w:r>
        <w:rPr>
          <w:rFonts w:ascii="Times New Roman" w:hAnsi="Times New Roman"/>
          <w:sz w:val="20"/>
        </w:rPr>
        <w:t xml:space="preserve">” means any Governmental Authority having jurisdiction over the safety, efficacy, approval, research, development, testing, labeling, manufacture, packaging, import, export, storage, sale, commercialization or distribution of Company Products or Aspen Products, such as the FDA, the European Medicines Agency, or the United Kingdom Medicines and Healthcare Products Regulatory Agency.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(i) each “employee benefit plan,” as defined in Section 3(3) of ERISA (whether or not subject to ERISA), (ii) each compensation, severance, termination protection, change in control, transaction bonus, retention or similar contract, plan, program, arrangement, policy or guidelines, and (iii) each other plan, program, arrangement or policy providing for compensation (including variable cash compensation and commissions), bonuses, profit-sharing, stock option or other stock-related rights or other forms of incentive or deferred compensation, tax gross-up, vacation benefits, insurance (including any self-insured arrangement), health, medical, dental, vision, prescription or fringe benefits, life insurance, relocation or expatriate benefits, perquisites, employee assistance program, disability or sick leave benefits, workers’ compensation, supplemental unemployment benefits, severance benefits or post-employment or retirement benefits (including compensation, pension, health, medical or life insurance benefits), in each case whether or not written.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w:t>
      </w:r>
      <w:r>
        <w:rPr>
          <w:rFonts w:ascii="Times New Roman" w:hAnsi="Times New Roman"/>
          <w:sz w:val="20"/>
        </w:rPr>
        <w:t xml:space="preserve"> </w:t>
      </w:r>
      <w:r>
        <w:rPr>
          <w:rFonts w:ascii="Times New Roman" w:hAnsi="Times New Roman"/>
          <w:b/>
          <w:sz w:val="20"/>
        </w:rPr>
        <w:t>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Equity Plan Proposals</w:t>
      </w:r>
      <w:r>
        <w:rPr>
          <w:rFonts w:ascii="Times New Roman" w:hAnsi="Times New Roman"/>
          <w:sz w:val="20"/>
        </w:rPr>
        <w:t>” means, collectively, the 2024 Equity Incentive Plan (the “</w:t>
      </w:r>
      <w:r>
        <w:rPr>
          <w:rFonts w:ascii="Times New Roman" w:hAnsi="Times New Roman"/>
          <w:b/>
          <w:sz w:val="20"/>
        </w:rPr>
        <w:t>2024 Plan</w:t>
      </w:r>
      <w:r>
        <w:rPr>
          <w:rFonts w:ascii="Times New Roman" w:hAnsi="Times New Roman"/>
          <w:sz w:val="20"/>
        </w:rPr>
        <w:t>”) and the 2024 Employee Stock Purchase Plan (the “</w:t>
      </w:r>
      <w:r>
        <w:rPr>
          <w:rFonts w:ascii="Times New Roman" w:hAnsi="Times New Roman"/>
          <w:b/>
          <w:sz w:val="20"/>
        </w:rPr>
        <w:t>2024 ESPP</w:t>
      </w:r>
      <w:r>
        <w:rPr>
          <w:rFonts w:ascii="Times New Roman" w:hAnsi="Times New Roman"/>
          <w:sz w:val="20"/>
        </w:rPr>
        <w:t xml:space="preserve">”), in a form reasonably acceptable to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Entity, any other Person that would be treated as a single employer with such Entity or part of the same “controlled group” as such Entity under Sections 414(b),(c),(m) or (o) of the Code.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FDA</w:t>
      </w:r>
      <w:r>
        <w:rPr>
          <w:rFonts w:ascii="Times New Roman" w:hAnsi="Times New Roman"/>
          <w:sz w:val="20"/>
        </w:rPr>
        <w:t xml:space="preserve">” means the United States Food and Drug Administration and any successor agency thereto. </w:t>
      </w:r>
    </w:p>
    <w:p>
      <w:pPr>
        <w:pStyle w:val="TextBody"/>
        <w:bidi w:val="0"/>
        <w:spacing w:before="240" w:after="0"/>
        <w:jc w:val="left"/>
        <w:rPr/>
      </w:pPr>
      <w:r>
        <w:rPr/>
        <w:t>“</w:t>
      </w:r>
      <w:r>
        <w:rPr>
          <w:rFonts w:ascii="Times New Roman" w:hAnsi="Times New Roman"/>
          <w:b/>
          <w:sz w:val="20"/>
        </w:rPr>
        <w:t>Good Clinical Practices</w:t>
      </w:r>
      <w:r>
        <w:rPr>
          <w:rFonts w:ascii="Times New Roman" w:hAnsi="Times New Roman"/>
          <w:sz w:val="20"/>
        </w:rPr>
        <w:t xml:space="preserve">” means the FDA’s standards for the design, conduct, performance, monitoring, auditing, recording, analysis, and reporting of clinical trials, including those standards contained in 21 C.F.R. Parts 11, 50, 54, 56 and 312 and all comparable standards of any other applicable Drug Governmental Authority. </w:t>
      </w:r>
    </w:p>
    <w:p>
      <w:pPr>
        <w:pStyle w:val="TextBody"/>
        <w:bidi w:val="0"/>
        <w:spacing w:before="240" w:after="0"/>
        <w:jc w:val="left"/>
        <w:rPr/>
      </w:pPr>
      <w:r>
        <w:rPr/>
        <w:t>“</w:t>
      </w:r>
      <w:r>
        <w:rPr>
          <w:rFonts w:ascii="Times New Roman" w:hAnsi="Times New Roman"/>
          <w:b/>
          <w:sz w:val="20"/>
        </w:rPr>
        <w:t>Good Laboratory Practices</w:t>
      </w:r>
      <w:r>
        <w:rPr>
          <w:rFonts w:ascii="Times New Roman" w:hAnsi="Times New Roman"/>
          <w:sz w:val="20"/>
        </w:rPr>
        <w:t xml:space="preserve">” means the FDA’s standards for conducting non-clinical laboratory studies, including those standards contained in 21 C.F.R. Parts 11 and 58, and all comparable standards of any other applicable Drug Governmental Authority. </w:t>
      </w:r>
    </w:p>
    <w:p>
      <w:pPr>
        <w:pStyle w:val="TextBody"/>
        <w:bidi w:val="0"/>
        <w:spacing w:before="240" w:after="0"/>
        <w:jc w:val="left"/>
        <w:rPr/>
      </w:pPr>
      <w:r>
        <w:rPr/>
        <w:t>“</w:t>
      </w:r>
      <w:r>
        <w:rPr>
          <w:rFonts w:ascii="Times New Roman" w:hAnsi="Times New Roman"/>
          <w:b/>
          <w:sz w:val="20"/>
        </w:rPr>
        <w:t>Good Manufacturing Practices</w:t>
      </w:r>
      <w:r>
        <w:rPr>
          <w:rFonts w:ascii="Times New Roman" w:hAnsi="Times New Roman"/>
          <w:sz w:val="20"/>
        </w:rPr>
        <w:t xml:space="preserve">” means the requirements set forth at 21 U.S.C. § 351(a)(2)(B) and in the regulations for drugs contained in 21 C.F.R. Parts 11, 210, 211 and 600-680, and all comparable standards of any other applicable Drug Governmental Authority.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Healthcare Laws</w:t>
      </w:r>
      <w:r>
        <w:rPr>
          <w:rFonts w:ascii="Times New Roman" w:hAnsi="Times New Roman"/>
          <w:sz w:val="20"/>
        </w:rPr>
        <w:t xml:space="preserve">” means all applicable health care Laws, including (i) any and all federal, state and local fraud and abuse Laws, including the federal Anti-Kickback Statute (42 U.S.C. § 1320a-7b(b)), the civil False Claims Act (31 U.S.C. §§ 3729 et seq.), the administrative False Claims Law (42 U.S.C. § 1320a-7b(a)) and the regulations promulgated pursuant to such statutes and equivalent non-U.S. statutory and regulatory provisions; (ii) the Federal Food, Drug, and Cosmetic Act (21 U.S.C. §§ 301 et seq.) and the regulations promulgated thereunder and equivalent non-U.S. statutory and regulatory provisions; (iii) the health care fraud and false statement provisions of HIPAA; (iv) applicable Laws which are cause for exclusion from any federal health care program and the regulations promulgated pursuant to such statutes and equivalent non-U.S. statutory and regulatory provisions; (v) the federal health care program civil monetary penalty (42 U.S.C. § 1320a-7a) and exclusion authorities (42 U.S.C. § 1320a-7) and the regulations promulgated pursuant to such statutes; (vi) the Public Health Service Act (42 U.S.C. §§ 201 et seq.) and the regulations promulgated thereunder and equivalent non-U.S. statutory and regulatory provisions; and (vii) all applicable Laws, rules, regulations, orders, judgments, decrees and injunctions administered by the FDA and other applicable regulatory authorities, including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governing recordkeeping, manufacturing, testing, development and approval of any Company Product or Aspen Product, including but not limited to FDA’s regulations at 21 C.F.R. Parts 11, 50, 54, 56, 58, 210, 211, 312, 600 and 610, each as may be amended from time to time and equivalent non-U.S. statutory and regulatory provisions. </w:t>
      </w:r>
    </w:p>
    <w:p>
      <w:pPr>
        <w:pStyle w:val="TextBody"/>
        <w:bidi w:val="0"/>
        <w:spacing w:before="240" w:after="0"/>
        <w:jc w:val="left"/>
        <w:rPr/>
      </w:pPr>
      <w:r>
        <w:rPr/>
        <w:t>“</w:t>
      </w:r>
      <w:r>
        <w:rPr>
          <w:rFonts w:ascii="Times New Roman" w:hAnsi="Times New Roman"/>
          <w:b/>
          <w:sz w:val="20"/>
        </w:rPr>
        <w:t>Healthcare Submissions</w:t>
      </w:r>
      <w:r>
        <w:rPr>
          <w:rFonts w:ascii="Times New Roman" w:hAnsi="Times New Roman"/>
          <w:sz w:val="20"/>
        </w:rPr>
        <w:t xml:space="preserve">” means all required material filings, declarations, listings, registrations, reports or submissions, including adverse event reports.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means collectively the Health Insurance Portability and Accountability Act (42 U.S.C. §§ 1320d et seq.), as amended by the Health Information Technology for Economic and Clinical Health Act (42 U.S.C. §§ 17921 et seq.) and their implementing regulations. </w:t>
      </w:r>
    </w:p>
    <w:p>
      <w:pPr>
        <w:pStyle w:val="TextBody"/>
        <w:bidi w:val="0"/>
        <w:spacing w:before="240" w:after="0"/>
        <w:jc w:val="left"/>
        <w:rPr/>
      </w:pPr>
      <w:r>
        <w:rPr/>
        <w:t>“</w:t>
      </w:r>
      <w:r>
        <w:rPr>
          <w:rFonts w:ascii="Times New Roman" w:hAnsi="Times New Roman"/>
          <w:b/>
          <w:sz w:val="20"/>
        </w:rPr>
        <w:t>In the Money Aspen Options</w:t>
      </w:r>
      <w:r>
        <w:rPr>
          <w:rFonts w:ascii="Times New Roman" w:hAnsi="Times New Roman"/>
          <w:sz w:val="20"/>
        </w:rPr>
        <w:t xml:space="preserve">” shall mean Aspen Options with an exercise price less than the Aspen Closing Price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any and all intellectual property or proprietary rights of any kind or nature throughout the world, including all (i) patents and patent applications, including all provisionals, nonprovisionals, continuations, continuations-in-part, divisionals, reissues, extensions, re-examinations, and substitutions thereof and the equivalents of any of the foregoing in any jurisdiction, and all inventions disclosed in each such patent or patent application (collectively, “</w:t>
      </w:r>
      <w:r>
        <w:rPr>
          <w:rFonts w:ascii="Times New Roman" w:hAnsi="Times New Roman"/>
          <w:b/>
          <w:sz w:val="20"/>
        </w:rPr>
        <w:t>Patents</w:t>
      </w:r>
      <w:r>
        <w:rPr>
          <w:rFonts w:ascii="Times New Roman" w:hAnsi="Times New Roman"/>
          <w:sz w:val="20"/>
        </w:rPr>
        <w:t>”); (ii) trade names, trade dress, logos, slogans, Internet domain names, registered and unregistered trademarks and service marks, and related registrations and applications for registration of any of the foregoing, and all goodwill associated with any of the foregoing (collectively, “</w:t>
      </w:r>
      <w:r>
        <w:rPr>
          <w:rFonts w:ascii="Times New Roman" w:hAnsi="Times New Roman"/>
          <w:b/>
          <w:sz w:val="20"/>
        </w:rPr>
        <w:t>Marks</w:t>
      </w:r>
      <w:r>
        <w:rPr>
          <w:rFonts w:ascii="Times New Roman" w:hAnsi="Times New Roman"/>
          <w:sz w:val="20"/>
        </w:rPr>
        <w:t>”); (iii) copyrights in both published and unpublished works, including all compilations, databases and computer programs, manuals and other documentation and all copyright registrations and applications (collectively, “</w:t>
      </w:r>
      <w:r>
        <w:rPr>
          <w:rFonts w:ascii="Times New Roman" w:hAnsi="Times New Roman"/>
          <w:b/>
          <w:sz w:val="20"/>
        </w:rPr>
        <w:t>Copyrights</w:t>
      </w:r>
      <w:r>
        <w:rPr>
          <w:rFonts w:ascii="Times New Roman" w:hAnsi="Times New Roman"/>
          <w:sz w:val="20"/>
        </w:rPr>
        <w:t>”); (iv) trade secrets, know-how, inventions (including as disclosed in invention disclosures and discoveries) and confidential information, including manufacturing information, methods and processes, assays, materials, engineering and other manuals and drawings, operating procedures, regulatory, chemical, pharmacological, toxicological, pharmaceutical, physical and analytical, safety, quality assurance, quality control and clinical data and similar data and information (collectively, “</w:t>
      </w:r>
      <w:r>
        <w:rPr>
          <w:rFonts w:ascii="Times New Roman" w:hAnsi="Times New Roman"/>
          <w:b/>
          <w:sz w:val="20"/>
        </w:rPr>
        <w:t>Trade Secrets</w:t>
      </w:r>
      <w:r>
        <w:rPr>
          <w:rFonts w:ascii="Times New Roman" w:hAnsi="Times New Roman"/>
          <w:sz w:val="20"/>
        </w:rPr>
        <w:t xml:space="preserve">”); (v) rights of privacy or publicity; (vi) rights in software, data and databases, and industrial property rights; (vii) embodiments of any of the foregoing, and (viii) rights to assert, claim, enforce or sue and collect damages or seek other remedies for any past, present or future infringement, misappropriation or other violation of any of the foregoing.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For the avoidance of doubt, the term “Law” includes any and all Environmental Laws, Healthcare Laws and Privacy Laws.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commenced, brought, conducted or heard by or before, or otherwise involving,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Global Select Market, the Nasdaq Global Market or the Nasdaq Capital Market, as may be applicable to Aspen from time to time. </w:t>
      </w:r>
    </w:p>
    <w:p>
      <w:pPr>
        <w:pStyle w:val="TextBody"/>
        <w:bidi w:val="0"/>
        <w:spacing w:before="24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Aspen Common Stock at a reverse stock split ratio mutually agreed to by Aspen and the Company that is effected by Aspen for the purpose of maintaining compliance with Nasdaq listing requirements or of maintaining compliance with Aspen’s authorized share count, or for other purposes as mutually agreed by the parties.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w:t>
      </w:r>
      <w:r>
        <w:rPr>
          <w:rFonts w:ascii="Times New Roman" w:hAnsi="Times New Roman"/>
          <w:sz w:val="20"/>
        </w:rPr>
        <w:t xml:space="preserve"> </w:t>
      </w:r>
      <w:r>
        <w:rPr>
          <w:rFonts w:ascii="Times New Roman" w:hAnsi="Times New Roman"/>
          <w:b/>
          <w:sz w:val="20"/>
        </w:rPr>
        <w:t>Course of Business</w:t>
      </w:r>
      <w:r>
        <w:rPr>
          <w:rFonts w:ascii="Times New Roman" w:hAnsi="Times New Roman"/>
          <w:sz w:val="20"/>
        </w:rPr>
        <w:t xml:space="preserve">” means, in the case of each of the Company and Aspen, such actions taken in the ordinary course of its normal operations and consistent with its past practices,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the Pre-Closing Period, the Ordinary Course of Business of Aspen shall also be deemed to include actions required to effect and effecting, in one or more transactions, the sale, divestiture, licensing or winding down of Aspen’s business or operations related to the assets listed on Schedule 1.1 of the Aspen Disclosure Schedule or the sale, license or other disposition of any or all of the Aspen Pre-Closing Assets, including the expenditure of monies in connection therewith.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240" w:after="0"/>
        <w:jc w:val="left"/>
        <w:rPr/>
      </w:pPr>
      <w:r>
        <w:rPr/>
        <w:t>“</w:t>
      </w:r>
      <w:r>
        <w:rPr>
          <w:rFonts w:ascii="Times New Roman" w:hAnsi="Times New Roman"/>
          <w:b/>
          <w:sz w:val="20"/>
        </w:rPr>
        <w:t>Out of the Money Aspen Options</w:t>
      </w:r>
      <w:r>
        <w:rPr>
          <w:rFonts w:ascii="Times New Roman" w:hAnsi="Times New Roman"/>
          <w:sz w:val="20"/>
        </w:rPr>
        <w:t xml:space="preserve">” shall mean Aspen Options with an exercise price greater than the Aspen Closing Price.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Aspen.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have been made on the Company Financials or the Aspen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Aspen,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Personal Information</w:t>
      </w:r>
      <w:r>
        <w:rPr>
          <w:rFonts w:ascii="Times New Roman" w:hAnsi="Times New Roman"/>
          <w:sz w:val="20"/>
        </w:rPr>
        <w:t xml:space="preserve">” means data and information concerning an identifiable natural person that are subject to regulation by the Privacy Laws.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collectively, (i) all applicable Laws relating to data privacy, data protection, data security, trans-border data flow, data loss, data theft or breach notification with respect to the collection, handling, use, processing, maintenance, storage, disclosure or transfer of Personal Information enacted, adopted, promulgated or applied by any Governmental Authority, including the applicable legally binding requirements set forth in applicable regulations and agreements containing consent orders published by regulatory authorities of competent jurisdiction such as, as applicable, the U.S. Federal Trade Commission, U.S. Federal Communications Commission, and state data protection authorities, including but not limited to HIPAA; (ii) the internal privacy policy of the Company and any public statements that the Company has made regarding its privacy policies and practices; (iii) third party privacy policies with which the Company has been or is contractually obligated to comply; and (iv) any applicable rules of any applicable self-regulatory organizations in which the Company is or has been a member and/or with which the Company is or has been contractually obligated to comply relating to data privacy, data protection, data security, trans-border data flow, data loss, data theft or breach notification with respect to the collection, handling, use, processing, maintenance, storage, disclosure or transfer of Personal Information.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directors, officers, employees, agents, attorneys, accountants, investment bankers, advisors and representatives.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any country or region subject to economic sanctions or trade restrictions of the United States that broadly prohibit or restrict dealings with such country or region (currently including Cuba, Iran, North Korea, Syria, the Crimea region of Ukraine, and the so-called Donetsk People’s Republic and Luhansk People’s Republic regions in Ukraine).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means any Person subject to economic sanctions, trade restrictions or similar restrictions under any Sanctions Laws, including (a) any Person identified in any sanctions list maintained by the U.S. government, including (i) the U.S. Department of the Treasury, Office of Foreign Assets Control (“</w:t>
      </w:r>
      <w:r>
        <w:rPr>
          <w:rFonts w:ascii="Times New Roman" w:hAnsi="Times New Roman"/>
          <w:b/>
          <w:sz w:val="20"/>
        </w:rPr>
        <w:t>OFAC</w:t>
      </w:r>
      <w:r>
        <w:rPr>
          <w:rFonts w:ascii="Times New Roman" w:hAnsi="Times New Roman"/>
          <w:sz w:val="20"/>
        </w:rPr>
        <w:t xml:space="preserve">”), (ii) the U.S. Department of Commerce, Bureau of Industry and Security, and (iii) the U.S. Department of State; (b) any Person located, organized or resident in, or a government instrumentality of, any Sanctioned Country; and (c) any Person directly or indirectly owned fifty percent (50%) or more by, or acting for the benefit or on behalf of, a Person described in the Specially Designated Nationals and Blocked Persons list maintained by OFAC or the foregoing clause (b). </w:t>
      </w:r>
    </w:p>
    <w:p>
      <w:pPr>
        <w:pStyle w:val="TextBody"/>
        <w:bidi w:val="0"/>
        <w:spacing w:before="240" w:after="0"/>
        <w:jc w:val="left"/>
        <w:rPr/>
      </w:pPr>
      <w:r>
        <w:rPr/>
        <w:t>“</w:t>
      </w:r>
      <w:r>
        <w:rPr>
          <w:rFonts w:ascii="Times New Roman" w:hAnsi="Times New Roman"/>
          <w:b/>
          <w:sz w:val="20"/>
        </w:rPr>
        <w:t>Sanctions Laws</w:t>
      </w:r>
      <w:r>
        <w:rPr>
          <w:rFonts w:ascii="Times New Roman" w:hAnsi="Times New Roman"/>
          <w:sz w:val="20"/>
        </w:rPr>
        <w:t xml:space="preserve">” means all applicable Laws concerning embargoes, economic sanctions, export or import controls or restrictions, the ability to make or receive international payments, the ability to export items (including hardware, software, or technology) and/or services, the ability to engage in international transactions, or the ability to take an ownership interest in assets located in a foreign country, including those administered by OFAC, the Bureau of Industry and Security of the U.S. Department of Commerce, the U.S. Department of State, and any other similar Laws of any other jurisdiction.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Specified Time</w:t>
      </w:r>
      <w:r>
        <w:rPr>
          <w:rFonts w:ascii="Times New Roman" w:hAnsi="Times New Roman"/>
          <w:sz w:val="20"/>
        </w:rPr>
        <w:t xml:space="preserve">” means the time that is immediately prior to the Effective Time.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w:t>
      </w:r>
      <w:r>
        <w:rPr>
          <w:rFonts w:ascii="Times New Roman" w:hAnsi="Times New Roman"/>
          <w:sz w:val="20"/>
        </w:rPr>
        <w:t xml:space="preserve"> </w:t>
      </w:r>
      <w:r>
        <w:rPr>
          <w:rFonts w:ascii="Times New Roman" w:hAnsi="Times New Roman"/>
          <w:b/>
          <w:sz w:val="20"/>
        </w:rPr>
        <w:t>Offer</w:t>
      </w:r>
      <w:r>
        <w:rPr>
          <w:rFonts w:ascii="Times New Roman" w:hAnsi="Times New Roman"/>
          <w:sz w:val="20"/>
        </w:rPr>
        <w:t xml:space="preserve">” means an unsolicited bona fide written Acquisition Proposal (with all references to 20% in the definition of Acquisition Transaction being treated as references to 70% for these purposes) that: (a) was not obtained or made as a result of a breach of (or a violation of) </w:t>
      </w:r>
      <w:r>
        <w:rPr>
          <w:rFonts w:ascii="Times New Roman" w:hAnsi="Times New Roman"/>
          <w:sz w:val="20"/>
          <w:u w:val="single"/>
        </w:rPr>
        <w:t>Section 5.4(a)</w:t>
      </w:r>
      <w:r>
        <w:rPr>
          <w:rFonts w:ascii="Times New Roman" w:hAnsi="Times New Roman"/>
          <w:sz w:val="20"/>
        </w:rPr>
        <w:t xml:space="preserve"> by Aspen, (b) is on terms and conditions that the Aspen Board or the Company Board, as applicable (or any committee thereof) determines in good faith, based on such matters that it deems relevant (including the likelihood of consummation thereof and the financing terms thereof), as well as any binding written offer by the other Party to the Agreement to amend the terms of this Agreement, and following consultation with its outside legal counsel and financial advisors, if any, it deems are more favorable, from a financial point of view, to Aspen’s stockholders or the Company’s stockholders, as applicable, than the terms of the Contemplated Transactions, (c) is not subject to any debt financing conditions (and if debt financing is required, such financing is then fully committed to the third party) and (d) is reasonably capable of being completed on the terms proposed.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of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Transaction Expenses</w:t>
      </w:r>
      <w:r>
        <w:rPr>
          <w:rFonts w:ascii="Times New Roman" w:hAnsi="Times New Roman"/>
          <w:sz w:val="20"/>
        </w:rPr>
        <w:t xml:space="preserve">” means, subject to </w:t>
      </w:r>
      <w:r>
        <w:rPr>
          <w:rFonts w:ascii="Times New Roman" w:hAnsi="Times New Roman"/>
          <w:sz w:val="20"/>
          <w:u w:val="single"/>
        </w:rPr>
        <w:t>Section 10.3(a)</w:t>
      </w:r>
      <w:r>
        <w:rPr>
          <w:rFonts w:ascii="Times New Roman" w:hAnsi="Times New Roman"/>
          <w:sz w:val="20"/>
        </w:rPr>
        <w:t xml:space="preserve">, with respect to Aspen, and solely to the extent remaining unpaid at the Cash Determination Time, the aggregate amount (without duplication) of all costs, fees and expenses incurred by Aspen or any of its Subsidiaries (including Merger Sub), or for which Aspen or any of its Subsidiaries are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(a) any fees and expenses of legal counsel and accountants, fees and expenses reasonably expected to be payable to financial advisors, investment bankers, brokers, consultants, tax advisors, transfer agents, proxy solicitor and other advisors of Aspen in connection with the Contemplated Transactions; (b) 50% of the fees paid to the SEC in connection with filing the Registration Statement, the Proxy Statement, and any amendments and supplements thereto, with the SEC; (c) 50% of the fees and expenses in connection with the printing, mailing and distribution of the Registration Statement and any amendments and supplements thereto; (d) 50% of the Nasdaq Fees (as defined in </w:t>
      </w:r>
      <w:r>
        <w:rPr>
          <w:rFonts w:ascii="Times New Roman" w:hAnsi="Times New Roman"/>
          <w:sz w:val="20"/>
          <w:u w:val="single"/>
        </w:rPr>
        <w:t>Section 6.10</w:t>
      </w:r>
      <w:r>
        <w:rPr>
          <w:rFonts w:ascii="Times New Roman" w:hAnsi="Times New Roman"/>
          <w:sz w:val="20"/>
        </w:rPr>
        <w:t xml:space="preserve">); (e) the CVR Fees; and (f) to the extent not included in Aspen Net Cash, any bonus, severance, change-in-control payments or similar payment obligations (including payments with “single-trigger” provisions triggered at and as of the Closing) in effect as of the Closing that are, become, or may become due or payable to any director, officer, employee or consultant of Aspen in connection with, or following, the consummation of the Contemplated Transactions, including the employer portion of any employment, payroll or similar Taxes with respect to such compensation; </w:t>
      </w:r>
      <w:r>
        <w:rPr>
          <w:rFonts w:ascii="Times New Roman" w:hAnsi="Times New Roman"/>
          <w:sz w:val="20"/>
          <w:u w:val="single"/>
        </w:rPr>
        <w:t>provided</w:t>
      </w:r>
      <w:r>
        <w:rPr>
          <w:rFonts w:ascii="Times New Roman" w:hAnsi="Times New Roman"/>
          <w:sz w:val="20"/>
        </w:rPr>
        <w:t xml:space="preserve">, that, Transaction Expenses shall not include any Costs associated with the obtainment of directors and officers insurance pursuant to </w:t>
      </w:r>
      <w:r>
        <w:rPr>
          <w:rFonts w:ascii="Times New Roman" w:hAnsi="Times New Roman"/>
          <w:sz w:val="20"/>
          <w:u w:val="single"/>
        </w:rPr>
        <w:t>Section 6.8</w:t>
      </w:r>
      <w:r>
        <w:rPr>
          <w:rFonts w:ascii="Times New Roman" w:hAnsi="Times New Roman"/>
          <w:sz w:val="20"/>
        </w:rPr>
        <w:t>. With respect to the fees or costs contemplated by clauses (b), (c) and (d) of the preceding sentence, the remaining 50% of each such category of fees or costs is referred to herein as a “</w:t>
      </w:r>
      <w:r>
        <w:rPr>
          <w:rFonts w:ascii="Times New Roman" w:hAnsi="Times New Roman"/>
          <w:b/>
          <w:sz w:val="20"/>
        </w:rPr>
        <w:t>Company Portion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(b) Each of the following terms is defined in the Section set forth opposite such term: </w:t>
      </w:r>
    </w:p>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3860"/>
        <w:gridCol w:w="120"/>
        <w:gridCol w:w="92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Board Recommendation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6.3(b)</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Disclosure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ESPP</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4.6(c)</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Grant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4.6(f)</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4.13(a)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Net Cash Calculation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Net Cash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4.11</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SEC Documents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Stock Plans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4.6(c)</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Stockholder Matters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Recitals</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Aspen Stockholder Meeting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6.3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Capitalization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4.6(a)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Cash Determination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2.9(a)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Certificate of 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Certifications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4.7(a)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Closing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Closing Date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Closing Distribution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Disclosure Schedule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Financials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Material Contract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3.13(a)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Stockholder Written Consents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6.2(a)</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Preferred Stock Conversion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2.5(h)</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Real Estate Leases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3.11</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Company Stock Certificate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Costs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6.8</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CVR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660" w:type="dxa"/>
        <w:jc w:val="left"/>
        <w:tblInd w:w="0" w:type="dxa"/>
        <w:tblLayout w:type="fixed"/>
        <w:tblCellMar>
          <w:top w:w="0" w:type="dxa"/>
          <w:left w:w="0" w:type="dxa"/>
          <w:bottom w:w="0" w:type="dxa"/>
          <w:right w:w="0" w:type="dxa"/>
        </w:tblCellMar>
      </w:tblPr>
      <w:tblGrid>
        <w:gridCol w:w="3620"/>
        <w:gridCol w:w="120"/>
        <w:gridCol w:w="92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CVR Agreement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CVR Fees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2.6(c)</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D&amp;O Indemnified Parties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6.8(a)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Effective Time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2.3</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Exchange Agent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2.8</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FDA</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1.1(a)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Final Offering</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6.7(c)</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GAAP</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3.7(a)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Liability</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3.9</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Merger</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Recitals</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Merger Consideration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2.5(a)(ii)</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Merger Sub</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Preamble</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Post-Closing Welfare Plan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6.6(b)</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Privacy Policies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3.22</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Proxy Statement</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Required Company Stockholder Vote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3.4</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Required Aspen Stockholder Vote</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4.4</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Specified Aspen Stockholder Matters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6.3(a)</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Surviving Corporation</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2.1</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Tax Certificates</w:t>
            </w:r>
          </w:p>
        </w:tc>
        <w:tc>
          <w:tcPr>
            <w:tcW w:w="12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6.11(c)</w:t>
            </w:r>
          </w:p>
        </w:tc>
      </w:tr>
    </w:tbl>
    <w:p>
      <w:pPr>
        <w:pStyle w:val="TextBody"/>
        <w:bidi w:val="0"/>
        <w:spacing w:before="240" w:after="0"/>
        <w:jc w:val="left"/>
        <w:rPr>
          <w:rFonts w:ascii="Times New Roman" w:hAnsi="Times New Roman"/>
          <w:sz w:val="20"/>
        </w:rPr>
      </w:pPr>
      <w:bookmarkStart w:id="201" w:name="annxa770053_3"/>
      <w:bookmarkEnd w:id="201"/>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Aspen Disclosure Schedule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Schedule or the Aspen Disclosure Schedule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(a)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bookmarkStart w:id="202" w:name="annxa770053_4"/>
      <w:bookmarkEnd w:id="202"/>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3" w:name="annxa770053_5"/>
      <w:bookmarkEnd w:id="203"/>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4" w:name="annxa770053_6"/>
      <w:bookmarkEnd w:id="204"/>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As a result of the Merger, the Company will become a wholly owned subsidiary of Aspen. </w:t>
      </w:r>
    </w:p>
    <w:p>
      <w:pPr>
        <w:pStyle w:val="TextBody"/>
        <w:bidi w:val="0"/>
        <w:spacing w:before="240" w:after="0"/>
        <w:jc w:val="left"/>
        <w:rPr>
          <w:rFonts w:ascii="Times New Roman" w:hAnsi="Times New Roman"/>
          <w:sz w:val="20"/>
        </w:rPr>
      </w:pPr>
      <w:bookmarkStart w:id="205" w:name="annxa770053_7"/>
      <w:bookmarkEnd w:id="205"/>
      <w:r>
        <w:rPr>
          <w:rFonts w:ascii="Times New Roman" w:hAnsi="Times New Roman"/>
          <w:sz w:val="20"/>
        </w:rPr>
        <w:t xml:space="preserve">2.3 </w:t>
      </w:r>
      <w:r>
        <w:rPr>
          <w:rFonts w:ascii="Times New Roman" w:hAnsi="Times New Roman"/>
          <w:sz w:val="20"/>
          <w:u w:val="single"/>
        </w:rPr>
        <w:t>Closing;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10.1</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other than those conditions that by their nature are to be satisfied at the Closing, but subject to the satisfaction or waiver of each of such conditions), or at such other time, date and place as Aspen and the Company may mutually agree in writing. The date on which the Closing actually takes place is referred to as the “</w:t>
      </w:r>
      <w:r>
        <w:rPr>
          <w:rFonts w:ascii="Times New Roman" w:hAnsi="Times New Roman"/>
          <w:b/>
          <w:sz w:val="20"/>
        </w:rPr>
        <w:t>Closing Date</w:t>
      </w:r>
      <w:r>
        <w:rPr>
          <w:rFonts w:ascii="Times New Roman" w:hAnsi="Times New Roman"/>
          <w:sz w:val="20"/>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hAnsi="Times New Roman"/>
          <w:b/>
          <w:sz w:val="20"/>
        </w:rPr>
        <w:t>Certificate of Merger</w:t>
      </w:r>
      <w:r>
        <w:rPr>
          <w:rFonts w:ascii="Times New Roman" w:hAnsi="Times New Roman"/>
          <w:sz w:val="20"/>
        </w:rPr>
        <w:t>”). The Merger shall become effective at the time of the filing of such Certificate of Merger with the Secretary of State of the State of Delaware or at such later time as may be specified in such Certificate of Merger with the consent of Aspen and the Company (the time as of which the Merger becomes effective being referred to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6" w:name="annxa770053_8"/>
      <w:bookmarkEnd w:id="206"/>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the certificate of incorporation of the Surviving Corporation shall be amended and restated in the Merger to read as set forth on Exhibit A to the Certificate of Merger, until thereafter amended as provided by the DGCL and such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certificate of incorporation of Aspen shall be identical to the certificate of incorporation of Aspen immediately prior to the Effective Time, until thereafter amended as provided by the DGCL and such certificate of incorporation;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Effective Time, Aspen shall file an amendment to its certificate of incorporation to (i) change the name of Aspen to “Tectonic Therapeutic, Inc.”, (ii) effect the Nasdaq Reverse Split, and (iii) make such other changes as are mutually agreeable to Aspen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bylaws of the Surviving Corporation shall be identical to the bylaws of Merger Sub as in effect immediately prior to the Effective Time, until thereafter amended as provided by the DGCL and such bylaws; </w:t>
      </w:r>
    </w:p>
    <w:p>
      <w:pPr>
        <w:pStyle w:val="TextBody"/>
        <w:bidi w:val="0"/>
        <w:spacing w:before="240" w:after="0"/>
        <w:jc w:val="left"/>
        <w:rPr>
          <w:rFonts w:ascii="Times New Roman" w:hAnsi="Times New Roman"/>
          <w:sz w:val="20"/>
        </w:rPr>
      </w:pPr>
      <w:r>
        <w:rPr>
          <w:rFonts w:ascii="Times New Roman" w:hAnsi="Times New Roman"/>
          <w:sz w:val="20"/>
        </w:rPr>
        <w:t xml:space="preserve">(d) the directors and officers of Aspen, each to hold office in accordance with the certificate of incorporation and bylaws of Aspen, shall be as set forth in </w:t>
      </w:r>
      <w:r>
        <w:rPr>
          <w:rFonts w:ascii="Times New Roman" w:hAnsi="Times New Roman"/>
          <w:sz w:val="20"/>
          <w:u w:val="single"/>
        </w:rPr>
        <w:t>Section 6.13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(e) the directors and officers of the Surviving Corporation, each to hold office in accordance with the certificate of incorporation and bylaws of Merger Sub, shall be as set forth in </w:t>
      </w:r>
      <w:r>
        <w:rPr>
          <w:rFonts w:ascii="Times New Roman" w:hAnsi="Times New Roman"/>
          <w:sz w:val="20"/>
          <w:u w:val="single"/>
        </w:rPr>
        <w:t>Section 6.13</w:t>
      </w:r>
      <w:r>
        <w:rPr>
          <w:rFonts w:ascii="Times New Roman" w:hAnsi="Times New Roman"/>
          <w:sz w:val="20"/>
        </w:rPr>
        <w:t> after giving effect to the provisions of </w:t>
      </w:r>
      <w:r>
        <w:rPr>
          <w:rFonts w:ascii="Times New Roman" w:hAnsi="Times New Roman"/>
          <w:sz w:val="20"/>
          <w:u w:val="single"/>
        </w:rPr>
        <w:t>Section 6.13</w:t>
      </w:r>
      <w:r>
        <w:rPr>
          <w:rFonts w:ascii="Times New Roman" w:hAnsi="Times New Roman"/>
          <w:sz w:val="20"/>
        </w:rPr>
        <w:t xml:space="preserve">, or such other persons as shall be mutually agreed upon by Aspen and the Company. </w:t>
      </w:r>
    </w:p>
    <w:p>
      <w:pPr>
        <w:pStyle w:val="TextBody"/>
        <w:bidi w:val="0"/>
        <w:spacing w:before="240" w:after="0"/>
        <w:jc w:val="left"/>
        <w:rPr>
          <w:rFonts w:ascii="Times New Roman" w:hAnsi="Times New Roman"/>
          <w:sz w:val="20"/>
        </w:rPr>
      </w:pPr>
      <w:bookmarkStart w:id="207" w:name="annxa770053_9"/>
      <w:bookmarkEnd w:id="207"/>
      <w:r>
        <w:rPr>
          <w:rFonts w:ascii="Times New Roman" w:hAnsi="Times New Roman"/>
          <w:sz w:val="20"/>
        </w:rPr>
        <w:t xml:space="preserve">2.5 </w:t>
      </w:r>
      <w:r>
        <w:rPr>
          <w:rFonts w:ascii="Times New Roman" w:hAnsi="Times New Roman"/>
          <w:sz w:val="20"/>
          <w:u w:val="single"/>
        </w:rPr>
        <w:t>Conversion of Company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(after giving effect to the Company SAFEs Conversion and the Company Preferred Stock Conversion), by virtue of the Merger and without any further action on the part of Aspen, Merger Sub, the Company or any stockholder of the Company or Aspen: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Effective Time shall be canceled and retired and shall cease to exist, and no consideration shall be delivered in exchange therefor; and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outstanding immediately prior to the Effective Time (excluding (a) shares to be canceled pursuant to </w:t>
      </w:r>
      <w:r>
        <w:rPr>
          <w:rFonts w:ascii="Times New Roman" w:hAnsi="Times New Roman"/>
          <w:sz w:val="20"/>
          <w:u w:val="single"/>
        </w:rPr>
        <w:t>Section 2.5(a)(i)</w:t>
      </w:r>
      <w:r>
        <w:rPr>
          <w:rFonts w:ascii="Times New Roman" w:hAnsi="Times New Roman"/>
          <w:sz w:val="20"/>
        </w:rPr>
        <w:t xml:space="preserve">, and (b) Dissenting Shares, but, for the avoidance of doubt, including (A) Concurrent Investment Company Shares and (B) shares of Company Common Stock issued in respect of the Company Preferred Stock Conversion) shall be converted solely into the right to receive a number of shares of Aspen Common Stock equal to the product of (x) the Exchange Ratio </w:t>
      </w:r>
      <w:r>
        <w:rPr>
          <w:rFonts w:ascii="Times New Roman" w:hAnsi="Times New Roman"/>
          <w:i/>
          <w:sz w:val="20"/>
          <w:u w:val="single"/>
        </w:rPr>
        <w:t>multiplied by</w:t>
      </w:r>
      <w:r>
        <w:rPr>
          <w:rFonts w:ascii="Times New Roman" w:hAnsi="Times New Roman"/>
          <w:sz w:val="20"/>
        </w:rPr>
        <w:t xml:space="preserve"> (y) such share of Company Capital Stock (the “</w:t>
      </w:r>
      <w:r>
        <w:rPr>
          <w:rFonts w:ascii="Times New Roman" w:hAnsi="Times New Roman"/>
          <w:b/>
          <w:sz w:val="20"/>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there are any shares of Company Restricted Stock outstanding immediately prior to the Effective Time, then the shares of Aspen Common Stock issued in exchange for such shares of Company Restricted Stock will to the same extent be unvested and subject to the same repurchase option or risk of forfeiture, and such shares of Aspen Common Stock shall accordingly be marked with appropriate legends. The Company shall take all actions that may be necessary to ensure that, from and after the Effective Time, Aspen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Aspen Common Stock shall be issued in connection with the Merger, and no certificates or scrip for any such fractional shares shall be issued. Any holder of Company Capital Stock (including Concurrent Investors) who would otherwise be entitled to receive a fraction of a share of Aspen Common Stock (after aggregating all fractional shares of Aspen Common Stock issuable to such holder) shall receive from Aspen, in lieu of such fractional share and upon surrender by such holder of a letter of transmittal in accordance with Section 2.8 and any accompanying documents as required therein: (i) one share of Aspen Common Stock if the aggregate amount of fractional shares of Aspen Common Stock such holder of Company Capital Stock would otherwise be entitled to is equal to or exceeds 0.50; or (ii) no shares of Aspen Common Stock if the aggregate amount of fractional shares of Aspen Common Stock such holder of Company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would otherwise be entitled to is less than 0.50, with no cash being paid for any fractional share eliminated by such rounding.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outstanding immediately prior to the Effective Time shall be treated in accordance with </w:t>
      </w:r>
      <w:r>
        <w:rPr>
          <w:rFonts w:ascii="Times New Roman" w:hAnsi="Times New Roman"/>
          <w:sz w:val="20"/>
          <w:u w:val="single"/>
        </w:rPr>
        <w:t>Section 6.5(a)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book entry share of Merger Sub evidencing ownership of any such shares shall, as of the Effective Time, evidence ownership of such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Effective Time, the outstanding Company Capital Stock or Aspen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Aspen Common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Aspen to take any action with respect to Company Capital Stock or Aspen Common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(g) All Company SAFEs shall be converted, at the same price per share at which the Concurrent Investment Company Shares are sold pursuant to the Subscription Agreement (which shall be the Public Offering/Conversion Price as defined in the Company SAFEs), into Company Common Stock as of immediately following the Company Preferred Stock Conversion and immediately prior to the Subscription Agreement Concurrent Investment and at the Specified Time in accordance with, and otherwise pursuant to the terms and conditions of, the Company SAFEs (the “</w:t>
      </w:r>
      <w:r>
        <w:rPr>
          <w:rFonts w:ascii="Times New Roman" w:hAnsi="Times New Roman"/>
          <w:b/>
          <w:sz w:val="20"/>
        </w:rPr>
        <w:t>Company SAFEs Conversion</w:t>
      </w:r>
      <w:r>
        <w:rPr>
          <w:rFonts w:ascii="Times New Roman" w:hAnsi="Times New Roman"/>
          <w:sz w:val="20"/>
        </w:rPr>
        <w:t xml:space="preserve">”). All of the Company SAFEs so converted into shares of Company Common Stock shall no longer be outstanding and shall cease to exist, and each holder of Company SAFEs shall thereafter cease to have any rights with respect to Company SAFEs. Following the Company SAFEs Conversion, at the Effective Time and by virtue of the Merger, all shares of Company Common Stock issued in the Company SAFEs Conversion shall be canceled and converted into the right to receive Aspen Common Stock pursuant to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All Company Preferred Stock shall be converted into Company Common Stock as of immediately prior to Company SAFEs Conversion (which Company SAFEs Conversion shall occur immediately prior to the Subscription Agreement Concurrent Investment) and at the Specified Time in accordance with, and pursuant to the terms and conditions of, the Organizational Documents of the Company (the “</w:t>
      </w:r>
      <w:r>
        <w:rPr>
          <w:rFonts w:ascii="Times New Roman" w:hAnsi="Times New Roman"/>
          <w:b/>
          <w:sz w:val="20"/>
        </w:rPr>
        <w:t>Company Preferred Stock Conversion</w:t>
      </w:r>
      <w:r>
        <w:rPr>
          <w:rFonts w:ascii="Times New Roman" w:hAnsi="Times New Roman"/>
          <w:sz w:val="20"/>
        </w:rPr>
        <w:t xml:space="preserve">”). All of the Company Preferred Stock so converted into shares of Company Common Stock shall no longer be outstanding and shall cease to exist, and each holder of Company Preferred Stock shall thereafter cease to have any rights with respect to Company Preferred Stock. Following the Company Preferred Stock Conversion, at the Effective Time and by virtue of the Merger, all shares of Company Common Stock issued in the Company Preferred Stock Conversion shall be canceled and converted into the right to receive Aspen Common Stock pursuant to this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8" w:name="annxa770053_10"/>
      <w:bookmarkEnd w:id="208"/>
      <w:r>
        <w:rPr>
          <w:rFonts w:ascii="Times New Roman" w:hAnsi="Times New Roman"/>
          <w:sz w:val="20"/>
        </w:rPr>
        <w:t xml:space="preserve">2.6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Aspen shall declare a distribution (the “</w:t>
      </w:r>
      <w:r>
        <w:rPr>
          <w:rFonts w:ascii="Times New Roman" w:hAnsi="Times New Roman"/>
          <w:b/>
          <w:sz w:val="20"/>
        </w:rPr>
        <w:t>Closing Distribution</w:t>
      </w:r>
      <w:r>
        <w:rPr>
          <w:rFonts w:ascii="Times New Roman" w:hAnsi="Times New Roman"/>
          <w:sz w:val="20"/>
        </w:rPr>
        <w:t xml:space="preserve">”) to holders of Aspen Common Stock of record as of immediately prior to the Effective Time (including, for the avoidance of doubt, those shares of Aspen Common Stock issued upon settlement of Aspen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Units pursuant to </w:t>
      </w:r>
      <w:r>
        <w:rPr>
          <w:rFonts w:ascii="Times New Roman" w:hAnsi="Times New Roman"/>
          <w:sz w:val="20"/>
          <w:u w:val="single"/>
        </w:rPr>
        <w:t>Section 6.7</w:t>
      </w:r>
      <w:r>
        <w:rPr>
          <w:rFonts w:ascii="Times New Roman" w:hAnsi="Times New Roman"/>
          <w:sz w:val="20"/>
        </w:rPr>
        <w:t>) of the right to receive one contingent value right (each, a “</w:t>
      </w:r>
      <w:r>
        <w:rPr>
          <w:rFonts w:ascii="Times New Roman" w:hAnsi="Times New Roman"/>
          <w:b/>
          <w:sz w:val="20"/>
        </w:rPr>
        <w:t>CVR</w:t>
      </w:r>
      <w:r>
        <w:rPr>
          <w:rFonts w:ascii="Times New Roman" w:hAnsi="Times New Roman"/>
          <w:sz w:val="20"/>
        </w:rPr>
        <w:t xml:space="preserve">”) for each outstanding share of Aspen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sz w:val="20"/>
        </w:rPr>
        <w:t>CVR Agreement</w:t>
      </w:r>
      <w:r>
        <w:rPr>
          <w:rFonts w:ascii="Times New Roman" w:hAnsi="Times New Roman"/>
          <w:sz w:val="20"/>
        </w:rPr>
        <w:t xml:space="preserve">”), with such reasonable revisions thereto requested by the Rights Agent that are not individually or in the aggregate materially detrimental to the holders of CVRs and are reasonably acceptable to Aspen and the Company. The record date for the Closing Distribution shall be the close of business on the Business Day immediately prior to the day on which the Effective Time occurs and the payment date for which shall be three (3) Business Days after the Effective Time; provided that the payment of such distribution may be conditioned upon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Aspen and the Exchange Agent shall, at or prior to the Effective Time, duly authorize, execute and deliver the CVR Agreement, subject to any reasonable revisions to the CVR Agreement that are requested by such Exchange Agent and are reasonably acceptable to the Company and Aspen. </w:t>
      </w:r>
    </w:p>
    <w:p>
      <w:pPr>
        <w:pStyle w:val="TextBody"/>
        <w:bidi w:val="0"/>
        <w:spacing w:before="240" w:after="0"/>
        <w:jc w:val="left"/>
        <w:rPr>
          <w:rFonts w:ascii="Times New Roman" w:hAnsi="Times New Roman"/>
          <w:sz w:val="20"/>
        </w:rPr>
      </w:pPr>
      <w:r>
        <w:rPr>
          <w:rFonts w:ascii="Times New Roman" w:hAnsi="Times New Roman"/>
          <w:sz w:val="20"/>
        </w:rPr>
        <w:t xml:space="preserve">(c) Aspen shall pay all costs and fees associated with any action contemplated by this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9" w:name="annxa770053_11"/>
      <w:bookmarkEnd w:id="209"/>
      <w:r>
        <w:rPr>
          <w:rFonts w:ascii="Times New Roman" w:hAnsi="Times New Roman"/>
          <w:sz w:val="20"/>
        </w:rPr>
        <w:t xml:space="preserve">2.7 </w:t>
      </w:r>
      <w:r>
        <w:rPr>
          <w:rFonts w:ascii="Times New Roman" w:hAnsi="Times New Roman"/>
          <w:sz w:val="20"/>
          <w:u w:val="single"/>
        </w:rPr>
        <w:t>Closing of the Company’s Transfer Books</w:t>
      </w:r>
      <w:r>
        <w:rPr>
          <w:rFonts w:ascii="Times New Roman" w:hAnsi="Times New Roman"/>
          <w:sz w:val="20"/>
        </w:rPr>
        <w:t xml:space="preserve">. At the Effective Time: (a) all Company Capital Stock outstanding immediately prior to the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Effective Time shall cease to have any rights as stockholders of the Company, other than the right to receive the Merger Consideration pursuant to </w:t>
      </w:r>
      <w:r>
        <w:rPr>
          <w:rFonts w:ascii="Times New Roman" w:hAnsi="Times New Roman"/>
          <w:sz w:val="20"/>
          <w:u w:val="single"/>
        </w:rPr>
        <w:t>Section 2.5</w:t>
      </w:r>
      <w:r>
        <w:rPr>
          <w:rFonts w:ascii="Times New Roman" w:hAnsi="Times New Roman"/>
          <w:sz w:val="20"/>
        </w:rPr>
        <w:t xml:space="preserve">, and (b) the stock transfer books of the Company shall be closed with respect to all Company Capital Stock outstanding immediately prior to the Effective Time. No further transfer of any such Company Capital Stock shall be made on such stock transfer books after the Effective Time. </w:t>
      </w:r>
    </w:p>
    <w:p>
      <w:pPr>
        <w:pStyle w:val="TextBody"/>
        <w:bidi w:val="0"/>
        <w:spacing w:before="240" w:after="0"/>
        <w:jc w:val="left"/>
        <w:rPr>
          <w:rFonts w:ascii="Times New Roman" w:hAnsi="Times New Roman"/>
          <w:sz w:val="20"/>
        </w:rPr>
      </w:pPr>
      <w:bookmarkStart w:id="210" w:name="annxa770053_12"/>
      <w:bookmarkEnd w:id="210"/>
      <w:r>
        <w:rPr>
          <w:rFonts w:ascii="Times New Roman" w:hAnsi="Times New Roman"/>
          <w:sz w:val="20"/>
        </w:rPr>
        <w:t xml:space="preserve">2.8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Aspen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Effective Time, Aspen shall deposit with the Exchange Agent evidence of book-entry shares representing the shares of Aspen Common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Effective Time, the Parties shall cause the Exchange Agent to transmit to the Persons who were record holders of shares of Company Capital Stock that were converted into the right to receive the Merger Consideration: (i) a letter of transmittal in customary form and containing such provisions as Aspen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or uncertificated shares of Company Capital Stock, in exchange for book-entry shares of Aspen Common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Aspen: (A) the holder of such Company Stock Certificate or uncertificated shares of Company Capital Stock shall be entitled to receive in exchange therefor book-entry shares representing the Merger Consideration (in a number of whole shares of Aspen Common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and (B) the Company Stock Certificate or uncertificated shares of Company Capital Stock so surrendered shall be canceled. Until surrendered as contemplated by this </w:t>
      </w:r>
      <w:r>
        <w:rPr>
          <w:rFonts w:ascii="Times New Roman" w:hAnsi="Times New Roman"/>
          <w:sz w:val="20"/>
          <w:u w:val="single"/>
        </w:rPr>
        <w:t>Section 2.8(b)</w:t>
      </w:r>
      <w:r>
        <w:rPr>
          <w:rFonts w:ascii="Times New Roman" w:hAnsi="Times New Roman"/>
          <w:sz w:val="20"/>
        </w:rPr>
        <w:t xml:space="preserve">, each Company Stock Certificate or uncertificated shares of Company Capital Stock shall be deemed, from and after the Effective Time, to represent only the right to receive book-entry shares of Aspen Common Stock representing the Merger Consideration. If any Company Stock Certificate shall have been lost, stolen or destroyed, Aspen may, in its discretion and as a condition precedent to the delivery of any shares of Aspen Common Stock,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 of such lost, stolen or destroyed Company Stock Certificate to provide an applicable affidavit with respect to such Company Stock Certificate and post a bond indemnifying Aspen against any claim suffered by Aspen related to the lost, stolen or destroyed Company Stock Certificate or any Aspen Common Stock issued in exchange therefor as Aspen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Aspen Common Stock with a record date after the Effective Time shall be paid to the holder of any unsurrendered Company Stock Certificate with respect to the shares of Aspen Common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2.8</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Aspen Common Stock deposited with the Exchange Agent that remain undistributed to holders of Company Stock Certificates as of the date that is one hundred eighty (180) days after the Closing Date shall be delivered to Aspen upon demand, and any holders of Company Stock Certificates who have not theretofore surrendered their Company Stock Certificates or uncertificated shares of Company Capital Stock in accordance with this </w:t>
      </w:r>
      <w:r>
        <w:rPr>
          <w:rFonts w:ascii="Times New Roman" w:hAnsi="Times New Roman"/>
          <w:sz w:val="20"/>
          <w:u w:val="single"/>
        </w:rPr>
        <w:t>Section 2.8</w:t>
      </w:r>
      <w:r>
        <w:rPr>
          <w:rFonts w:ascii="Times New Roman" w:hAnsi="Times New Roman"/>
          <w:sz w:val="20"/>
        </w:rPr>
        <w:t xml:space="preserve"> shall thereafter look only to Aspen for satisfaction of their claims for Aspen Common Stock and any dividends or distributions with respect to shares of Aspen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 Party shall be liable to any holder of any Company Stock Certificate or uncertificated shares of Company Capital Stock or to any other Person with respect to any shares of Aspen Common Stock (or dividends or distributions with respect thereto) or for any cash amounts delivered to any public official pursuant to any applicable abandoned property Law, escheat Law or similar Law. </w:t>
      </w:r>
    </w:p>
    <w:p>
      <w:pPr>
        <w:pStyle w:val="TextBody"/>
        <w:bidi w:val="0"/>
        <w:spacing w:before="240" w:after="0"/>
        <w:jc w:val="left"/>
        <w:rPr>
          <w:rFonts w:ascii="Times New Roman" w:hAnsi="Times New Roman"/>
          <w:sz w:val="20"/>
        </w:rPr>
      </w:pPr>
      <w:bookmarkStart w:id="211" w:name="annxa770053_13"/>
      <w:bookmarkEnd w:id="211"/>
      <w:r>
        <w:rPr>
          <w:rFonts w:ascii="Times New Roman" w:hAnsi="Times New Roman"/>
          <w:sz w:val="20"/>
        </w:rPr>
        <w:t xml:space="preserve">2.9 </w:t>
      </w:r>
      <w:r>
        <w:rPr>
          <w:rFonts w:ascii="Times New Roman" w:hAnsi="Times New Roman"/>
          <w:sz w:val="20"/>
          <w:u w:val="single"/>
        </w:rPr>
        <w:t>Calculation of Net Cash and Company Equity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Closing Date, Aspen will deliver to the Company a schedule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Net Cash Schedule</w:t>
      </w:r>
      <w:r>
        <w:rPr>
          <w:rFonts w:ascii="Times New Roman" w:hAnsi="Times New Roman"/>
          <w:sz w:val="20"/>
        </w:rPr>
        <w:t>”) setting forth, in reasonable detail, Aspen’s good faith, estimated calculation of Aspen Net Cash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Net Cash Calculation</w:t>
      </w:r>
      <w:r>
        <w:rPr>
          <w:rFonts w:ascii="Times New Roman" w:hAnsi="Times New Roman"/>
          <w:sz w:val="20"/>
        </w:rPr>
        <w:t>”) as of 11:59 p.m. on the last Business Day prior to the Anticipated Closing Date (the “</w:t>
      </w:r>
      <w:r>
        <w:rPr>
          <w:rFonts w:ascii="Times New Roman" w:hAnsi="Times New Roman"/>
          <w:b/>
          <w:sz w:val="20"/>
        </w:rPr>
        <w:t>Cash</w:t>
      </w:r>
      <w:r>
        <w:rPr>
          <w:rFonts w:ascii="Times New Roman" w:hAnsi="Times New Roman"/>
          <w:sz w:val="20"/>
        </w:rPr>
        <w:t xml:space="preserve"> </w:t>
      </w:r>
      <w:r>
        <w:rPr>
          <w:rFonts w:ascii="Times New Roman" w:hAnsi="Times New Roman"/>
          <w:b/>
          <w:sz w:val="20"/>
        </w:rPr>
        <w:t>Determination Time</w:t>
      </w:r>
      <w:r>
        <w:rPr>
          <w:rFonts w:ascii="Times New Roman" w:hAnsi="Times New Roman"/>
          <w:sz w:val="20"/>
        </w:rPr>
        <w:t xml:space="preserve">”) prepared and certified by Aspen’s chief financial officer (or if there is no chief financial officer at such time, the principal financial and accounting officer for Aspen). Aspen shall make available to the Company (electronically to the greatest extent possible), as reasonably requested by the Company, the work papers and back-up materials used in preparing the Aspen Net Cash Schedule and, if reasonably requested by the Company, Aspen’s accountants at reasonable times and upon reasonable notice. The Aspen Net Cash Calculation shall include Aspen’s determination, as of the Cash Determination Time, of the defined terms in </w:t>
      </w:r>
      <w:r>
        <w:rPr>
          <w:rFonts w:ascii="Times New Roman" w:hAnsi="Times New Roman"/>
          <w:sz w:val="20"/>
          <w:u w:val="single"/>
        </w:rPr>
        <w:t>Section 1.1(a)</w:t>
      </w:r>
      <w:r>
        <w:rPr>
          <w:rFonts w:ascii="Times New Roman" w:hAnsi="Times New Roman"/>
          <w:sz w:val="20"/>
        </w:rPr>
        <w:t xml:space="preserve"> necessary to calculate the Exchange Ratio.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after the Cash Determination Time (the last day of such period, the “</w:t>
      </w:r>
      <w:r>
        <w:rPr>
          <w:rFonts w:ascii="Times New Roman" w:hAnsi="Times New Roman"/>
          <w:b/>
          <w:sz w:val="20"/>
        </w:rPr>
        <w:t>Response Date</w:t>
      </w:r>
      <w:r>
        <w:rPr>
          <w:rFonts w:ascii="Times New Roman" w:hAnsi="Times New Roman"/>
          <w:sz w:val="20"/>
        </w:rPr>
        <w:t>”), the Company shall have the right to dispute any part of the Aspen Net Cash Calculation by delivering a written notice to that effect to Aspen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Aspen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(c) If, on or prior to the Response Date, the Company notifies Aspen in writing that it has no objections to the Aspen Net Cash Calculation or, if on the Response Date, the Company fails to deliver a Dispute Notice as provided in </w:t>
      </w:r>
      <w:r>
        <w:rPr>
          <w:rFonts w:ascii="Times New Roman" w:hAnsi="Times New Roman"/>
          <w:sz w:val="20"/>
          <w:u w:val="single"/>
        </w:rPr>
        <w:t>Section 2.9(b)</w:t>
      </w:r>
      <w:r>
        <w:rPr>
          <w:rFonts w:ascii="Times New Roman" w:hAnsi="Times New Roman"/>
          <w:sz w:val="20"/>
        </w:rPr>
        <w:t xml:space="preserve">, then the Aspen Net Cash Calculation as set forth in the Aspen Net Cash Schedule shall be deemed to have been finally determined for purposes of this Agreement and to represent the Aspen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delivers a Dispute Notice on or prior to the Response Date, then Representatives of Aspen and the Company shall promptly meet and attempt in good faith to resolve the disputed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item(s) and negotiate an agreed-upon determination of Aspen Net Cash, which agreed upon the Aspen Net Cash amount shall be deemed to have been finally determined for purposes of this Agreement and to represent the Aspen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Aspen and the Company are unable to negotiate an agreed-upon determination of Aspen Net Cash as of the Cash Determination Time pursuant to </w:t>
      </w:r>
      <w:r>
        <w:rPr>
          <w:rFonts w:ascii="Times New Roman" w:hAnsi="Times New Roman"/>
          <w:sz w:val="20"/>
          <w:u w:val="single"/>
        </w:rPr>
        <w:t>Section 2.9(d)</w:t>
      </w:r>
      <w:r>
        <w:rPr>
          <w:rFonts w:ascii="Times New Roman" w:hAnsi="Times New Roman"/>
          <w:sz w:val="20"/>
        </w:rPr>
        <w:t xml:space="preserve"> within three (3) days after delivery of the Dispute Notice (or such other period as Aspen and the Company may mutually agree upon), then any remaining disagreements as to the calculation of Aspen Net Cash shall be referred to an independent auditor of recognized national standing jointly selected by Aspen and the Company. If the parties are unable to select an independent auditor within five (5) days, then either Aspen or the Company may thereafter request that the Boston, Massachusetts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Aspen and the Company shall promptly deliver to the Accounting Firm the work papers and back-up materials used in preparing the Aspen Net Cash Schedule and the Dispute Notice, and Aspen and the Company shall use commercially reasonable efforts to cause the Accounting Firm to make its determination within five (5) Business Days of accepting its selection. Aspen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Aspen and the Company. The determination of the Accounting Firm shall be limited to the disagreements submitted to the Accounting Firm. The determination of the amount of Aspen Net Cash made by the Accounting Firm shall be made in writing delivered to each of Aspen and the Company, shall be final and binding on Aspen and the Company and shall (absent manifest error) be deemed to have been finally determined for purposes of this Agreement and to represent the Aspen Net Cash at the Cash Determination Time for purposes of this Agreement. The Parties shall delay the Closing until the resolution of the matters described in this </w:t>
      </w:r>
      <w:r>
        <w:rPr>
          <w:rFonts w:ascii="Times New Roman" w:hAnsi="Times New Roman"/>
          <w:sz w:val="20"/>
          <w:u w:val="single"/>
        </w:rPr>
        <w:t>Section 2.9(e)</w:t>
      </w:r>
      <w:r>
        <w:rPr>
          <w:rFonts w:ascii="Times New Roman" w:hAnsi="Times New Roman"/>
          <w:sz w:val="20"/>
        </w:rPr>
        <w:t xml:space="preserve">. The fees and expenses of the Accounting Firm shall be allocated between Aspen and the Company in the same proportion that the disputed amount of the Aspen Net Cash that was unsuccessfully disputed by such Party (as finally determined by the Accounting Firm) bears to the total disputed amount of the Aspen Net Cash amount. If this </w:t>
      </w:r>
      <w:r>
        <w:rPr>
          <w:rFonts w:ascii="Times New Roman" w:hAnsi="Times New Roman"/>
          <w:sz w:val="20"/>
          <w:u w:val="single"/>
        </w:rPr>
        <w:t>Section 2.9(e)</w:t>
      </w:r>
      <w:r>
        <w:rPr>
          <w:rFonts w:ascii="Times New Roman" w:hAnsi="Times New Roman"/>
          <w:sz w:val="20"/>
        </w:rPr>
        <w:t xml:space="preserve"> applies as to the determination of the Aspen Net Cash at the Cash Determination Time, upon resolution of the matter in accordance with this </w:t>
      </w:r>
      <w:r>
        <w:rPr>
          <w:rFonts w:ascii="Times New Roman" w:hAnsi="Times New Roman"/>
          <w:sz w:val="20"/>
          <w:u w:val="single"/>
        </w:rPr>
        <w:t>Section 2.9(e)</w:t>
      </w:r>
      <w:r>
        <w:rPr>
          <w:rFonts w:ascii="Times New Roman" w:hAnsi="Times New Roman"/>
          <w:sz w:val="20"/>
        </w:rPr>
        <w:t xml:space="preserve">, the Parties shall not be required to determine Aspen Net Cash again even though the Closing may occur later than the Anticipated Closing Date, except that either Aspen and the Company may request a redetermination of Aspen Net Cash if the Closing Date is more than thirty (30) days after the Anticipated Closing Date. </w:t>
      </w:r>
    </w:p>
    <w:p>
      <w:pPr>
        <w:pStyle w:val="TextBody"/>
        <w:bidi w:val="0"/>
        <w:spacing w:before="240" w:after="0"/>
        <w:jc w:val="left"/>
        <w:rPr>
          <w:rFonts w:ascii="Times New Roman" w:hAnsi="Times New Roman"/>
          <w:sz w:val="20"/>
        </w:rPr>
      </w:pPr>
      <w:bookmarkStart w:id="212" w:name="annxa770053_14"/>
      <w:bookmarkEnd w:id="212"/>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 </w:t>
      </w:r>
    </w:p>
    <w:p>
      <w:pPr>
        <w:pStyle w:val="TextBody"/>
        <w:bidi w:val="0"/>
        <w:spacing w:before="240" w:after="0"/>
        <w:jc w:val="left"/>
        <w:rPr>
          <w:rFonts w:ascii="Times New Roman" w:hAnsi="Times New Roman"/>
          <w:sz w:val="20"/>
        </w:rPr>
      </w:pPr>
      <w:bookmarkStart w:id="213" w:name="annxa770053_15"/>
      <w:bookmarkEnd w:id="213"/>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(i) the Merger is intended to qualify as a reorganization within the meaning of Section 368(a) of the Code and the Treasury Regulations thereunder to which Aspen and the Company are parties under Section 368(b) of the Code, and (ii) this Agreement constitutes, and the Parties hereby adopt this Agreement as, a “plan of reorganization” within the meaning of Treasury Regulations Sections 1.368-2(g) and 1.368-3 for purposes of Sections 354, 361 and 368 of the Code (collectively,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4" w:name="annxa770053_16"/>
      <w:bookmarkEnd w:id="214"/>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Aspen and the Surviving Corporation, as applicable, shall be entitled to deduct and withhold from any consideration deliverable pursuant to this Agreement (including the Closing Distribution) to any Person such amounts as it is required to deduct or withhold from such consideration under applicable Law. To the extent such amounts are so deducted or withheld and remitted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Governmental Authority in accordance with applicable Law, such amounts shall be treated for all purposes under this Agreement as having been paid to the Person to whom such amounts would otherwise have been paid. </w:t>
      </w:r>
    </w:p>
    <w:p>
      <w:pPr>
        <w:pStyle w:val="TextBody"/>
        <w:bidi w:val="0"/>
        <w:spacing w:before="240" w:after="0"/>
        <w:jc w:val="left"/>
        <w:rPr>
          <w:rFonts w:ascii="Times New Roman" w:hAnsi="Times New Roman"/>
          <w:sz w:val="20"/>
        </w:rPr>
      </w:pPr>
      <w:bookmarkStart w:id="215" w:name="annxa770053_17"/>
      <w:bookmarkEnd w:id="215"/>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Aspen prompt written notice of any demands by dissenting stockholders received by the Company, withdrawals of such demands and any other instruments served on the Company and any material correspondence received by the Company in connection with such demands, and Aspen shall have the right to participate in all negotiations and proceedings with respect to such demands. The Company shall not, except with Aspen’s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bookmarkStart w:id="216" w:name="annxa770053_18"/>
      <w:bookmarkEnd w:id="216"/>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3</w:t>
      </w:r>
      <w:r>
        <w:rPr>
          <w:rFonts w:ascii="Times New Roman" w:hAnsi="Times New Roman"/>
          <w:sz w:val="20"/>
        </w:rPr>
        <w:t>, except as set forth in the written disclosure schedule delivered by the Company to Aspen (the “</w:t>
      </w:r>
      <w:r>
        <w:rPr>
          <w:rFonts w:ascii="Times New Roman" w:hAnsi="Times New Roman"/>
          <w:b/>
          <w:sz w:val="20"/>
        </w:rPr>
        <w:t>Company Disclosure Schedule</w:t>
      </w:r>
      <w:r>
        <w:rPr>
          <w:rFonts w:ascii="Times New Roman" w:hAnsi="Times New Roman"/>
          <w:sz w:val="20"/>
        </w:rPr>
        <w:t xml:space="preserve">”), the Company represents and warrants to Aspen and Merger Sub as follows: </w:t>
      </w:r>
    </w:p>
    <w:p>
      <w:pPr>
        <w:pStyle w:val="TextBody"/>
        <w:bidi w:val="0"/>
        <w:spacing w:before="240" w:after="0"/>
        <w:jc w:val="left"/>
        <w:rPr>
          <w:rFonts w:ascii="Times New Roman" w:hAnsi="Times New Roman"/>
          <w:sz w:val="20"/>
        </w:rPr>
      </w:pPr>
      <w:bookmarkStart w:id="217" w:name="annxa770053_19"/>
      <w:bookmarkEnd w:id="217"/>
      <w:r>
        <w:rPr>
          <w:rFonts w:ascii="Times New Roman" w:hAnsi="Times New Roman"/>
          <w:sz w:val="20"/>
        </w:rPr>
        <w:t xml:space="preserve">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All of the Company’s Subsidiaries are wholly owned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controls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218" w:name="annxa770053_20"/>
      <w:bookmarkEnd w:id="218"/>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Aspen accurate and complete copies of the Organizational Documents of the Company. The Company is not in breach or violation of its Organizational Documents in any material respect. </w:t>
      </w:r>
    </w:p>
    <w:p>
      <w:pPr>
        <w:pStyle w:val="TextBody"/>
        <w:bidi w:val="0"/>
        <w:spacing w:before="240" w:after="0"/>
        <w:jc w:val="left"/>
        <w:rPr>
          <w:rFonts w:ascii="Times New Roman" w:hAnsi="Times New Roman"/>
          <w:sz w:val="20"/>
        </w:rPr>
      </w:pPr>
      <w:bookmarkStart w:id="219" w:name="annxa770053_21"/>
      <w:bookmarkEnd w:id="219"/>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b/>
          <w:sz w:val="20"/>
        </w:rPr>
        <w:t>.</w:t>
      </w:r>
      <w:r>
        <w:rPr>
          <w:rFonts w:ascii="Times New Roman" w:hAnsi="Times New Roman"/>
          <w:sz w:val="20"/>
        </w:rPr>
        <w:t xml:space="preserve"> Subject to obtaining the Required Company Stockholder Vote, the Company has all necessary corporate power and authority to enter into and to perform its obligations under this Agreement and to consummate the Contemplated Transactions that are contemplated to be consummated by it.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Aspen and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bookmarkStart w:id="220" w:name="annxa770053_22"/>
      <w:bookmarkEnd w:id="220"/>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The written consent or affirmative vote of (i) a majority of shares of Company Common Stock and Voting Preferred Stock (as defined in the Company’s Amended and Restated Certificate of Incorporation), voting together as a single class and on an as-converted to Company Common Stock basis, (ii) holders of a majority of the shares of the Company’s Series A-1 Preferred Stock, Series A-3 Preferred Stock and Series A-4 Preferred Stock voting together with the holders of Company Common Stock as a single class and on an as-converted to Company Common Stock basis, (iii) holders of a majority of the shares of the Company’s Series A-1 Preferred Stock, Series A-3 Preferred Stock and Series A-4 Preferred Stock voting together as a single class and on an as-converted to Company Common Stock basis, are the only votes of the holders of any class or series of Company Capital Stock necessary to adopt and approve this Agreement and approve the Contemplated Transactions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1" w:name="annxa770053_23"/>
      <w:bookmarkEnd w:id="221"/>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Company’s Organizational Documents or the Company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(iv) cause a default (or an event that with notice or lapse of time or both would result in a default), give right to a right of termination, cancellation or acceleration of any obligation or loss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benefit of the Company or any of its Subsidiaries, or result in the creation of any Encumbrance (other than Permitted Encumbrances) upon any of the properties or assets of the Company or any of its Subsidiaries, in each case under any Company Material Contract and in each case except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Company Stockholder Vote, (ii) the filing of the Certificate of Merger with the Secretary of State of Delaware pursuant to the DGCL, and (iii) such consents, waivers, approvals, orders authorizations, registrations, declarations and filings as may be required under applicable federal and state securities laws, the Company was not, is not, nor will be required to make any filing with or give any notice to, or to obtain any Consent from, any Person in connection with (x) the execution, delivery or performance of this Agreement or (y) the consummation of the Contemplated Transactions (in each case except under Company Contracts that are not Company Material Contracts, and in the case of such filings, notices or Consents under Company Material Contracts, except as the failure to make such filing, give such notice or obtain such Consent would not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Board has taken and will take all actions necessary to ensure that the restrictions applicable to business combinations contained in Section 203 of the DGCL, to the extent applicable to the Company,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 </w:t>
      </w:r>
    </w:p>
    <w:p>
      <w:pPr>
        <w:pStyle w:val="TextBody"/>
        <w:bidi w:val="0"/>
        <w:spacing w:before="240" w:after="0"/>
        <w:jc w:val="left"/>
        <w:rPr>
          <w:rFonts w:ascii="Times New Roman" w:hAnsi="Times New Roman"/>
          <w:sz w:val="20"/>
        </w:rPr>
      </w:pPr>
      <w:bookmarkStart w:id="222" w:name="annxa770053_24"/>
      <w:bookmarkEnd w:id="222"/>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authorized capital of the Company consists of: </w:t>
      </w:r>
    </w:p>
    <w:p>
      <w:pPr>
        <w:pStyle w:val="TextBody"/>
        <w:bidi w:val="0"/>
        <w:spacing w:before="120" w:after="0"/>
        <w:jc w:val="left"/>
        <w:rPr>
          <w:rFonts w:ascii="Times New Roman" w:hAnsi="Times New Roman"/>
          <w:sz w:val="20"/>
        </w:rPr>
      </w:pPr>
      <w:r>
        <w:rPr>
          <w:rFonts w:ascii="Times New Roman" w:hAnsi="Times New Roman"/>
          <w:sz w:val="20"/>
        </w:rPr>
        <w:t xml:space="preserve">(i) 11,947,558 shares of Company Common Stock, 2,634,714 shares of which are issued and outstanding as of the date hereof, 43,174 shares of which are Company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(ii) 6,825,483 shares of Company Preferred Stock, of which (A) 4,118,120 shares have been designated Series A-1 Preferred Stock, all of which are issued and outstanding as of the date hereof, (B) 1,649,188 shares have been designated Series A-2 Preferred Stock, all of which are issued and outstanding as of the date hereof, (C) 696,516 shares have been designated Series A-3 Preferred Stock, all of which are issued and outstanding as of the date hereof, and (D) 361,659 shares have been designated Series A-4 Preferred Stock, all of which are issued and outstanding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(iii) 1,991,264 shares of Company Common Stock which the Company has reserved for issuance to officers, directors, employees and consultants of the Company pursuant to the Company’s 2019 Equity Incentive Plan. Of such reserved shares of Common Stock, no shares have been issued pursuant to restricted stock purchase agreements, 1,830,965 options to purchase shares have been granted and are currently outstanding as of the date hereof, and 47,169 shares of Common Stock remain available for issuance to officers, directors, employees and consultants pursuant to the Stock Plan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Each share of Company Preferred Stock and each Company SAFE will convert into shares of Company Common Stock in the Company Preferred Stock Conversion and Company SAFEs Conversion (as applicable) on a one-for-one basis. Except as contemplated herein, there is no Company Contract relating to the voting or registration of, or restricting any Person from purchasing, selling, pledging or otherwise disposing of (or granting any option or similar right with respect to), any Company Capital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is not under any obligation, nor is it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Schedule accurately and completely lists all repurchase rights held by the Company with respect to Company Capital Stock (including shares issued pursuant to the exercise of options) and specifies which of those repurchase rights are currently exercisable. As of the date hereof, no Company Convertible Notes other than the Company SAFEs, no Company Warrants and no Company Restricted Stock Units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3.6(c)</w:t>
      </w:r>
      <w:r>
        <w:rPr>
          <w:rFonts w:ascii="Times New Roman" w:hAnsi="Times New Roman"/>
          <w:sz w:val="20"/>
        </w:rPr>
        <w:t xml:space="preserve"> of the Company Disclosure Schedule, the Company does not have any option plan or any other plan, program, agreement or arrangement providing for an equity-based compensation for any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w:t>
      </w:r>
      <w:r>
        <w:rPr>
          <w:rFonts w:ascii="Times New Roman" w:hAnsi="Times New Roman"/>
          <w:sz w:val="20"/>
          <w:u w:val="single"/>
        </w:rPr>
        <w:t>Section 3.6(d)</w:t>
      </w:r>
      <w:r>
        <w:rPr>
          <w:rFonts w:ascii="Times New Roman" w:hAnsi="Times New Roman"/>
          <w:sz w:val="20"/>
        </w:rPr>
        <w:t xml:space="preserve"> of the Company Disclosure Schedule,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Company Capital Stock and other securities of the Company have been issued and granted in material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bookmarkStart w:id="223" w:name="annxa770053_25"/>
      <w:bookmarkEnd w:id="223"/>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3.7(a) of the Company Disclosure Schedule includes true and complete copies of the Company’s (i) consolidated audited balance sheets and related audited statements of operations, changes in statements of convertible preferred stock and stockholders’ deficit and cash flows, and notes thereto for the twelve (12) months ended December 31, 2022 (the “</w:t>
      </w:r>
      <w:r>
        <w:rPr>
          <w:rFonts w:ascii="Times New Roman" w:hAnsi="Times New Roman"/>
          <w:b/>
          <w:sz w:val="20"/>
        </w:rPr>
        <w:t>Company Financials</w:t>
      </w:r>
      <w:r>
        <w:rPr>
          <w:rFonts w:ascii="Times New Roman" w:hAnsi="Times New Roman"/>
          <w:sz w:val="20"/>
        </w:rPr>
        <w:t>”) and December 31, 2021 and (ii) consolidated unaudited balance sheets and related unaudited statements of operations, changes in statements of convertible preferred stock and stockholders’ deficit and cash flows, and notes thereto for the nine (9) months ended, September 30, 2022, September 30, 2023 (collectively, the “</w:t>
      </w:r>
      <w:r>
        <w:rPr>
          <w:rFonts w:ascii="Times New Roman" w:hAnsi="Times New Roman"/>
          <w:b/>
          <w:sz w:val="20"/>
        </w:rPr>
        <w:t>Interim Company Financials</w:t>
      </w:r>
      <w:r>
        <w:rPr>
          <w:rFonts w:ascii="Times New Roman" w:hAnsi="Times New Roman"/>
          <w:sz w:val="20"/>
        </w:rPr>
        <w:t>”). The Company Financials (A) were prepared in accordance with United States generally accepted accounting principles (“</w:t>
      </w:r>
      <w:r>
        <w:rPr>
          <w:rFonts w:ascii="Times New Roman" w:hAnsi="Times New Roman"/>
          <w:b/>
          <w:sz w:val="20"/>
        </w:rPr>
        <w:t>GAAP</w:t>
      </w:r>
      <w:r>
        <w:rPr>
          <w:rFonts w:ascii="Times New Roman" w:hAnsi="Times New Roman"/>
          <w:sz w:val="20"/>
        </w:rPr>
        <w:t xml:space="preserve">”) (except that the Company Financials may not have notes thereto and other presentation items that may be required by GAAP and are subject to normal and recurring year-end adjustments that are not reasonably expected to be material in amount) applied on a consistent basis unless otherwise noted therein throughout the periods indicated and (B) fairly present, in all material respects, the financial position and operating results of the Company as of the dates and for the periods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consistent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practices of similarly situated private companies, internal controls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Schedule lists, and the Company has delivered to Aspen accurate and complete copies of the documentation creating or governing, all securitization transactions and off-balance sheet arrangements” (as defined in Item 2.03 of Form 8-K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224" w:name="annxa770053_26"/>
      <w:bookmarkEnd w:id="224"/>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Schedule, between December 31, 2022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Aspen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225" w:name="annxa770053_27"/>
      <w:bookmarkEnd w:id="225"/>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xml:space="preserve">. Since December 31, 2022, the Company and its Subsidiaries do not have any liability, indebtedness, obligation, expense, claim, deficiency, guaranty or endorsement of any kind, whether accrued, absolute, contingent, matured, unmatured or otherwise (each a “Liability”), in each case, of a type required to be reflected or reserved for on a balance sheet prepared in accordance with GAAP, except for (i) Liabilities or obligations specifically disclosed, reflected or reserved against in the Company Financials; (ii) Liabilities incurred in the Ordinary Course of Business since the date of the Company Financials; (iii) Liabilities to perform under Contracts entered into by the Company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 Company Material Adverse Effect. </w:t>
      </w:r>
    </w:p>
    <w:p>
      <w:pPr>
        <w:pStyle w:val="TextBody"/>
        <w:bidi w:val="0"/>
        <w:spacing w:before="240" w:after="0"/>
        <w:jc w:val="left"/>
        <w:rPr>
          <w:rFonts w:ascii="Times New Roman" w:hAnsi="Times New Roman"/>
          <w:sz w:val="20"/>
        </w:rPr>
      </w:pPr>
      <w:bookmarkStart w:id="226" w:name="annxa770053_28"/>
      <w:bookmarkEnd w:id="226"/>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Company Financials and (b) all other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bookmarkStart w:id="227" w:name="annxa770053_29"/>
      <w:bookmarkEnd w:id="227"/>
      <w:r>
        <w:rPr>
          <w:rFonts w:ascii="Times New Roman" w:hAnsi="Times New Roman"/>
          <w:sz w:val="20"/>
        </w:rPr>
        <w:t xml:space="preserve">3.11 </w:t>
      </w:r>
      <w:r>
        <w:rPr>
          <w:rFonts w:ascii="Times New Roman" w:hAnsi="Times New Roman"/>
          <w:sz w:val="20"/>
          <w:u w:val="single"/>
        </w:rPr>
        <w:t>Real Property</w:t>
      </w:r>
      <w:r>
        <w:rPr>
          <w:rFonts w:ascii="Times New Roman" w:hAnsi="Times New Roman"/>
          <w:sz w:val="20"/>
        </w:rPr>
        <w:t>; Leasehold. The Company does not own and has never owned any real property. The Company has made available to Aspen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28" w:name="annxa770053_30"/>
      <w:bookmarkEnd w:id="228"/>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Schedule contains a true and complete list of all issued Patents, Marks and Copyrights included in the Company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hAnsi="Times New Roman"/>
          <w:b/>
          <w:sz w:val="20"/>
        </w:rPr>
        <w:t>Company Registered IP</w:t>
      </w:r>
      <w:r>
        <w:rPr>
          <w:rFonts w:ascii="Times New Roman" w:hAnsi="Times New Roman"/>
          <w:sz w:val="20"/>
        </w:rPr>
        <w:t xml:space="preserve">”), including, with respect to each such item, (i) the jurisdiction of application/registration, (ii) the application or registration number, (iii) the date of filing, or issuance or registration, and (iv) the record owner or owners, for each such item. Each material item of Company Registered IP, except for Patents, is subsisting, valid and enforceable. With respect to Patents, each material item of Company Registered IP is subsisting and, to the Knowledge of the Company, all issued Patents within the Company Registered IP are valid and enforceable. All filing, registration, maintenance, renewal and similar fees applicable to any Company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interference, opposition, reissue, reexamination, or cancellation proceeding or other Legal Proceeding (other than routine ordinary course proceedings as part of patent prosecution) is pending or, to the Knowledge of the Company, threatened regarding any Company Intellectual Property, including with respect to the scope, validity, enforceability, registration, priority, inventorship or ownership of, or rights to,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All founders, key employees and any other employees, contractors, consultants or other personnel involved in the development of Company Owned Intellectual Property have signed confidentiality and invention assignment agreements or similar agreements for the transfer or assignment of such Company Owned Intellectual Property pursuant to which both (i) the Company has obtained ownership of and are the exclusive owners of all right, title and interest in and to such Company Owned Intellectual Property, and (ii) such personnel are bound by commercially reasonable confidentiality obligations with respect to all Company Intellectual Property. To the Knowledge of the Company, no such personnel are in violation of any such agreements, or of any agreements with any prior employer or other Person with respect to development of any Company Owned Intellectual Property,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Owned Intellectual Property is solely and exclusively owned by the Company free and clear of any Encumbrance, other than Permitted Encumbrances. To the Knowledge of the Company, except as would not reasonably be expected to have, individually or in the aggregate, a Company Material Adverse Effect, (i) the Company Exclusively Licensed Intellectual Property is solely and exclusively in-licensed by the Company, and (ii) the other Company Licensed Intellectual Property is in-licensed by the Company, in each case of the foregoing clauses (i) and (ii), free and clear of any Encumbrance, other than Permitted Encumbrances. Except as would not reasonably be expected to have, individually or in the aggregate, a Company Material Adverse Effect, such ownership or licenses will not be affected by the execution, delivery, or performance of this Agreement or the consummation of the Transactions, and all Intellectual Property subject thereto will be owned or in-licensed by the Company on the same terms and conditions thereafter. To the Knowledge of the Company, the Company owns or has a valid and enforceable license to use all material Intellectual Property necessary for, or used or held for use in, the operation of the business of the Company as presently conducted; provided that the foregoing is not, and shall not be construed as, a representation or warranty regarding non-infringement, misappropriation or other violation by the Company of the Intellectual Property of other Persons. To the Knowledge of the Company, no current or former director, officer, employee or contractor of, or consultant to, the Company owns or has any claim, right (whether or not currently exercisable) or interest (or, to the Knowledge of the Company, has alleged that they own or have any such claim, right or interest) to or in any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To the Knowledge of the Company, the operation of the business of the Company does not infringe, misappropriate or otherwise violate, and has not infringed, misappropriated or otherwise violated, and the further research, development and commercialization of Company Products as currently planned by the Company will not infringe, misappropriate or otherwise violate, any Intellectual Property owned by any other Person, except as would not reasonably be expected to have, individually or in the aggregate, a Company Material Adverse Effect. As of the date hereof, neither the Company, nor, to the Knowledge of Company, any of the licensors of the Company, has received any notice or claim alleging any such infringement, misappropriation or other violation, including any so-called “invitation to license” letter. As of the date hereof, no Legal Proceeding, is pending or, to the Knowledge of the Company, has been threatened, against the Company or such licensors relating to any infringement, misappropriation or other violation of any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Company Owned Intellectual Property is subject to any Order as of the date hereof, neither the Company nor, to the Knowledge of the Company, any of its licensors has entered into or is a party to any agreement made in settlement of any pending litigation or other Legal Proceeding, which in any case restricts, impairs or relates to the Company’s use or other exploitation in any manner of any Company Intellectual Property or of any other Intellectual Property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 Person is infringing, misappropriating or otherwise violating, or has infringed, misappropriated or otherwise violated, any Company Intellectual Property, and no Legal Proceeding has been asserted or is pending or has been threatened against any Person alleging any such infringement, misappropriation or other violation of any Company Intellectual Property,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taken commercially reasonable steps necessary to maintain and protect the secrecy and confidentiality (including limitations on use) of all Trade Secrets and other confidential information included in the Company Intellectual Property and, to the Knowledge of the Company, there has not been any unauthorized use, disclosure of or access to any such Trade Secrets or other confidential information,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3.12(i)</w:t>
      </w:r>
      <w:r>
        <w:rPr>
          <w:rFonts w:ascii="Times New Roman" w:hAnsi="Times New Roman"/>
          <w:sz w:val="20"/>
        </w:rPr>
        <w:t xml:space="preserve"> of the Company Disclosure Schedule contains a true and complete list of any and all material Company Intellectual Property that was created, developed or reduced to practice, or is being created, developed or reduced to practice, (i) pursuant to, or in connection with, any Company Contract with any Governmental Authority or Governmental Authority-affiliated Entity, or any university, college or other educational institution or research institute, or (ii) to the Knowledge of the Company, using any funding, facilities or personnel of any Governmental Authority or Governmental Authority-affiliated Entity, or any university, college or other educational institution or research institute (collectively, “</w:t>
      </w:r>
      <w:r>
        <w:rPr>
          <w:rFonts w:ascii="Times New Roman" w:hAnsi="Times New Roman"/>
          <w:b/>
          <w:sz w:val="20"/>
        </w:rPr>
        <w:t>Government Funded IP</w:t>
      </w:r>
      <w:r>
        <w:rPr>
          <w:rFonts w:ascii="Times New Roman" w:hAnsi="Times New Roman"/>
          <w:sz w:val="20"/>
        </w:rPr>
        <w:t xml:space="preserve">”). The Company, and, to the Knowledge of the Company, each of its licensors with respect to any Government Funded IP, have complied with any and all any Intellectual Property disclosure, licensing and other obligations under any applicable Company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each item of Company Intellectual Property that is Company Registered IP owned by the Company is and at all times has been filed and maintained in compliance with all applicable Law and all filings, payments, and other actions required to be made or taken to maintain such item of Company Registered IP in full force and effect have been made by the applicable deadline,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contained in license, distribution and service agreements entered into in the ordinary course of business by Company (i) the Company is not bound by any Company Contract to indemnify, defend, hold harmless, or reimburse any other Person with respect to any infringement, misappropriation,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relating to Intellectual Property that is material to the Company, taken as a whole and (ii) the Company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delivered or made available to Aspen, a complete and accurate copy of all Company Inbound Licenses and all Company Outbound Licenses. With respect to each of the material Company Inbound Licenses and Company Outbound Licenses: (i) to the Knowledge of the Company, each such agreement is valid, binding on, enforceable against the Company, in accordance with its terms, subject to the Enforceability Exceptions, (ii) the Company has not received any written notice of termination or cancellation under such agreement, or received any written notice of breach or default under such agreement, which breach has not been cured or waived and (iii) neither the Company nor to the Knowledge of the Company, no other party to any such agreement, is in breach or default thereof in any material respect. </w:t>
      </w:r>
    </w:p>
    <w:p>
      <w:pPr>
        <w:pStyle w:val="TextBody"/>
        <w:bidi w:val="0"/>
        <w:spacing w:before="240" w:after="0"/>
        <w:jc w:val="left"/>
        <w:rPr>
          <w:rFonts w:ascii="Times New Roman" w:hAnsi="Times New Roman"/>
          <w:sz w:val="20"/>
        </w:rPr>
      </w:pPr>
      <w:bookmarkStart w:id="229" w:name="annxa770053_31"/>
      <w:bookmarkEnd w:id="229"/>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identifies each of the following types of Company Contracts that is in effect as of the date of this Agreement, other than Company Employee Plans and the definitive agreements in respect of the Contemplated Transactions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constitute Company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(ii) that relates to any material bonus, deferred compensation, or severance plans or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(iii) requiring or otherwise involving payment by or to the Company or any of its Subsidiaries of more than an aggregate of $250,000 during the fiscal year ending December 31, 2023 (other than indemnification agreements or employment and separation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evidencing a commitment by the Company or any of its Subsidiaries to make a future capital expenditure in excess of $250,000 that is not terminable by such Entity upon notice of sixty (60) days or less without penalty or liability; </w:t>
      </w:r>
    </w:p>
    <w:p>
      <w:pPr>
        <w:pStyle w:val="TextBody"/>
        <w:bidi w:val="0"/>
        <w:spacing w:before="120" w:after="0"/>
        <w:jc w:val="left"/>
        <w:rPr>
          <w:rFonts w:ascii="Times New Roman" w:hAnsi="Times New Roman"/>
          <w:sz w:val="20"/>
        </w:rPr>
      </w:pPr>
      <w:r>
        <w:rPr>
          <w:rFonts w:ascii="Times New Roman" w:hAnsi="Times New Roman"/>
          <w:sz w:val="20"/>
        </w:rPr>
        <w:t xml:space="preserve">(v) that requires payments by the Company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any of its Subsidiaries on thirty (30) calendar days’ or less notice without liability, except to the extent general principles of wrongful termination Law may limit the Company’s,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(vi) (A) that includes (1) any “most favored nations” terms or conditions, including with respect to pricing, (2) containing exclusivity obligations or otherwise limiting the freedom or right of the Company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the Company or any of its Subsidiaries or (B) containing any provision or covenant that materially limits, or purports to materially limit, the ability of the Company or any of its Subsidiaries to engage in any line of business (whether generally or in any geographic area) or compete with any Person or in any line of business or geographic area; </w:t>
      </w:r>
    </w:p>
    <w:p>
      <w:pPr>
        <w:pStyle w:val="TextBody"/>
        <w:bidi w:val="0"/>
        <w:spacing w:before="120" w:after="0"/>
        <w:jc w:val="left"/>
        <w:rPr>
          <w:rFonts w:ascii="Times New Roman" w:hAnsi="Times New Roman"/>
          <w:sz w:val="20"/>
        </w:rPr>
      </w:pPr>
      <w:r>
        <w:rPr>
          <w:rFonts w:ascii="Times New Roman" w:hAnsi="Times New Roman"/>
          <w:sz w:val="20"/>
        </w:rPr>
        <w:t xml:space="preserve">(vii) relating to or evidencing indebtedness for borrowed money or any guarantee of indebtedness for borrowed money by the Company or any of its Subsidiaries in excess of $250,000 (excluding loans by the Company to wholly-owned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(viii) providing for or governing the formation of any joint venture, partnership, strategic alliance, research and development collaboration,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(ix) that is a Contract governing, related to or pertaining to any Company Intellectual Property (other than any confidential information provided under confidentiality agreements)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(x) (A) pursuant to which any Person granted the Company an exclusive license under any Intellectual Property, or (B) pursuant to which the Company or any of its Subsidiaries granted any Person an exclusive license under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(xi) 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that is a settlement, conciliation or similar Contract with or approved by any Governmental Authority (A) pursuant to which the Company or any of its Subsidiaries will be required after the date of this Agreement to pay any monetary obligations or (B) that contains material obligations or limitations on the conduct of the Company or any of its Subsidiaries (other than customary confidentiality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with any Governmental Authority, except for materials transfer agreements, agreements with academic institutions and non-disclosure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(xiv) that is a clinical trial agreement, clinical study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(xv) (A) that is a collective bargaining agreement or (B) with any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(xvi) that prohibits the payment of dividends or distributions in respect of the capital stock of the Company or any of its Subsidiaries, the pledging of the capital stock or other equity interests of the Company or any of its Subsidiaries or the issuance of any guaranty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relating to the disposition or acquisition of material assets or any ownership interest in any Entity; </w:t>
      </w:r>
    </w:p>
    <w:p>
      <w:pPr>
        <w:pStyle w:val="TextBody"/>
        <w:bidi w:val="0"/>
        <w:spacing w:before="120" w:after="0"/>
        <w:jc w:val="left"/>
        <w:rPr>
          <w:rFonts w:ascii="Times New Roman" w:hAnsi="Times New Roman"/>
          <w:sz w:val="20"/>
        </w:rPr>
      </w:pPr>
      <w:r>
        <w:rPr>
          <w:rFonts w:ascii="Times New Roman" w:hAnsi="Times New Roman"/>
          <w:sz w:val="20"/>
        </w:rPr>
        <w:t xml:space="preserve">(xviii) requiring payment by or to the Company or any of its Subsidiaries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the Company or any of its Subsidiaries, (C) any dealer, distributor, joint marketing, alliance, joint venture, cooperation, development or other agreement currently in force under which the Company or any of its Subsidiaries has continuing obligations to develop or market any product, technology or service, or any agreement pursuant to which the Company or any of its Subsidiaries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of its Subsidiaries or any Contract to sell, distribute or commercialize any products or service of the Company or any of its Subsidiaries, in each case, except for Company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(xix) with any Person, including any financial advisor, broker, finder, investment banker or other Person, providing advisory services to the Company or any of its Subsidiaries in connection with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(xx) that was entered into since January 1, 2021 and was entered into with any present or former officer, director or employee of the Company or any of its Subsidiaries (other than indemnification agreements, or any Employee Plans entered into in the ordinary course of business) or (B) is the type of Contract that would be required to be disclosed under Item 404 of Regulation S-K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has delivered or made available to Aspen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bookmarkStart w:id="230" w:name="annxa770053_32"/>
      <w:bookmarkEnd w:id="230"/>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is and, since January 1, 2021, has been in compliance in all material respects with all Laws applicable to the Company and its Subsidiaries, and, since January 1, 2021, the Company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Subsidiaries holds, and since January 1, 2021 has held, all Governmental Authorizations necessary for the Company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the Company and its Subsidiaries, taken as a whole. The Governmental Authorizations held by the Company and its Subsidiaries are (i) valid and in full force and effect and (ii) are not subject to any administrative or judicial proceeding that would reasonably be expected to result in any termination, suspension, revocation or nonrenewal thereof (and, to the Knowledge of the Company, no such termination, suspension, revocation or nonrenewal has been otherwise threatened in writing), and the Company and its Subsidiaries are in compliance with the terms and requirements thereof, except in the case of each of clauses (i) and (ii) as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Products are being, and,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 Company Material Adverse Effect. As of the date hereof, neither the Company nor its Subsidiaries nor, to the Knowledge of the Company,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the Company nor its Subsidiaries nor, to the Knowledge of the Company, any Collaboration Partner has received any Form FDA 483, warning letter, notice of violation, or other written administrative, regulatory or enforcement notice from the FDA or any other Drug Governmental Authority related to the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its Subsidiaries have filed with the applicable Drug Governmental Authorities all required material Healthcare Submissions with respect to the Company Products. All filings for Company Governmental Authorizations and Healthcare Submissions were complete and accurate in all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respects and in material compliance with applicable Laws and Orders when filed, or were subsequently corrected or completed by a filing made prior to the date hereof. No deficiencies have been asserted in writing by any applicable Drug Governmental Authority to the Company and its Subsidiaries with respect to any Healthcare Submission, except as are not, and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2021, neither the Company nor its Subsidiaries, nor any authorized person acting on its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its Subsidiaries, nor any director, officer or employee of the Company or its Subsidiaries (acting in the capacity of a director, officer or employee of the Company) or, to the Knowledge of the Company, any representative or agent of the Company or its Subsidiaries (acting in the capacity of a representative or agent of the Company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made available to Aspen complete and accurate copies of (i) each investigational new drug application and all material correspondence relating to clinical trial applications submitted to the FDA or any other Drug Governmental Authority by or on behalf of the Company, including any supplements or amendments thereto, relating to any Company Product, (ii) all final preclinical study and clinical trial results or reports relating to any Company Product, (iii) all documents in the possession of the Company or its Subsidiaries related to inspections by any Drug Governmental Authority, in each case relating to any Company Product, (iv) all material information relating to adverse drug experiences, events or reactions or other safety information obtained or otherwise received by the Company relating to any Company Product, and (v) clinical trial databases, clinical trial master files, and statistical programs for ongoing and completed clinical trials and studies in the possession of the Company or its Subsidiaries or, to the Knowledge of the Company, in a Collaboration Partner’s possession, relating to any Company Product. The Company has a complete log of the material correspondence described in clause (i) of this section, except as has not been, and would not reasonably be expected to be, individually or in the aggregate, material to the Company and its Subsidiaries, taken as a whole. </w:t>
      </w:r>
    </w:p>
    <w:p>
      <w:pPr>
        <w:pStyle w:val="TextBody"/>
        <w:bidi w:val="0"/>
        <w:spacing w:before="240" w:after="0"/>
        <w:jc w:val="left"/>
        <w:rPr>
          <w:rFonts w:ascii="Times New Roman" w:hAnsi="Times New Roman"/>
          <w:sz w:val="20"/>
        </w:rPr>
      </w:pPr>
      <w:bookmarkStart w:id="231" w:name="annxa770053_33"/>
      <w:bookmarkEnd w:id="231"/>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by the Company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 </w:t>
      </w:r>
    </w:p>
    <w:p>
      <w:pPr>
        <w:pStyle w:val="TextBody"/>
        <w:bidi w:val="0"/>
        <w:spacing w:before="240" w:after="0"/>
        <w:jc w:val="left"/>
        <w:rPr>
          <w:rFonts w:ascii="Times New Roman" w:hAnsi="Times New Roman"/>
          <w:sz w:val="20"/>
        </w:rPr>
      </w:pPr>
      <w:bookmarkStart w:id="232" w:name="annxa770053_34"/>
      <w:bookmarkEnd w:id="232"/>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the Company and its Subsidiaries have been paid regardless of whether such Taxes have been shown as due and payable on any Tax Return. The Company and its Subsidiaries have established on their relevant books and records, in accordance with GAAP, reserves that are adequate for the payment of any income or other material Taxes not yet due and payable. None of the Company and its Subsidiaries currently is the beneficiary of any extension of time within which to file any income or other material Tax Return, other than customary extensions that have been obtained consistent with past practice. There are no Encumbrances on any of the assets of the Company and its Subsidiaries that arose in connection with any failure to pay any material Tax,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Company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the Company and its Subsidiaries, taken as a whole, the Company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its Subsidiaries, taken as a whole, there is no dispute, audits, examinations, assessments or other actions concerning any Tax liability of the Company and its Subsidiaries pending or, to the Knowledge of the Company, threatened by any Governmental Authority against, or with respect to, the Company and its Subsidiaries that remains unpaid, and none of the Company and its Subsidiaries has received written notice of any threatened audits, examinations or assessments relating to any Taxes.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None of the Company and its Subsidiaries has constituted a “distributing corporation” or “controlled corporation” in a distribution of stock intended to qualify for Tax-free treatment under Section 355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and its Subsidiaries has entered into or been a party to any “listed transaction” within the meaning of Treasury regulations Section 1.6011-4(b)(2) for a taxable period for which the applicable statute of limitations remains open.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and its Subsidiaries are party to any agreements relating to the allocation or sharing of Taxes, including Tax indemnity agreements,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(i) None of the Company and its Subsidiaries (i) has been a member of an affiliated group of corporations within the meaning of Section 1504 of the Code (or similar provision of local, state or non-U.S. Law), other than any affiliated group of which the Company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(j) None of the Company and its Subsidiaries is subject to Tax in any jurisdiction other than the jurisdiction in which it is organized, by virtue of having a permanent establishment, fixed place of business or, to the Knowledge of the Company, otherwise. As of the date hereof, no claim has been made by a Governmental Authority in a jurisdiction where the Company or any of its Subsidiaries does not file Tax Returns that the Company or any of its Subsidiaries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and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is aware of any facts or circumstances or has taken or agreed to take or refrain from taking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233" w:name="annxa770053_35"/>
      <w:bookmarkEnd w:id="233"/>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the Company and its Subsidiaries, taken as a whole. The Company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the Company and, as of the date hereof, there is not, to the Knowledge of the Company, any attempt to organize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employees of the Company for the purpose of forming or joining a labor union or works council. Since January 1, 2021 to the date hereof, there has been no strike, slowdown, picketing, lockout, job action, work stoppage, union organizing activity or other labor dispute, or, to the Knowledge of the Company, any threat thereof, affecting the Company 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since January 1, 2021 has not been, any Legal Proceeding pending, or to the Knowledge of the Company,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the Company, including unfair labor practices, misclassification of independent contractors or consultants, unlawful retaliation, discrimination or harassment complaints, in each case that is material to the Company, taken as a whole. </w:t>
      </w:r>
    </w:p>
    <w:p>
      <w:pPr>
        <w:pStyle w:val="TextBody"/>
        <w:bidi w:val="0"/>
        <w:spacing w:before="240" w:after="0"/>
        <w:jc w:val="left"/>
        <w:rPr>
          <w:rFonts w:ascii="Times New Roman" w:hAnsi="Times New Roman"/>
          <w:sz w:val="20"/>
        </w:rPr>
      </w:pPr>
      <w:r>
        <w:rPr>
          <w:rFonts w:ascii="Times New Roman" w:hAnsi="Times New Roman"/>
          <w:sz w:val="20"/>
        </w:rPr>
        <w:t>(d) Within the past three (3) years, the Company has not implemented any plant closing or layoff of employees that (in either case) violated the United States Worker Adjustment and Retraining Notification Act, as amended, or any similar state, local or foreign law (together, “</w:t>
      </w:r>
      <w:r>
        <w:rPr>
          <w:rFonts w:ascii="Times New Roman" w:hAnsi="Times New Roman"/>
          <w:sz w:val="20"/>
          <w:u w:val="single"/>
        </w:rPr>
        <w:t>WARN</w:t>
      </w:r>
      <w:r>
        <w:rPr>
          <w:rFonts w:ascii="Times New Roman" w:hAnsi="Times New Roman"/>
          <w:sz w:val="20"/>
        </w:rPr>
        <w:t xml:space="preserve">”) and the Company has not incurred any material liability under WARN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3.17(e)</w:t>
      </w:r>
      <w:r>
        <w:rPr>
          <w:rFonts w:ascii="Times New Roman" w:hAnsi="Times New Roman"/>
          <w:sz w:val="20"/>
        </w:rPr>
        <w:t xml:space="preserve"> of the Company Disclosure Schedule sets forth a correct and complete list of each material Company Employee Plan. The Company has made available to Aspen, with respect to each material Company Employee Plan, accurate and complete copies (as applicable) of: (i) all plan documents and all amendments thereto, and all related trust or other funding documents, and in the case of unwritten material Company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that is intended to be qualified under Section 401(a) of the Code has received or is permitted to rely upon a favorable determination or opinion letter that it is so qualified, and to the Knowledge of the Company, there are no circumstances that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is not, and would not reasonably be expected to be, individually or in the aggregate, material to the Company and its Subsidiaries, taken as a whole, each Company Employee Plan has been operated, maintained and administered in compliance with its terms and with the requirements prescribed by applicable Laws, including ERISA and the Code. As of the date hereof, no Legal Proceeding or governmental audit is pending with respect to any Company Employee Plan (other than routine claims for benefits) and, to the Knowledge of the Company, no such Legal Proceeding or governmental audit is threatened; and there are no governmental investigations pending or, to the Knowledge of the Company, threatened in connection with any Company Employee Plan, the assets of any trust under any Company Employee Plan or the plan sponsor, the plan administrator or any fiduciary under any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respective directors, officers, employees or agents has, with respect to any Company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the Company or any Company Employee Plan or for which the Company has any future indemnification obligation, except, in each case, as would not reasonably be expected, individually or in the aggregate, to result in material liability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None of the Company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(j) No Company Employee Plan provides for, and the Company does not have any present or future obligation to provide, post-retirement or post-termination health, life insurance or other welfare benefits except as required under Part 6 of Subtitle B of Title I of ERISA or Section 4980B of the Code or similar state Law. </w:t>
      </w:r>
    </w:p>
    <w:p>
      <w:pPr>
        <w:pStyle w:val="TextBody"/>
        <w:bidi w:val="0"/>
        <w:spacing w:before="240" w:after="0"/>
        <w:jc w:val="left"/>
        <w:rPr>
          <w:rFonts w:ascii="Times New Roman" w:hAnsi="Times New Roman"/>
          <w:sz w:val="20"/>
        </w:rPr>
      </w:pPr>
      <w:r>
        <w:rPr>
          <w:rFonts w:ascii="Times New Roman" w:hAnsi="Times New Roman"/>
          <w:sz w:val="20"/>
        </w:rPr>
        <w:t xml:space="preserve">(k) The Company does not have any obligation to pay or provide any tax “gross-up” or similar “make-whole” payments or indemnities to any current or former employee, officer, director or other service provider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applicable, all Company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(m) 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of any payment or benefit that is or could be characterized as a “parachute payment” (within the meaning of Section 280G of the Code), determined without regard to the application of Section 280G(b)(5) of the Code. </w:t>
      </w:r>
    </w:p>
    <w:p>
      <w:pPr>
        <w:pStyle w:val="TextBody"/>
        <w:bidi w:val="0"/>
        <w:spacing w:before="240" w:after="0"/>
        <w:jc w:val="left"/>
        <w:rPr>
          <w:rFonts w:ascii="Times New Roman" w:hAnsi="Times New Roman"/>
          <w:sz w:val="20"/>
        </w:rPr>
      </w:pPr>
      <w:r>
        <w:rPr>
          <w:rFonts w:ascii="Times New Roman" w:hAnsi="Times New Roman"/>
          <w:sz w:val="20"/>
        </w:rPr>
        <w:t xml:space="preserve">(n) Each Company Employee Plan that is a “nonqualified deferred compensation plan” (as such term is defined under Section 409A(d)(1) of the Code and the guidance thereunder) has been operated and maintained in compliance in all material respects with the requirements of Section 409A of the Code and the applicable guidance thereunder. </w:t>
      </w:r>
    </w:p>
    <w:p>
      <w:pPr>
        <w:pStyle w:val="TextBody"/>
        <w:bidi w:val="0"/>
        <w:spacing w:before="240" w:after="0"/>
        <w:jc w:val="left"/>
        <w:rPr>
          <w:rFonts w:ascii="Times New Roman" w:hAnsi="Times New Roman"/>
          <w:sz w:val="20"/>
        </w:rPr>
      </w:pPr>
      <w:bookmarkStart w:id="234" w:name="annxa770053_36"/>
      <w:bookmarkEnd w:id="234"/>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bookmarkStart w:id="235" w:name="annxa770053_37"/>
      <w:bookmarkEnd w:id="235"/>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delivered to Aspen accurate and complete copies of all material insurance policies and all material self-insurance programs and arrangements relating to the business,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bookmarkStart w:id="236" w:name="annxa770053_38"/>
      <w:bookmarkEnd w:id="236"/>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bookmarkStart w:id="237" w:name="annxa770053_39"/>
      <w:bookmarkEnd w:id="237"/>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of the Company Disclosure Schedule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bookmarkStart w:id="238" w:name="annxa770053_40"/>
      <w:bookmarkEnd w:id="238"/>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Since January 1, 2021, each of the Company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the Company and its Subsidiaries, taken as a whole. Since January 1, 2021, the Company and its Subsidiaries have complied in all material respects with each of their respective written and published policies concerning the privacy of Personal Information (“</w:t>
      </w:r>
      <w:r>
        <w:rPr>
          <w:rFonts w:ascii="Times New Roman" w:hAnsi="Times New Roman"/>
          <w:b/>
          <w:sz w:val="20"/>
        </w:rPr>
        <w:t>Privacy Policies</w:t>
      </w:r>
      <w:r>
        <w:rPr>
          <w:rFonts w:ascii="Times New Roman" w:hAnsi="Times New Roman"/>
          <w:sz w:val="20"/>
        </w:rPr>
        <w:t xml:space="preserve">”), if applicable and required. The Company and its Subsidiaries maintain commercially reasonable policies, procedures and security measures with respect to the physical and electronic security and privacy of Personal Information that are designed to achieve compliance in all material respects with Privacy Laws, and the Company and its Subsidiaries are in compliance in all material respects with such policies and procedures. To the Knowledge of the Company, there have been no material breaches or material violations of any security measures of Aspen and its Subsidiaries, or any material unauthorized access, use or disclosure of any Personal Information. None of the Company and its Subsidiaries has received written notice (or, to the Knowledge of the Company, any other communication) of (a) any material violation or breach, or alleged material violation or breach, of Privacy Laws and/or Privacy Policies, or (b) any claims against any of the Company and its Subsidiaries by any Person, and there is no Legal Proceeding pending or, to Knowledge of the Company, threatened against any of the Company and its Subsidiaries, alleging a violation or breach of Privacy Laws and/or Privacy Policies, except in each case as would not be material to the Company and its Subsidiaries, taken as a whole. </w:t>
      </w:r>
    </w:p>
    <w:p>
      <w:pPr>
        <w:pStyle w:val="TextBody"/>
        <w:bidi w:val="0"/>
        <w:spacing w:before="240" w:after="0"/>
        <w:jc w:val="left"/>
        <w:rPr>
          <w:rFonts w:ascii="Times New Roman" w:hAnsi="Times New Roman"/>
          <w:sz w:val="20"/>
        </w:rPr>
      </w:pPr>
      <w:bookmarkStart w:id="239" w:name="annxa770053_41"/>
      <w:bookmarkEnd w:id="239"/>
      <w:r>
        <w:rPr>
          <w:rFonts w:ascii="Times New Roman" w:hAnsi="Times New Roman"/>
          <w:sz w:val="20"/>
        </w:rPr>
        <w:t xml:space="preserve">3.23 </w:t>
      </w:r>
      <w:r>
        <w:rPr>
          <w:rFonts w:ascii="Times New Roman" w:hAnsi="Times New Roman"/>
          <w:sz w:val="20"/>
          <w:u w:val="single"/>
        </w:rPr>
        <w:t>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directly or indirectly (i) given any funds (whether of the Company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campaigns or solicited or accepted any such payment or thing of value, or (iii) violated any provision of any Anti-Corruption Law.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not received any written communication (or, to the Knowledge of the Company, any other communication) that alleges any of the foregoing. To the Knowledge of the Company, the Company has disclosed to Aspen any and all allegations that have been made of any potential wrongdoing by the Company or by any director, officer, employee, agent or representative of the Company (acting in the capacity of a director, officer, employee, agent or representative of the Company) with respect to any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(b) There are not, and in the past five (5) years, there have not been, any Legal Proceedings with respect to any Anti-Corruption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made any disclosure (voluntary or otherwise) to any Governmental Authority with respect to any alleged irregularity, misstatement, omission or other potential violation or liability arising under or relating to any Anti-Corruption Law. </w:t>
      </w:r>
    </w:p>
    <w:p>
      <w:pPr>
        <w:pStyle w:val="TextBody"/>
        <w:bidi w:val="0"/>
        <w:spacing w:before="240" w:after="0"/>
        <w:jc w:val="left"/>
        <w:rPr>
          <w:rFonts w:ascii="Times New Roman" w:hAnsi="Times New Roman"/>
          <w:sz w:val="20"/>
        </w:rPr>
      </w:pPr>
      <w:bookmarkStart w:id="240" w:name="annxa770053_42"/>
      <w:bookmarkEnd w:id="240"/>
      <w:r>
        <w:rPr>
          <w:rFonts w:ascii="Times New Roman" w:hAnsi="Times New Roman"/>
          <w:sz w:val="20"/>
        </w:rPr>
        <w:t xml:space="preserve">3.24 </w:t>
      </w:r>
      <w:r>
        <w:rPr>
          <w:rFonts w:ascii="Times New Roman" w:hAnsi="Times New Roman"/>
          <w:sz w:val="20"/>
          <w:u w:val="single"/>
        </w:rPr>
        <w:t>Sanctions Laws</w:t>
      </w:r>
      <w:r>
        <w:rPr>
          <w:rFonts w:ascii="Times New Roman" w:hAnsi="Times New Roman"/>
          <w:sz w:val="20"/>
        </w:rPr>
        <w:t xml:space="preserve">.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in the past five (5) years, there have not been, any Legal Proceedings, allegations, investigations or inquiries concerning any actual or suspected violations of any Sanctions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Neither the Company nor any director, officer or employee of any of the Company, is a Sanctioned Person. In the past five (5) years, the Company has not had, directly or indirectly, any unlawful transactions with or unlawful investments in any Sanctioned Person or Sanctioned Country. </w:t>
      </w:r>
    </w:p>
    <w:p>
      <w:pPr>
        <w:pStyle w:val="TextBody"/>
        <w:bidi w:val="0"/>
        <w:spacing w:before="240" w:after="0"/>
        <w:jc w:val="left"/>
        <w:rPr>
          <w:rFonts w:ascii="Times New Roman" w:hAnsi="Times New Roman"/>
          <w:sz w:val="20"/>
        </w:rPr>
      </w:pPr>
      <w:bookmarkStart w:id="241" w:name="annxa770053_43"/>
      <w:bookmarkEnd w:id="241"/>
      <w:r>
        <w:rPr>
          <w:rFonts w:ascii="Times New Roman" w:hAnsi="Times New Roman"/>
          <w:sz w:val="20"/>
        </w:rPr>
        <w:t xml:space="preserve">3.25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Aspen nor any other person on behalf of Aspen makes any express or implied representation or warranty with respect to Aspen or with respect to any other information provided to the Company, any of its stockholders or any of their respective Affiliates in connection with the Contemplated Transactions, and (subject to the express representations and warranties of Aspen set forth in </w:t>
      </w:r>
      <w:r>
        <w:rPr>
          <w:rFonts w:ascii="Times New Roman" w:hAnsi="Times New Roman"/>
          <w:sz w:val="20"/>
          <w:u w:val="single"/>
        </w:rPr>
        <w:t>Section 4</w:t>
      </w:r>
      <w:r>
        <w:rPr>
          <w:rFonts w:ascii="Times New Roman" w:hAnsi="Times New Roman"/>
          <w:sz w:val="20"/>
        </w:rPr>
        <w:t xml:space="preserve"> (in each case as qualified and limited by the Aspen Disclosure Schedule))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242" w:name="annxa770053_44"/>
      <w:bookmarkEnd w:id="242"/>
      <w:r>
        <w:rPr>
          <w:rFonts w:ascii="Times New Roman" w:hAnsi="Times New Roman"/>
          <w:sz w:val="20"/>
        </w:rPr>
        <w:t xml:space="preserve">Section 4. </w:t>
      </w:r>
      <w:r>
        <w:rPr>
          <w:rFonts w:ascii="Times New Roman" w:hAnsi="Times New Roman"/>
          <w:sz w:val="20"/>
          <w:u w:val="single"/>
        </w:rPr>
        <w:t>Representations and Warranties of Aspen and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schedule delivered by Aspen to the Company (the “</w:t>
      </w:r>
      <w:r>
        <w:rPr>
          <w:rFonts w:ascii="Times New Roman" w:hAnsi="Times New Roman"/>
          <w:b/>
          <w:sz w:val="20"/>
        </w:rPr>
        <w:t>Aspen Disclosure Schedule</w:t>
      </w:r>
      <w:r>
        <w:rPr>
          <w:rFonts w:ascii="Times New Roman" w:hAnsi="Times New Roman"/>
          <w:sz w:val="20"/>
        </w:rPr>
        <w:t xml:space="preserve">”) or (ii) as disclosed in the Aspen SEC Documents filed with the SEC prior to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hereof and publicly available on the SEC’s Electronic Data Gathering Analysis and Retrieval (EDGAR)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Aspen SEC Documents shall be deemed to be disclosed in a section of the Aspen Disclosure Schedule only if it is reasonably apparent from a reading of such Aspen SEC Documents that it would be applicable to such section or subsection of the Aspen Disclosure Schedule, Aspen and Merger Sub represent and warrant to the Company as follows: </w:t>
      </w:r>
    </w:p>
    <w:p>
      <w:pPr>
        <w:pStyle w:val="TextBody"/>
        <w:bidi w:val="0"/>
        <w:spacing w:before="240" w:after="0"/>
        <w:jc w:val="left"/>
        <w:rPr>
          <w:rFonts w:ascii="Times New Roman" w:hAnsi="Times New Roman"/>
          <w:sz w:val="20"/>
        </w:rPr>
      </w:pPr>
      <w:bookmarkStart w:id="243" w:name="annxa770053_45"/>
      <w:bookmarkEnd w:id="243"/>
      <w:r>
        <w:rPr>
          <w:rFonts w:ascii="Times New Roman" w:hAnsi="Times New Roman"/>
          <w:sz w:val="20"/>
        </w:rPr>
        <w:t xml:space="preserve">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(including Merger Sub)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Since the date of their formation, Merger Sub have not engaged in any activities other than in connection with or as contemplated by this Agreement. All of Aspen’s Subsidiaries are wholly owned by Aspen. </w:t>
      </w:r>
    </w:p>
    <w:p>
      <w:pPr>
        <w:pStyle w:val="TextBody"/>
        <w:bidi w:val="0"/>
        <w:spacing w:before="240" w:after="0"/>
        <w:jc w:val="left"/>
        <w:rPr>
          <w:rFonts w:ascii="Times New Roman" w:hAnsi="Times New Roman"/>
          <w:sz w:val="20"/>
        </w:rPr>
      </w:pPr>
      <w:r>
        <w:rPr>
          <w:rFonts w:ascii="Times New Roman" w:hAnsi="Times New Roman"/>
          <w:sz w:val="20"/>
        </w:rPr>
        <w:t xml:space="preserve">(b) Each of Aspen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Aspen Disclosure Schedule, Aspen has no Subsidiaries other than Merger Sub and Aspen does not own any capital stock of, or any equity ownership or profit sharing interest of any nature in, or control directly or indirectly, any other Entity other than Merger Sub. Aspen is not and has not otherwise been, directly or indirectly, a party to, member of or participant in any partnership, joint venture or similar business entity. Aspen has not agreed and is not obligated to make, nor is Aspen bound by any Contract under which it may become obligated to make, any future investment in or capital contribution to any other Entity. Aspen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bookmarkStart w:id="244" w:name="annxa770053_46"/>
      <w:bookmarkEnd w:id="244"/>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Aspen has delivered to the Company accurate and complete copies of Aspen’s Organizational Documents. Aspen is not in breach or violation of its Organizational Documents in any material respect. </w:t>
      </w:r>
    </w:p>
    <w:p>
      <w:pPr>
        <w:pStyle w:val="TextBody"/>
        <w:bidi w:val="0"/>
        <w:spacing w:before="240" w:after="0"/>
        <w:jc w:val="left"/>
        <w:rPr>
          <w:rFonts w:ascii="Times New Roman" w:hAnsi="Times New Roman"/>
          <w:sz w:val="20"/>
        </w:rPr>
      </w:pPr>
      <w:bookmarkStart w:id="245" w:name="annxa770053_47"/>
      <w:bookmarkEnd w:id="245"/>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Subject to obtaining the Required Aspen Stockholder Vote and the Aspen stockholder approval of the other Aspen Stockholder Matters (and with respect to the Equity Plan Proposals, in a form reasonably acceptable to Aspen as contemplated by the definition of such term), each of Aspen and Merger Sub has all necessary corporate power and authority to enter into and to perform its obligations under this Agreement and to consummate the Contemplated Transactions that are contemplated to be consummated by it. The Aspen Board (at meetings duly called and held) has: (a) determined that the Contemplated Transactions are fair to, advisable and in the best interests of Aspen and its stockholders, (b) approved and declared advisable this Agreement and the Contemplated Transactions, including the issuance of shares of Aspen Common Stock to the stockholders of the Company pursuant to the terms of this Agreement and (c) determined to recommend, upon the terms and subject to the conditions set forth in this Agreement, that the stockholders of Aspen vote to approve the Aspen Stockholder Matters. The Merger Sub Board (by unanimous written consent) has: (x) determined that the Contemplated Transactions are fair to, advisable and in the best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Aspen and Merger Sub and, assuming the due authorization, execution and delivery by the Company, constitutes the legal, valid and binding obligation of Aspen and Merger Sub, enforceable against each of Aspen and Merger Sub in accordance with its terms, subject to the Enforceability Exceptions. </w:t>
      </w:r>
    </w:p>
    <w:p>
      <w:pPr>
        <w:pStyle w:val="TextBody"/>
        <w:bidi w:val="0"/>
        <w:spacing w:before="240" w:after="0"/>
        <w:jc w:val="left"/>
        <w:rPr>
          <w:rFonts w:ascii="Times New Roman" w:hAnsi="Times New Roman"/>
          <w:sz w:val="20"/>
        </w:rPr>
      </w:pPr>
      <w:bookmarkStart w:id="246" w:name="annxa770053_48"/>
      <w:bookmarkEnd w:id="246"/>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The affirmative vote of (i) the holders of a majority of the shares of Aspen Common Stock properly cast is the only vote of the holders of any class or series of Aspen’s capital stock necessary to approve the issuance of shares of Aspen Common Stock to the stockholders of the Company pursuant to the terms of this Agreement and (ii) the holders of a number of shares of Aspen Common Stock as required by Law is the only vote of the holders of any class or series of Aspen’s capital stock necessary to approve an amendment to the Aspen Charter to effect the Nasdaq Reverse Split (collectively, the “</w:t>
      </w:r>
      <w:r>
        <w:rPr>
          <w:rFonts w:ascii="Times New Roman" w:hAnsi="Times New Roman"/>
          <w:b/>
          <w:sz w:val="20"/>
        </w:rPr>
        <w:t>Required Aspen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47" w:name="annxa770053_49"/>
      <w:bookmarkEnd w:id="247"/>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Aspen Stockholder Vote and the Aspen stockholder approval of the other Aspen Stockholder Matters, the Aspen stockholder approval of the other Aspen Stockholder Matters and the filing of the Certificate of Merger required by the DGCL, neither (x) the execution, delivery or performance of this Agreement by Aspen or Merger Sub,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Aspen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Aspen or its Subsidiaries or any of the assets owned or used by Aspen or its Subsidiaries, is subject;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Aspen or its Subsidiaries or that otherwise relates to the business of Aspen, or any of the assets owned, leased or used by Aspen; or </w:t>
      </w:r>
    </w:p>
    <w:p>
      <w:pPr>
        <w:pStyle w:val="TextBody"/>
        <w:bidi w:val="0"/>
        <w:spacing w:before="120" w:after="0"/>
        <w:jc w:val="left"/>
        <w:rPr>
          <w:rFonts w:ascii="Times New Roman" w:hAnsi="Times New Roman"/>
          <w:sz w:val="20"/>
        </w:rPr>
      </w:pPr>
      <w:r>
        <w:rPr>
          <w:rFonts w:ascii="Times New Roman" w:hAnsi="Times New Roman"/>
          <w:sz w:val="20"/>
        </w:rPr>
        <w:t xml:space="preserve">(iv) cause a default (or an event that with notice or lapse of time or both would result in a default), give right to a right of termination, cancellation or acceleration of any obligation or loss of a material benefit of Aspen or any of its Subsidiaries, or result in the creation of any Encumbrance (other than Permitted Encumbrances) upon any of the properties or assets of Aspen or any of its Subsidiaries, in each case under any Aspen Material Contract and in each case except as would not be reasonably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the Required Aspen Stockholder Vote and the Aspen stockholder approval of the other Aspen Stockholder Matters, (ii) the filing of the Certificate of Merger with the Secretary of State of Delaware pursuant to the DGCL, and (iii) such consents, waivers, approvals, orders authorizations, registrations, declarations and filings as may be required under applicable federal and state securities laws, neither Aspen nor any of its Subsidiaries was, is or will be required to make any filing with or give any notice to, or to obtain any Consent from, any Person in connection with (x) the execution, delivery or performance of this Agreement or (y) the consummation of the Contemplated Transactions (in each case except under Aspen Contracts that are not Aspen Material Contracts, and in the case of such filings, notices or Consents under Aspen Material Contracts, except as the failure to make such filing, give such notice or obtain such Consent would not reasonably expected to have, individually or in the aggregate, an Aspen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Aspen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bookmarkStart w:id="248" w:name="annxa770053_50"/>
      <w:bookmarkEnd w:id="248"/>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Aspen consists of (i) 160,000,000 shares of Aspen Common Stock of which 44,658,511 shares have been issued and are outstanding as of January 26, 2024 (the “</w:t>
      </w:r>
      <w:r>
        <w:rPr>
          <w:rFonts w:ascii="Times New Roman" w:hAnsi="Times New Roman"/>
          <w:b/>
          <w:sz w:val="20"/>
        </w:rPr>
        <w:t>Capitalization Date</w:t>
      </w:r>
      <w:r>
        <w:rPr>
          <w:rFonts w:ascii="Times New Roman" w:hAnsi="Times New Roman"/>
          <w:sz w:val="20"/>
        </w:rPr>
        <w:t xml:space="preserve">”) and (ii) 10,000,000 shares of undesignated preferred stock, par value $0.0001 per share, of which no shares have been issued and are outstanding as of the Capitalization Date. Aspen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Aspen Common Stock have been duly authorized and validly issued, and are fully paid and nonassessable and are free of any Encumbrances. None of the outstanding shares of Aspen Common Stock is entitled or subject to any preemptive right, right of participation, right of maintenance or any similar right. None of the outstanding shares of Aspen Common Stock is subject to any right of first refusal in favor of Aspen. Except as contemplated herein, there is no Aspen Contract relating to the voting or registration of, or restricting any Person from purchasing, selling, pledging or otherwise disposing of (or granting any option or similar right with respect to), any shares of Aspen Common Stock. Aspen is not under any obligation, nor is Aspen bound by any Contract pursuant to which it may become obligated, to repurchase, redeem or otherwise acquire any outstanding shares of Aspen Common Stock or other securities. </w:t>
      </w:r>
      <w:r>
        <w:rPr>
          <w:rFonts w:ascii="Times New Roman" w:hAnsi="Times New Roman"/>
          <w:sz w:val="20"/>
          <w:u w:val="single"/>
        </w:rPr>
        <w:t>Section 4.6(b)</w:t>
      </w:r>
      <w:r>
        <w:rPr>
          <w:rFonts w:ascii="Times New Roman" w:hAnsi="Times New Roman"/>
          <w:sz w:val="20"/>
        </w:rPr>
        <w:t xml:space="preserve"> of the Aspen Disclosure Schedule accurately and completely describes all repurchase rights held by Aspen with respect to shares of Aspen Common Stock (including shares issued pursuant to the exercise of stock options) and specifies which of those repurchase rights are currently exercisable. With respect to any equity securities in Aspen subject to a “substantial risk of forfeiture” (within the meaning of Code Section 83 and the Treasury Regulations promulgated thereunder), the applicable holder thereof made a valid Code Section 83(b) election. </w:t>
      </w:r>
    </w:p>
    <w:p>
      <w:pPr>
        <w:pStyle w:val="TextBody"/>
        <w:bidi w:val="0"/>
        <w:spacing w:before="240" w:after="0"/>
        <w:jc w:val="left"/>
        <w:rPr>
          <w:rFonts w:ascii="Times New Roman" w:hAnsi="Times New Roman"/>
          <w:sz w:val="20"/>
        </w:rPr>
      </w:pPr>
      <w:r>
        <w:rPr>
          <w:rFonts w:ascii="Times New Roman" w:hAnsi="Times New Roman"/>
          <w:sz w:val="20"/>
        </w:rPr>
        <w:t>(c) Except for Aspen’s Amended and Restated 2015 Stock Option and Grant Plan, 2018 Stock Option and Incentive Plan, 2019 Inducement Plan, and 2020 Inducement Plan, each, as may be amended (the “</w:t>
      </w:r>
      <w:r>
        <w:rPr>
          <w:rFonts w:ascii="Times New Roman" w:hAnsi="Times New Roman"/>
          <w:b/>
          <w:sz w:val="20"/>
        </w:rPr>
        <w:t>Aspen Stock Plans</w:t>
      </w:r>
      <w:r>
        <w:rPr>
          <w:rFonts w:ascii="Times New Roman" w:hAnsi="Times New Roman"/>
          <w:sz w:val="20"/>
        </w:rPr>
        <w:t>”) and the Aspen 2018 Employee Stock Purchase Plan, as amended (the “</w:t>
      </w:r>
      <w:r>
        <w:rPr>
          <w:rFonts w:ascii="Times New Roman" w:hAnsi="Times New Roman"/>
          <w:b/>
          <w:sz w:val="20"/>
        </w:rPr>
        <w:t>Aspen ESPP</w:t>
      </w:r>
      <w:r>
        <w:rPr>
          <w:rFonts w:ascii="Times New Roman" w:hAnsi="Times New Roman"/>
          <w:sz w:val="20"/>
        </w:rPr>
        <w:t xml:space="preserve">”), and except as set forth on </w:t>
      </w:r>
      <w:r>
        <w:rPr>
          <w:rFonts w:ascii="Times New Roman" w:hAnsi="Times New Roman"/>
          <w:sz w:val="20"/>
          <w:u w:val="single"/>
        </w:rPr>
        <w:t>Section 4.6(c)</w:t>
      </w:r>
      <w:r>
        <w:rPr>
          <w:rFonts w:ascii="Times New Roman" w:hAnsi="Times New Roman"/>
          <w:sz w:val="20"/>
        </w:rPr>
        <w:t xml:space="preserve"> of the Aspen Disclosure Schedule, Aspen does not have any stock option plan or any other plan, program, agreement or arrangement providing for any equity-based compensation for any Person. As of the Capitalization Date, Aspen has reserved 63,538,248 shares of Aspen Common Stock for issuance under the Aspen Stock Plans, of which 44,658,511 shares have been issued and are currently outstanding, 6,141,130 shares have been reserved for issuance upon exercise or settlement of Aspen Options and Aspen Restricted Stock Units, as applicable, granted under the Aspen Stock Plans, and 12,738,607 shares remain available for future issuance pursuant to the Aspen Stock Plans. As of the Capitalization Date, Aspen has reserved 1,766,979 shares of Aspen Common Stock for future issuance pursuant to the Aspen ESPP (of which 302,831 shares have been issued and are currently outstanding). Section 4.6(c)(i) of the Aspen Disclosure Schedule sets forth the following information with respect to each Aspen Option and Aspen Restricted Stock Unit outstanding as of the Capitalization Date, as applicable: (i) the name of the holder, (ii) the number of shares of Aspen Common Stock subject to such Aspen Option and Aspen Restricted Stock Units at the time of grant, (iii) the number of shares of Aspen Common Stock subject to such Aspen Option and Aspen Restricted Stock Units as of the Capitalization Date, (iv) the exercise price of such Aspen Option, (v) the date on which such Aspen Option and Aspen Restricted Stock Units was granted, (vi) the applicable vesting schedule, including any acceleration provisions and the number of vested and unvested shares as of the Capitalization Date, (vii) the date on which such Aspen Option expires, (viii) whether such Aspen Option is intended to be an “incentive stock option” (as defined in the Code) or a nonqualified stock option and (ix) in the case of an Aspen Option, the plan pursuant to which such Aspen Option was granted. Aspen has made available to the Company accurate and complete copies of equity incentive plans pursuant to which Aspen has equity-based awards, the forms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 agreements evidencing such equity-based awards and evidence of board and stockholder approval of the Aspen Stock Plans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outstanding Aspen Options and Aspen Restricted Stock Units or as set forth on </w:t>
      </w:r>
      <w:r>
        <w:rPr>
          <w:rFonts w:ascii="Times New Roman" w:hAnsi="Times New Roman"/>
          <w:sz w:val="20"/>
          <w:u w:val="single"/>
        </w:rPr>
        <w:t>Section 4.6(d)</w:t>
      </w:r>
      <w:r>
        <w:rPr>
          <w:rFonts w:ascii="Times New Roman" w:hAnsi="Times New Roman"/>
          <w:sz w:val="20"/>
        </w:rPr>
        <w:t xml:space="preserve"> of the Aspen Disclosure Schedule, there is no: (i) outstanding subscription, option, call, warrant or right (whether or not currently exercisable) to acquire any shares of the capital stock or other securities of Aspen, (ii) outstanding security, instrument or obligation that is or may become convertible into or exchangeable for any shares of the capital stock or other securities of Aspen, (iii) stockholder rights plan (or similar plan commonly referred to as a “poison pill”) or Contract under which Aspen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Aspen. There are no outstanding or authorized stock appreciation, phantom stock, profit participation or other similar rights with respect to Aspen. The treatment of the Aspen Options and the Aspen Restricted Stock Units under this Agreement do not violate the terms of the Applicable Aspen Stock Plan.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shares of Aspen Common Stock, Aspen Options, Aspen Restricted Stock Units and other securities of Aspen have been issued and granted in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(f) With respect to Aspen Options and Aspen Restricted Stock Units granted pursuant to the Aspen Stock Plans, (i) each grant of an Aspen Option or Aspen Restricted Stock Unit was duly authorized no later than the date on which the grant of such Aspen Option and Aspen Restricted Stock Unit was by its terms to be effective (the “</w:t>
      </w:r>
      <w:r>
        <w:rPr>
          <w:rFonts w:ascii="Times New Roman" w:hAnsi="Times New Roman"/>
          <w:b/>
          <w:sz w:val="20"/>
        </w:rPr>
        <w:t>Aspen Grant Date</w:t>
      </w:r>
      <w:r>
        <w:rPr>
          <w:rFonts w:ascii="Times New Roman" w:hAnsi="Times New Roman"/>
          <w:sz w:val="20"/>
        </w:rPr>
        <w:t xml:space="preserve">”) by all necessary corporate action, including, as applicable, approval by the Aspen Board (or a duly constituted and authorized committee thereof) or duly authorized officer and any required stockholder approval by the necessary number of votes or written consents, (ii) each Aspen Option and Aspen Restricted Stock Unit grant was made in accordance with the terms of the Aspen Stock Plan pursuant to which it was granted and all other applicable Law and regulatory rules or requirements, and (iii) the per share exercise price of each Aspen Option was not less than the fair market value of a share of Aspen Common Stock on the applicable Aspen Grant Date. </w:t>
      </w:r>
    </w:p>
    <w:p>
      <w:pPr>
        <w:pStyle w:val="TextBody"/>
        <w:bidi w:val="0"/>
        <w:spacing w:before="240" w:after="0"/>
        <w:jc w:val="left"/>
        <w:rPr>
          <w:rFonts w:ascii="Times New Roman" w:hAnsi="Times New Roman"/>
          <w:sz w:val="20"/>
        </w:rPr>
      </w:pPr>
      <w:bookmarkStart w:id="249" w:name="annxa770053_51"/>
      <w:bookmarkEnd w:id="249"/>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reports, schedules, forms, statements and other documents (including exhibits and all other information incorporated therein) required to be filed or furnished by Aspen with the SEC since January 1, 2021 (the “</w:t>
      </w:r>
      <w:r>
        <w:rPr>
          <w:rFonts w:ascii="Times New Roman" w:hAnsi="Times New Roman"/>
          <w:b/>
          <w:sz w:val="20"/>
        </w:rPr>
        <w:t>Aspen SEC Documents</w:t>
      </w:r>
      <w:r>
        <w:rPr>
          <w:rFonts w:ascii="Times New Roman" w:hAnsi="Times New Roman"/>
          <w:sz w:val="20"/>
        </w:rPr>
        <w:t>”) have been filed or furnished with the SEC on a timely basis (subject to extensions pursuant to Exchange Act Rule 12b-25). As of their respective dates, or, if amended prior to the date of this Agreement, as of the date of (and giving effect to) the last such amendment: (i) each of the Aspen SEC Documents complied as to form in all material respects with the applicable requirements of the Securities Act, the Exchange Act and the Sarbanes-Oxley Act (as the case may be); and (ii) no Aspen SEC Document contained when filed or furnished (and, in the case of registration statements and proxy statements, on the dates of effectiveness and the dates of mailing, respectively) any untrue statement of a material fact or omitted, as the case may be, to state a material fact required to be stated or incorporated by reference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Aspen SEC Documents (collectively, the “</w:t>
      </w:r>
      <w:r>
        <w:rPr>
          <w:rFonts w:ascii="Times New Roman" w:hAnsi="Times New Roman"/>
          <w:b/>
          <w:sz w:val="20"/>
        </w:rPr>
        <w:t>Certifications</w:t>
      </w:r>
      <w:r>
        <w:rPr>
          <w:rFonts w:ascii="Times New Roman" w:hAnsi="Times New Roman"/>
          <w:sz w:val="20"/>
        </w:rPr>
        <w:t xml:space="preserve">”) were, as of their respective dates and in all material respects, accurate and complete and complied as to form and content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and schedules) contained or incorporated by reference in the Aspen SEC Documents: (i) complied as to form in all material respects with the Securities Act and the Exchange Act, as applicable, and the published rules and regulations of the SEC applicable thereto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effect at the time of such filing; (ii) were prepared in accordance with GAAP applied on a consistent basis throughout the periods covered (except as may be indicated in the notes to such financial statements or, in the case of unaudited financial statements, as permitted by Form 10-Q, Form 8-K or any successor form under the Exchange Act); and (iii) fairly present, in all material respects, the consolidated financial position of Aspen and its Subsidiaries as of the respective dates thereof and the consolidated results of operations and cash flows of Aspen and its Subsidiaries for the periods covered thereby (subject, in the case of the unaudited financial statements, to the absence of footnotes and normal year-end audit adjustments that are not individually or in the aggregate material). No financial statements of any Person other than Aspen and its Subsidiaries are required by GAAP to be included in the consolidated financial statements of Aspen. </w:t>
      </w:r>
    </w:p>
    <w:p>
      <w:pPr>
        <w:pStyle w:val="TextBody"/>
        <w:bidi w:val="0"/>
        <w:spacing w:before="240" w:after="0"/>
        <w:jc w:val="left"/>
        <w:rPr>
          <w:rFonts w:ascii="Times New Roman" w:hAnsi="Times New Roman"/>
          <w:sz w:val="20"/>
        </w:rPr>
      </w:pPr>
      <w:r>
        <w:rPr>
          <w:rFonts w:ascii="Times New Roman" w:hAnsi="Times New Roman"/>
          <w:sz w:val="20"/>
        </w:rPr>
        <w:t xml:space="preserve">(c) Aspen’s auditor has at all times since the date of enactment of the Sarbanes-Oxley Act been: (i) a registered public accounting firm (as defined in Section 2(a)(12) of the Sarbanes-Oxley Act), (ii) to the Knowledge of Aspen, “independent” with respect to Aspen within the meaning of Regulation S-X under the Exchange Act and (iii) to the Knowledge of Aspen, in compliance with subsections (g) through (l) of Section 10A of the Exchange Act and the rules and regulations promulgated by the SEC and the Public Company Accounting Oversight Board thereunder.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Section 4.7(d) of the Aspen Disclosure Schedule Aspen has not received any comment letter from the SEC or the staff thereof or any correspondence from Nasdaq or the staff thereof relating to the delisting or maintenance of listing of the Aspen Common Stock on Nasdaq. Aspen has not disclosed any unresolved comments in the Aspen SEC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There have been no formal internal investigations regarding financial reporting or accounting policies and practices discussed with, reviewed by or initiated at the direction of the chief executive officer, chief financial officer or general counsel of Aspen, the Aspen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on Section 4.7(f) of the Aspen Disclosure Schedule, Aspen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(g) Aspen maintains, and since January 1, 2021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Aspen and its Subsidiaries; (ii) provide reasonable assurance that transactions are recorded as necessary to permit preparation of financial statements in conformity with GAAP and that receipts and expenditures are being made only in accordance with authorizations of management and the Aspen Board; and (iii) provide reasonable assurance regarding prevention or timely detection of unauthorized acquisition, use or disposition of the assets of Aspen and its Subsidiaries that could have a material effect on Aspen’s financial statements. Since January 1, 2021, neither Aspen nor Aspen’s independent registered accountant has identified or been made aware of: (A) any significant deficiency or material weakness in the design or operation of the internal control over financial reporting utilized by Aspen, which is reasonably likely to adversely affect Aspen’s ability to record, process, summarize and report financial information; or (B) any fraud, whether or not material, that involves the management or other employees of Aspen who have a significant role in Aspen’s internal control over financial reporting. Aspen maintains disclosure controls and procedures (as defined by Rule 13a-15(e) or 15d-15(e) under the Exchange Act) that are reasonably designed to ensure that all information required to be disclosed in Aspen’s reports that it files or submits under the Exchange Act is recorded, processed, summarized and reported within the time periods specified in the rules and forms of the SEC and that all such information is accumulated and communicated to Aspen’s management as appropriate to allow timely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required disclosure. Since January 1, 2021, the principal executive officer and the principal financial officer of Aspen have made all certifications required by the Exchange Act and the Sarbanes-Oxley Act. Aspen is in compliance in all material respects with all current listing and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(h) None of Aspen or any of its Subsidiaries has effected, entered into or created, or has any commitment to effect, enter into or create, any securitization transaction or “off-balance sheet arrangement” (as defined in Section 2.03 of Form 8-K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As of the date hereof, there are no outstanding or unresolved comments in comment letters received from the SEC with respect to the Aspen SEC Documents. To the Knowledge of Aspen, (i) none of the Aspen SEC Documents is the subject of ongoing SEC review and (ii) there are no material inquiries or investigations by the SEC or any internal investigations pending or threatened in writing regarding any accounting practices of Aspen. </w:t>
      </w:r>
    </w:p>
    <w:p>
      <w:pPr>
        <w:pStyle w:val="TextBody"/>
        <w:bidi w:val="0"/>
        <w:spacing w:before="240" w:after="0"/>
        <w:jc w:val="left"/>
        <w:rPr>
          <w:rFonts w:ascii="Times New Roman" w:hAnsi="Times New Roman"/>
          <w:sz w:val="20"/>
        </w:rPr>
      </w:pPr>
      <w:r>
        <w:rPr>
          <w:rFonts w:ascii="Times New Roman" w:hAnsi="Times New Roman"/>
          <w:sz w:val="20"/>
        </w:rPr>
        <w:t xml:space="preserve">(j) Except as permitted by the Exchange Act, including Sections 13(k)(2) and (3), since January 1, 2021, none of Aspen or any of its Subsidiaries has made or permitted to remain outstanding any “extensions of credit” (within the meaning of Section 402 of the Sarbanes-Oxley Act) or prohibited loans to any executive officer (as defined in Rule 3b-7 under the Exchange Act) or director of Aspen. </w:t>
      </w:r>
    </w:p>
    <w:p>
      <w:pPr>
        <w:pStyle w:val="TextBody"/>
        <w:bidi w:val="0"/>
        <w:spacing w:before="240" w:after="0"/>
        <w:jc w:val="left"/>
        <w:rPr>
          <w:rFonts w:ascii="Times New Roman" w:hAnsi="Times New Roman"/>
          <w:sz w:val="20"/>
        </w:rPr>
      </w:pPr>
      <w:bookmarkStart w:id="250" w:name="annxa770053_52"/>
      <w:bookmarkEnd w:id="250"/>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Aspen Disclosure Schedule, between December 31, 2022 and the date of this Agreement, Aspen has conducted its business only in the Ordinary Course of Business (except for the execution and performance of this Agreement and the discussions, negotiations and transactions related thereto) and there has not been any (a) Aspen Material Adverse Effect or (b) action, event or occurrence that would have required consent of the Company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bookmarkStart w:id="251" w:name="annxa770053_53"/>
      <w:bookmarkEnd w:id="251"/>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December 31, 2022, Aspen and its Subsidiaries do not have any Liabilities of a type required to be reflected or reserved for on a balance sheet prepared in accordance with GAAP, except for (i) Liabilities or obligations specifically disclosed, reflected or reserved against in the Aspen Balance Sheet; (ii) Liabilities incurred in the Ordinary Course of Business since the date of the Aspen Balance Sheet; (iii) Liabilities to perform under Contracts entered into by Aspen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an Aspen Material Adverse Effect. </w:t>
      </w:r>
    </w:p>
    <w:p>
      <w:pPr>
        <w:pStyle w:val="TextBody"/>
        <w:bidi w:val="0"/>
        <w:spacing w:before="240" w:after="0"/>
        <w:jc w:val="left"/>
        <w:rPr>
          <w:rFonts w:ascii="Times New Roman" w:hAnsi="Times New Roman"/>
          <w:sz w:val="20"/>
        </w:rPr>
      </w:pPr>
      <w:bookmarkStart w:id="252" w:name="annxa770053_54"/>
      <w:bookmarkEnd w:id="252"/>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Aspen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Aspen Balance Sheet and (b) all other tangible assets reflected in the books and records of Aspen as being owned by Aspen. All of such assets are owned or, in the case of leased assets, leased by Aspen or any of its Subsidiaries free and clear of any Encumbrances, other than Permitted Encumbrances. </w:t>
      </w:r>
    </w:p>
    <w:p>
      <w:pPr>
        <w:pStyle w:val="TextBody"/>
        <w:bidi w:val="0"/>
        <w:spacing w:before="240" w:after="0"/>
        <w:jc w:val="left"/>
        <w:rPr>
          <w:rFonts w:ascii="Times New Roman" w:hAnsi="Times New Roman"/>
          <w:sz w:val="20"/>
        </w:rPr>
      </w:pPr>
      <w:bookmarkStart w:id="253" w:name="annxa770053_55"/>
      <w:bookmarkEnd w:id="253"/>
      <w:r>
        <w:rPr>
          <w:rFonts w:ascii="Times New Roman" w:hAnsi="Times New Roman"/>
          <w:sz w:val="20"/>
        </w:rPr>
        <w:t xml:space="preserve">4.11 </w:t>
      </w:r>
      <w:r>
        <w:rPr>
          <w:rFonts w:ascii="Times New Roman" w:hAnsi="Times New Roman"/>
          <w:sz w:val="20"/>
          <w:u w:val="single"/>
        </w:rPr>
        <w:t>Real Property; Leasehold</w:t>
      </w:r>
      <w:r>
        <w:rPr>
          <w:rFonts w:ascii="Times New Roman" w:hAnsi="Times New Roman"/>
          <w:sz w:val="20"/>
        </w:rPr>
        <w:t>. Neither Aspen nor any of its Subsidiaries owns or has ever owned any real property. Aspen has made available to the Company (a) an accurate and complete list of all real properties with respect to which Aspen directly or indirectly holds a valid leasehold interest as well as any other real estate that is in the possession of or leased by Aspen or any of its Subsidiaries and (b) copies of all leases under which any such real property is possessed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Real Estate Leases</w:t>
      </w:r>
      <w:r>
        <w:rPr>
          <w:rFonts w:ascii="Times New Roman" w:hAnsi="Times New Roman"/>
          <w:sz w:val="20"/>
        </w:rPr>
        <w:t xml:space="preserve">”), each of which is in full force and effect, with no existing material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54" w:name="annxa770053_56"/>
      <w:bookmarkEnd w:id="254"/>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Aspen Disclosure Schedule contains a true and complete list of all issued Patents, Marks and Copyrights included in the Aspen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hAnsi="Times New Roman"/>
          <w:b/>
          <w:sz w:val="20"/>
        </w:rPr>
        <w:t>Aspen Registered IP</w:t>
      </w:r>
      <w:r>
        <w:rPr>
          <w:rFonts w:ascii="Times New Roman" w:hAnsi="Times New Roman"/>
          <w:sz w:val="20"/>
        </w:rPr>
        <w:t xml:space="preserve">”), including, with respect to each such item, (i) the jurisdiction of application/registration, (ii) the application or registration number, (iii) the date of filing, or issuance or registration, and (iv) the record owner or owners, for each such item. Each material item of Aspen Registered IP, except for Patents, is subsisting, valid and enforceable. With respect to Patents, each material item of Aspen Registered IP is subsisting and, to the Knowledge of Aspen, all issued Patents within the Aspen Registered IP are valid and enforceable. All filing, registration, maintenance, renewal and similar fees applicable to any Aspen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interference, opposition, reissue, reexamination, or cancellation proceeding or other Legal Proceeding (other than routine ordinary course proceedings as part of patent prosecution) is pending or, to the Knowledge of Aspen, threatened regarding any Aspen Intellectual Property, including with respect to the scope, validity, enforceability, registration, priority, inventorship or ownership of, or rights to, any Aspen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All founders, key employees and any other employees, contractors, consultants or other personnel involved in the development of Aspen Owned Intellectual Property have signed confidentiality and invention assignment agreements or similar agreements for the transfer or assignment of such Aspen Owned Intellectual Property pursuant to which both (i) Aspen has obtained ownership of and are the exclusive owners of all right, title and interest in and to such Aspen Owned Intellectual Property, and (ii) such personnel are bound by commercially reasonable confidentiality obligations with respect to all Aspen Intellectual Property. To the Knowledge of Aspen, no such personnel are in violation of any such agreements, or of any agreements with any prior employer or other Person with respect to development of any Aspen Owned Intellectual Property,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Aspen Owned Intellectual Property is solely and exclusively owned by Aspen free and clear of any Encumbrance, other than Permitted Encumbrances. To the Knowledge of Aspen, except as would not reasonably be expected to have, individually or in the aggregate, an Aspen Material Adverse Effect, the Aspen Licensed Intellectual Property is in-licensed by Aspen, free and clear of any Encumbrance, other than Permitted Encumbrances. Except as would not reasonably be expected to have, individually or in the aggregate, an Aspen Material Adverse Effect, such ownership or licenses will not be affected by the execution, delivery, or performance of this Agreement or the consummation of the Transactions, and all Intellectual Property subject thereto will be owned or in-licensed by Aspen on the same terms and conditions thereafter. To the Knowledge of Aspen, Aspen owns or has a valid and enforceable license to use all material Intellectual Property necessary for, or used or held for use in, the operation of the business of Aspen as presently conducted; provided that the foregoing is not, and shall not be construed as, a representation or warranty regarding non-infringement, misappropriation or other violation by Aspen of the Intellectual Property of other Persons. To the Knowledge of Aspen, no current or former director, officer, employee or contractor of, or consultant to, Aspen owns or has any claim, right (whether or not currently exercisable) or interest (or, to the Knowledge of Aspen, has alleged that they own or have any such claim, right or interest) to or in any Aspen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Aspen, the operation of the business of Aspen as of the date of this Agreement does not infringe, misappropriate or otherwise violate, and as currently conducted has not infringed, misappropriated or otherwise violated, and the further research, development and commercialization of Aspen Products as currently planned by Aspen will not infringe, misappropriate or otherwise violate, any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owned by any other Person, except as would not reasonably be expected to have, individually or in the aggregate, an Aspen Material Adverse Effect. As of the date hereof, neither Aspen, nor, to the Knowledge of Aspen, any of the licensors of Aspen, has received any notice or claim alleging any such infringement, misappropriation or other violation, including any so-called “invitation to license” letter. As of the date hereof, no Legal Proceeding, is pending or, to the Knowledge of Aspen, has been threatened, against Aspen or such licensors relating to any infringement, misappropriation or other violation of any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Neither Aspen nor Aspen Owned Intellectual Property is subject to any Order as of the date hereof, and neither Aspen nor, to the Knowledge of Aspen, any of its licensors has entered into or is a party to any agreement made in settlement of any pending litigation or other Legal Proceeding, which in any case restricts, impairs or relates Aspen’s to use or other exploitation in any manner of any Aspen Intellectual Property or of any other Intellectual Property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Aspen, no Person is infringing, misappropriating or otherwise violating, or has infringed, misappropriated or otherwise violated, any Aspen Intellectual Property, and no Legal Proceeding has been asserted or is pending or has been threatened against any Person alleging any such infringement, misappropriation or other violation of any Aspen Intellectual Property,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Aspen has taken commercially reasonable steps necessary to maintain and protect the secrecy and confidentiality (including limitations on use) of all Trade Secrets and other confidential information included in Aspen Intellectual Property and, to the Knowledge of Aspen, there has not been any unauthorized use, disclosure of or access to any such Trade Secrets or other confidential information,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4.12(i)</w:t>
      </w:r>
      <w:r>
        <w:rPr>
          <w:rFonts w:ascii="Times New Roman" w:hAnsi="Times New Roman"/>
          <w:sz w:val="20"/>
        </w:rPr>
        <w:t xml:space="preserve"> of Aspen Disclosure Schedule contains a true and complete list of any and all material Aspen Intellectual Property that is Government Funded IP. Aspen, and, to the Knowledge of Aspen, each of its licensors with respect to any Government Funded IP, have complied with any and all any Intellectual Property disclosure, licensing and other obligations under any applicable Aspen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Aspen, each item of Aspen Intellectual Property that is Aspen Registered IP owned by Aspen is and at all times has been filed and maintained in compliance with all applicable Law and all filings, payments, and other actions required to be made or taken to maintain such item of Aspen Registered IP in full force and effect have been made by the applicable deadline, except as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(k) Except as contained in agreements entered into in the ordinary course of business by Aspen as of the Closing Date or as disclosed in Section 4.12(k) of this Disclosure Schedule, (i) Aspen is not bound by any Aspen Contract to indemnify, defend, hold harmless, or reimburse any other Person with respect to any infringement, misappropriation, or similar claim relating to Intellectual Property that is material to Aspen, taken as a whole and (ii) Aspen has not ever assumed, or agreed to discharge or otherwise take responsibility for, any existing or potential liability of another Person for infringement, misappropriation, or violation of any material Intellectual Property right. </w:t>
      </w:r>
    </w:p>
    <w:p>
      <w:pPr>
        <w:pStyle w:val="TextBody"/>
        <w:bidi w:val="0"/>
        <w:spacing w:before="240" w:after="0"/>
        <w:jc w:val="left"/>
        <w:rPr>
          <w:rFonts w:ascii="Times New Roman" w:hAnsi="Times New Roman"/>
          <w:sz w:val="20"/>
        </w:rPr>
      </w:pPr>
      <w:r>
        <w:rPr>
          <w:rFonts w:ascii="Times New Roman" w:hAnsi="Times New Roman"/>
          <w:sz w:val="20"/>
        </w:rPr>
        <w:t xml:space="preserve">(l) Aspen has delivered or made available to Aspen, a complete and accurate copy of all Aspen License Agreements. With respect to each of the material Aspen License Agreements: and except as disclosed in Section 4.12(l) of the Disclosure Schedule (i) to the Knowledge of Aspen each such agreement is valid, binding on, enforceable against Aspen, in accordance with its terms, subject to the Enforceability Exceptions, (ii)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not received any written notice of termination or cancellation under such agreement, or received any written notice of breach or default under such agreement, which breach has not been cured or waived and (iii) neither Aspen nor to the Knowledge of Aspen, no other party to any such agreement, is in breach or default thereof in any material respect. </w:t>
      </w:r>
    </w:p>
    <w:p>
      <w:pPr>
        <w:pStyle w:val="TextBody"/>
        <w:bidi w:val="0"/>
        <w:spacing w:before="240" w:after="0"/>
        <w:jc w:val="left"/>
        <w:rPr>
          <w:rFonts w:ascii="Times New Roman" w:hAnsi="Times New Roman"/>
          <w:sz w:val="20"/>
        </w:rPr>
      </w:pPr>
      <w:bookmarkStart w:id="255" w:name="annxa770053_57"/>
      <w:bookmarkEnd w:id="255"/>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Aspen Disclosure Schedule identifies each of the following types of Aspen Contracts that is in effect as of the date of this Agreement, other than Aspen Employee Plans, the definitive agreements in respect of the Contemplated Transactions and Contracts filed as exhibits to the Aspen SEC Documents (each, an “</w:t>
      </w:r>
      <w:r>
        <w:rPr>
          <w:rFonts w:ascii="Times New Roman" w:hAnsi="Times New Roman"/>
          <w:b/>
          <w:sz w:val="20"/>
        </w:rPr>
        <w:t>Aspen Material Contract</w:t>
      </w:r>
      <w:r>
        <w:rPr>
          <w:rFonts w:ascii="Times New Roman" w:hAnsi="Times New Roman"/>
          <w:sz w:val="20"/>
        </w:rPr>
        <w:t>” and collectively, the “</w:t>
      </w:r>
      <w:r>
        <w:rPr>
          <w:rFonts w:ascii="Times New Roman" w:hAnsi="Times New Roman"/>
          <w:b/>
          <w:sz w:val="20"/>
        </w:rPr>
        <w:t>Aspen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such term is defined in Item 601(b)(10) of Regulation S-K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 that relates to any material bonus, deferred compensation, or severance plans or arrangements; </w:t>
      </w:r>
    </w:p>
    <w:p>
      <w:pPr>
        <w:pStyle w:val="TextBody"/>
        <w:bidi w:val="0"/>
        <w:spacing w:before="120" w:after="0"/>
        <w:jc w:val="left"/>
        <w:rPr>
          <w:rFonts w:ascii="Times New Roman" w:hAnsi="Times New Roman"/>
          <w:sz w:val="20"/>
        </w:rPr>
      </w:pPr>
      <w:r>
        <w:rPr>
          <w:rFonts w:ascii="Times New Roman" w:hAnsi="Times New Roman"/>
          <w:sz w:val="20"/>
        </w:rPr>
        <w:t xml:space="preserve">(iii) evidencing a commitment by Aspen or any of its Subsidiaries to make a future capital expenditure in excess of $250,000 that is not terminable by such Entity upon notice of sixty (60) days or less without penalty or liability; </w:t>
      </w:r>
    </w:p>
    <w:p>
      <w:pPr>
        <w:pStyle w:val="TextBody"/>
        <w:bidi w:val="0"/>
        <w:spacing w:before="120" w:after="0"/>
        <w:jc w:val="left"/>
        <w:rPr>
          <w:rFonts w:ascii="Times New Roman" w:hAnsi="Times New Roman"/>
          <w:sz w:val="20"/>
        </w:rPr>
      </w:pPr>
      <w:r>
        <w:rPr>
          <w:rFonts w:ascii="Times New Roman" w:hAnsi="Times New Roman"/>
          <w:sz w:val="20"/>
        </w:rPr>
        <w:t xml:space="preserve">(iv) that requires payments by Aspen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Aspen or any of its Subsidiaries on thirty (30) calendar days’ or less notice without liability, except to the extent general principles of wrongful termination Law may limit Aspen’s,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(v) (A) that includes (1) any “most favored nations” terms or conditions, including with respect to pricing, (2) containing exclusivity obligations or otherwise limiting the freedom or right of Aspen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Aspen or any of its Subsidiaries or (B) containing any provision or covenant that materially limits, or purports to materially limit, the ability of Aspen or any of its Subsidiaries to engage in any line of business (whether generally or in any geographic area) or compete with any Person or in any line of business or geographic area; </w:t>
      </w:r>
    </w:p>
    <w:p>
      <w:pPr>
        <w:pStyle w:val="TextBody"/>
        <w:bidi w:val="0"/>
        <w:spacing w:before="120" w:after="0"/>
        <w:jc w:val="left"/>
        <w:rPr>
          <w:rFonts w:ascii="Times New Roman" w:hAnsi="Times New Roman"/>
          <w:sz w:val="20"/>
        </w:rPr>
      </w:pPr>
      <w:r>
        <w:rPr>
          <w:rFonts w:ascii="Times New Roman" w:hAnsi="Times New Roman"/>
          <w:sz w:val="20"/>
        </w:rPr>
        <w:t xml:space="preserve">(vi) relating to or evidencing indebtedness for borrowed money or any guarantee of indebtedness for borrowed money by Aspen or any of its Subsidiaries in excess of $250,000 (excluding loans by Aspen to wholly-owned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providing for or governing the formation of any joint venture, partnership, strategic alliance, research and development collaboration,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(viii) providing for uncapped indemnification or guaranty to a third party, in each case except (A) as entered into in the Ordinary Course of Business and (B) for any Aspen Outbound License; </w:t>
      </w:r>
    </w:p>
    <w:p>
      <w:pPr>
        <w:pStyle w:val="TextBody"/>
        <w:bidi w:val="0"/>
        <w:spacing w:before="120" w:after="0"/>
        <w:jc w:val="left"/>
        <w:rPr>
          <w:rFonts w:ascii="Times New Roman" w:hAnsi="Times New Roman"/>
          <w:sz w:val="20"/>
        </w:rPr>
      </w:pPr>
      <w:r>
        <w:rPr>
          <w:rFonts w:ascii="Times New Roman" w:hAnsi="Times New Roman"/>
          <w:sz w:val="20"/>
        </w:rPr>
        <w:t>(ix) (A) pursuant to which any Person granted Aspen an exclusive license under any Intellectual Property, or (B) pursuant to which Aspen or any of its Subsidiaries granted any Person an exclusive license under any Aspen Intellectual Property (“</w:t>
      </w:r>
      <w:r>
        <w:rPr>
          <w:rFonts w:ascii="Times New Roman" w:hAnsi="Times New Roman"/>
          <w:b/>
          <w:sz w:val="20"/>
        </w:rPr>
        <w:t>Aspen 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that has continuing obligations or interests involving (A) “milestone” or other similar contingent payments, including upon the achievement of development, regulatory or commercial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milestones, or (B) payment of royalties or other amounts calculated based upon sales, revenue, income or similar measure of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 that is a settlement, conciliation or similar Contract with or approved by any Governmental Authority (A) pursuant to which Aspen or any of its Subsidiaries will be required after the date of this Agreement to pay any monetary obligations or (B) that contains material obligations or limitations on the conduct of Aspen or any of its Subsidiaries (other than customary confidentiality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 with any Governmental Authority, except for materials transfer agreements, agreements with academic institutions and non-disclosure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that is a clinical trial agreement, clinical study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(xiv) (A) that is a collective bargaining agreement or (B) with any labor organization; </w:t>
      </w:r>
    </w:p>
    <w:p>
      <w:pPr>
        <w:pStyle w:val="TextBody"/>
        <w:bidi w:val="0"/>
        <w:spacing w:before="120" w:after="0"/>
        <w:jc w:val="left"/>
        <w:rPr>
          <w:rFonts w:ascii="Times New Roman" w:hAnsi="Times New Roman"/>
          <w:sz w:val="20"/>
        </w:rPr>
      </w:pPr>
      <w:r>
        <w:rPr>
          <w:rFonts w:ascii="Times New Roman" w:hAnsi="Times New Roman"/>
          <w:sz w:val="20"/>
        </w:rPr>
        <w:t xml:space="preserve">(xv) that prohibits the payment of dividends or distributions in respect of the capital stock of Aspen or any of its Subsidiaries, the pledging of the capital stock or other equity interests of Aspen or any of its Subsidiaries or the issuance of any guaranty by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relating to the disposition or acquisition of material assets or any ownership interest in any Entity; </w:t>
      </w:r>
    </w:p>
    <w:p>
      <w:pPr>
        <w:pStyle w:val="TextBody"/>
        <w:bidi w:val="0"/>
        <w:spacing w:before="120" w:after="0"/>
        <w:jc w:val="left"/>
        <w:rPr>
          <w:rFonts w:ascii="Times New Roman" w:hAnsi="Times New Roman"/>
          <w:sz w:val="20"/>
        </w:rPr>
      </w:pPr>
      <w:r>
        <w:rPr>
          <w:rFonts w:ascii="Times New Roman" w:hAnsi="Times New Roman"/>
          <w:sz w:val="20"/>
        </w:rPr>
        <w:t xml:space="preserve">(xvii) requiring payment by or to Aspen or any of its Subsidiaries after the date of this Agreement in excess of $150,000 pursuant to its express terms relating to: (A) any distribution agreement (identifying any that contain exclusivity provisions), (B) any agreement involving provision of services or products with respect to any pre-clinical or clinical development activities of Aspen or any of its Subsidiaries, (C) any dealer, distributor, joint marketing, alliance, joint venture, cooperation, development or other agreement currently in force under which Aspen or any of its Subsidiaries has continuing obligations to develop or market any product, technology or service, or any agreement pursuant to which Aspen or any of its Subsidiaries has continuing obligations to develop any Intellectual Property that will not be owned, in whole or in part, by Aspen or (D) any Contract to license any patent, trademark registration, service mark registration, trade name or copyright registration to or from any third party to manufacture or produce any product, service or technology of Aspen or any of its Subsidiaries or any Contract to sell, distribute or commercialize any products or service of Aspen or any of its Subsidiaries, in each case, except for Aspen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(xviii) with any Person, including any financial advisor, broker, finder, investment banker or other Person, providing advisory services to Aspen or any of its Subsidiaries in connection with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(xix) that was entered into since January 1, 2021 and (A) was entered into with any present or former officer, director or employee of Aspen or any of its Subsidiaries (other than indemnification agreements or any Employee Plans entered into in the ordinary course of business) or (B) is the type of Contract that would be required to be disclosed under Item 404 of Regulation S-K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Aspen has delivered or made available to the Company accurate and complete copies of all Aspen Material Contracts, including all amendments thereto. There are no Aspen Material Contracts that are not in written form. Aspen has not nor, to Aspen’s Knowledge as of the date of this Agreement, has any other party to an Aspen Material Contract, breached, violated or defaulted under, or received notice that it breached, violated or defaulted under, any of the terms or conditions of any Aspen Material Contract in such manner as would permit any other party to cancel or terminate any such Aspen Material Contract, or would permit any other party to seek damages which would reasonably be expected to have an Aspen Material Adverse Effect. As to Aspen and its Subsidiaries, as of the date of this Agreement, each Aspen Material Contract is valid, binding, enforceable and in full force and effect, subject to the Enforceability Exceptions. No Person is renegotiating, or has a right pursuant to the terms of any Aspen Material Contract to change any material amount paid or payable to Aspen under any Aspen Material Contract or any other material term or provision of any Aspen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56" w:name="annxa770053_58"/>
      <w:bookmarkEnd w:id="256"/>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is, and since January 1, 2021, has been in compliance in all material respects with all Laws applicable to Aspen and its Subsidiaries, and, since January 1, 2021, Aspen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Aspen and its Subsidiaries holds, and since January 1, 2021 has held, all Governmental Authorizations necessary for Aspen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Aspen and its Subsidiaries, taken as a whole. The Governmental Authorizations held by Aspen and its Subsidiaries are (i) valid and in full force and effect and (ii) are not subject to any administrative or judicial proceeding that would reasonably be expected to result in any termination, suspension, revocation or nonrenewal thereof (and, to the Knowledge of Aspen, no such termination, suspension, revocation or nonrenewal has been otherwise threatened in writing), and Aspen and its Subsidiaries are in compliance with the terms and requirements thereof, except in the case of each of clauses (i) and (ii) as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Aspen Products,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an Aspen Material Adverse Effect. As of the date hereof, neither Aspen nor its Subsidiaries nor, to the Knowledge of Aspen,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Aspen nor its Subsidiaries nor, to the Knowledge of Aspen, any Collaboration Partner has received any Form FDA 483, warning letter, notice of violation, or other written administrative, regulatory or enforcement notice from the FDA or any other Drug Governmental Authority related to the Aspen Products. </w:t>
      </w:r>
    </w:p>
    <w:p>
      <w:pPr>
        <w:pStyle w:val="TextBody"/>
        <w:bidi w:val="0"/>
        <w:spacing w:before="240" w:after="0"/>
        <w:jc w:val="left"/>
        <w:rPr>
          <w:rFonts w:ascii="Times New Roman" w:hAnsi="Times New Roman"/>
          <w:sz w:val="20"/>
        </w:rPr>
      </w:pPr>
      <w:r>
        <w:rPr>
          <w:rFonts w:ascii="Times New Roman" w:hAnsi="Times New Roman"/>
          <w:sz w:val="20"/>
        </w:rPr>
        <w:t xml:space="preserve">(d) Aspen and its Subsidiaries have filed with the applicable Drug Governmental Authorities all required material Healthcare Submissions with respect to the Aspen Products. All filings for Aspen Governmental Authorizations and Healthcare Submissions were complete and accurate in all material respects and in material compliance with applicable Laws and Orders when filed, or were subsequently corrected or completed by a subsequent filing made prior to the date hereof. No deficiencies have been asserted in writing by any applicable Drug Governmental Authority to Aspen and its Subsidiaries with respect to any Healthcare Submission, except as are not, and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Since January 1, 2021, neither Aspen nor its Subsidiaries, nor any authorized person acting on their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an Aspen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Aspen nor its Subsidiaries, nor any director, officer or employee of Aspen or its Subsidiaries (acting in the capacity of a director, officer or employee of Aspen or its Subsidiaries) or, to the Knowledge of Aspen, any representative or agent of Aspen or its Subsidiaries (acting in the capacity of a representative or agent of Aspen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 </w:t>
      </w:r>
    </w:p>
    <w:p>
      <w:pPr>
        <w:pStyle w:val="TextBody"/>
        <w:bidi w:val="0"/>
        <w:spacing w:before="240" w:after="0"/>
        <w:jc w:val="left"/>
        <w:rPr>
          <w:rFonts w:ascii="Times New Roman" w:hAnsi="Times New Roman"/>
          <w:sz w:val="20"/>
        </w:rPr>
      </w:pPr>
      <w:r>
        <w:rPr>
          <w:rFonts w:ascii="Times New Roman" w:hAnsi="Times New Roman"/>
          <w:sz w:val="20"/>
        </w:rPr>
        <w:t xml:space="preserve">(g) Except with respect to any Aspen Product for which Aspen has withdrawn and/or terminated the IND and/or CTA, as applicable, and excluding any compassionate use/named patient activities not sponsored by Aspen, Aspen has made available to the Company complete and accurate copies of (i) each investigational new drug application and all material correspondence relating to clinical trial applications submitted to the FDA or any other Drug Governmental Authority by or on behalf of Aspen, including any supplements or amendments thereto, relating to any Aspen Product, (ii) all final preclinical study and clinical trial results or reports relating to any Aspen Product, (iii) all documents in the possession of Aspen or its Subsidiaries related to inspections by any Drug Governmental Authority, in each case relating to any Aspen Product, (iv) all material information relating to adverse drug experiences, events or reactions or other safety information obtained or otherwise received by Aspen relating to any Aspen Product, and (v) clinical trial databases, clinical trial master files, and statistical programs for ongoing and completed clinical trials and studies in the possession of Aspen or its Subsidiaries or, to the Knowledge of Aspen, in a Collaboration Partner’s possession, relating to any Aspen Product. Aspen has a complete log of the material correspondence described in clause (i) of this section, except as has not been, and would not reasonably be expected to be, individually or in the aggregate, material to Aspen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neither Aspen nor any of its Subsidiaries has any current or future obligation or requirement to issue any safety reports to the FDA or any other Drug Governmental Authority on any matter, including with respect to any investigational new drug application (IND) or clinical trial application (CTA), including with respect to any Aspen Product, and any such prior obligation or requirement has either been terminated by the FDA or other applicable Drug Governmental Authority or has been transferred to a third party without any further requirement on the part of Aspen in respect of such drug safety reporting or otherwise. </w:t>
      </w:r>
    </w:p>
    <w:p>
      <w:pPr>
        <w:pStyle w:val="TextBody"/>
        <w:bidi w:val="0"/>
        <w:spacing w:before="240" w:after="0"/>
        <w:jc w:val="left"/>
        <w:rPr>
          <w:rFonts w:ascii="Times New Roman" w:hAnsi="Times New Roman"/>
          <w:sz w:val="20"/>
        </w:rPr>
      </w:pPr>
      <w:bookmarkStart w:id="257" w:name="annxa770053_59"/>
      <w:bookmarkEnd w:id="257"/>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4.15(a)</w:t>
      </w:r>
      <w:r>
        <w:rPr>
          <w:rFonts w:ascii="Times New Roman" w:hAnsi="Times New Roman"/>
          <w:sz w:val="20"/>
        </w:rPr>
        <w:t xml:space="preserve"> of the Aspen Disclosure Schedule, there is no pending Legal Proceeding and, to the Knowledge of Aspen, no Person has threatened in writing to commence any Legal Proceeding: (i) that involves Aspen or any of its Subsidiaries or any Aspen Associate (in his or her capacity as such) or any of the material assets owned or used by Aspen or any of its Subsidiaries or (ii) that challenges, or that may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Aspen or any of its Subsidiaries, or any of the material assets owned or used by Aspen or any of its Subsidiaries is subject. To the Knowledge of Aspen, no officer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Aspen Key Employee or any of its Subsidiaries is subject to any Order that prohibits such officer or employee from engaging in or continuing any conduct, activity or practice relating to the business of Aspen or any of its Subsidiaries or to any material assets owned or used by Aspen or any of its Subsidiaries. </w:t>
      </w:r>
    </w:p>
    <w:p>
      <w:pPr>
        <w:pStyle w:val="TextBody"/>
        <w:bidi w:val="0"/>
        <w:spacing w:before="240" w:after="0"/>
        <w:jc w:val="left"/>
        <w:rPr>
          <w:rFonts w:ascii="Times New Roman" w:hAnsi="Times New Roman"/>
          <w:sz w:val="20"/>
        </w:rPr>
      </w:pPr>
      <w:bookmarkStart w:id="258" w:name="annxa770053_60"/>
      <w:bookmarkEnd w:id="258"/>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Aspen and its Subsidiaries have been paid regardless of whether such Taxes have been shown as due and payable on any Tax Return. Aspen and its Subsidiaries have established on their relevant books and records, in accordance with GAAP, reserves that are adequate for the payment of any income or other material Taxes not yet due and payable. None of Aspen and its Subsidiaries currently is the beneficiary of any extension of time within which to file any income or other material Tax Return, other than customary extensions that have been obtained consistent with past practice. There are no Encumbrances on any of the assets of Aspen and its Subsidiaries that arose in connection with any failure to pay any material Tax,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None of Aspen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be material to Aspen and its Subsidiaries, taken as a whole, Aspen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Aspen and its Subsidiaries, taken as a whole, there is no dispute, audits, examinations, assessments or other actions concerning any Tax liability of Aspen and its Subsidiaries pending or, to the Knowledge of Aspen, threatened by any Governmental Authority against, or with respect to, Aspen and its Subsidiaries that remains unpaid, and none of Aspen and its Subsidiaries has received written notice of any threatened audits, examinations or assessments relating to any Taxes. </w:t>
      </w:r>
    </w:p>
    <w:p>
      <w:pPr>
        <w:pStyle w:val="TextBody"/>
        <w:bidi w:val="0"/>
        <w:spacing w:before="240" w:after="0"/>
        <w:jc w:val="left"/>
        <w:rPr>
          <w:rFonts w:ascii="Times New Roman" w:hAnsi="Times New Roman"/>
          <w:sz w:val="20"/>
        </w:rPr>
      </w:pPr>
      <w:r>
        <w:rPr>
          <w:rFonts w:ascii="Times New Roman" w:hAnsi="Times New Roman"/>
          <w:sz w:val="20"/>
        </w:rPr>
        <w:t xml:space="preserve">(e) None of Aspen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None of Aspen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Aspen, none of Aspen and its Subsidiaries has entered into or been a party to any “listed transaction” within the meaning of Treasury regulations Section 1.6011-4(b)(2) for a taxable period for which the applicable statute of limitations remains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None of Aspen and its Subsidiaries are party to any agreements relating to the allocation or sharing of Taxes, including Tax indemnity agreements,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(i) None of Aspen and its Subsidiaries (i) has been a member of an affiliated group of corporations within the meaning of Section 1504 of the Code (or similar provision of local, state or non-U.S. Law), other than any affiliated group of which Aspen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 </w:t>
      </w:r>
    </w:p>
    <w:p>
      <w:pPr>
        <w:pStyle w:val="TextBody"/>
        <w:bidi w:val="0"/>
        <w:spacing w:before="240" w:after="0"/>
        <w:jc w:val="left"/>
        <w:rPr>
          <w:rFonts w:ascii="Times New Roman" w:hAnsi="Times New Roman"/>
          <w:sz w:val="20"/>
        </w:rPr>
      </w:pPr>
      <w:r>
        <w:rPr>
          <w:rFonts w:ascii="Times New Roman" w:hAnsi="Times New Roman"/>
          <w:sz w:val="20"/>
        </w:rPr>
        <w:t xml:space="preserve">(j) None of Aspen and its Subsidiaries is subject to Tax in any jurisdiction other than the jurisdiction in which it is organized, by virtue of having a permanent establishment, fixed place of business or, to the Knowledge of Aspen, otherwise. As of the date hereof, no claim has been made by a Governmental Authority in a jurisdiction where Aspen or any of its Subsidiaries does not file Tax Returns that Aspen or any of its Subsidiaries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(k) Aspen is not and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 xml:space="preserve">(l) Neither Aspen nor any of its Subsidiaries is aware of any facts or circumstances or has taken or agreed to take or refrain from taking any action, in each case, that would reasonably be expected to prevent or impede the Merger from qualifying for the Intended Tax Treatment. </w:t>
      </w:r>
    </w:p>
    <w:p>
      <w:pPr>
        <w:pStyle w:val="TextBody"/>
        <w:bidi w:val="0"/>
        <w:spacing w:before="240" w:after="0"/>
        <w:jc w:val="left"/>
        <w:rPr>
          <w:rFonts w:ascii="Times New Roman" w:hAnsi="Times New Roman"/>
          <w:sz w:val="20"/>
        </w:rPr>
      </w:pPr>
      <w:bookmarkStart w:id="259" w:name="annxa770053_61"/>
      <w:bookmarkEnd w:id="259"/>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Aspen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Aspen, taken as a whole. Aspen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 </w:t>
      </w:r>
    </w:p>
    <w:p>
      <w:pPr>
        <w:pStyle w:val="TextBody"/>
        <w:bidi w:val="0"/>
        <w:spacing w:before="240" w:after="0"/>
        <w:jc w:val="left"/>
        <w:rPr>
          <w:rFonts w:ascii="Times New Roman" w:hAnsi="Times New Roman"/>
          <w:sz w:val="20"/>
        </w:rPr>
      </w:pPr>
      <w:r>
        <w:rPr>
          <w:rFonts w:ascii="Times New Roman" w:hAnsi="Times New Roman"/>
          <w:sz w:val="20"/>
        </w:rPr>
        <w:t xml:space="preserve">(b) Aspen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Aspen and, as of the date hereof, there is not, to the Knowledge of Aspen, any attempt to organize any employees of Aspen for the purpose of forming or joining a labor union or works council. Since January 1, 2021 to the date hereof, there has been no strike, slowdown, picketing, lockout, job action, work stoppage, union organizing activity or other labor dispute, or, to the Knowledge of Aspen, any threat thereof, affecting Aspen 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not, and since January 1, 2021 has not been, any Legal Proceeding pending, or to the Knowledge of Aspen,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 of Aspen, including unfair labor practices, misclassification of independent contractors or consultants, unlawful retaliation, discrimination or harassment complaints, in each case that is material to Aspen, taken as a whole. </w:t>
      </w:r>
    </w:p>
    <w:p>
      <w:pPr>
        <w:pStyle w:val="TextBody"/>
        <w:bidi w:val="0"/>
        <w:spacing w:before="240" w:after="0"/>
        <w:jc w:val="left"/>
        <w:rPr>
          <w:rFonts w:ascii="Times New Roman" w:hAnsi="Times New Roman"/>
          <w:sz w:val="20"/>
        </w:rPr>
      </w:pPr>
      <w:r>
        <w:rPr>
          <w:rFonts w:ascii="Times New Roman" w:hAnsi="Times New Roman"/>
          <w:sz w:val="20"/>
        </w:rPr>
        <w:t>(d) Within the past three (3) years, Aspen has not implemented any plant closing or layoff of employees that (in either case) violated the United States Worker Adjustment and Retraining Notification Act, as amended, or any similar state, local or foreign law (together, “</w:t>
      </w:r>
      <w:r>
        <w:rPr>
          <w:rFonts w:ascii="Times New Roman" w:hAnsi="Times New Roman"/>
          <w:sz w:val="20"/>
          <w:u w:val="single"/>
        </w:rPr>
        <w:t>WARN</w:t>
      </w:r>
      <w:r>
        <w:rPr>
          <w:rFonts w:ascii="Times New Roman" w:hAnsi="Times New Roman"/>
          <w:sz w:val="20"/>
        </w:rPr>
        <w:t xml:space="preserve">”) and Aspen has not incurred any material liability under WARN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4.17(e)</w:t>
      </w:r>
      <w:r>
        <w:rPr>
          <w:rFonts w:ascii="Times New Roman" w:hAnsi="Times New Roman"/>
          <w:sz w:val="20"/>
        </w:rPr>
        <w:t xml:space="preserve"> of the Aspen Disclosure Schedule sets forth a correct and complete list of each material Aspen Employee Plan. Aspen has made available to Company, with respect to each material Aspen Employee Plan, accurate and complete copies (as applicable) of: (i) all plan documents and all amendments thereto, and all related trust or other funding documents, and in the case of unwritten material Aspen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Aspen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Aspen Employee Plan that is intended to be qualified under Section 401(a) of the Code has received or is permitted to rely upon a favorable determination or opinion letter that it is so qualified, and to the Knowledge of Aspen, there are no circumstances that would reasonably be expected to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is not, and would not reasonably be expected to be, individually or in the aggregate, material to Aspen and its Subsidiaries, taken as a whole, each Aspen Employee Plan has been operated, maintained and administered in compliance with its terms and with the requirements prescribed by applicable Laws, including ERISA and the Code. As of the date hereof, no Legal Proceeding or governmental audit is pending with respect to any Aspen Employee Plan (other than routine claims for benefits) and, to the Knowledge of the Aspen, no such Legal Proceeding or governmental audit is threatened; and there are no governmental investigations pending or, to the Knowledge of the Aspen, threatened in connection with any Aspen Employee Plan, the assets of any trust under any Aspen Employee Plan or the plan sponsor, the plan administrator or any fiduciary under any Aspen Employee Plan. </w:t>
      </w:r>
    </w:p>
    <w:p>
      <w:pPr>
        <w:pStyle w:val="TextBody"/>
        <w:bidi w:val="0"/>
        <w:spacing w:before="240" w:after="0"/>
        <w:jc w:val="left"/>
        <w:rPr>
          <w:rFonts w:ascii="Times New Roman" w:hAnsi="Times New Roman"/>
          <w:sz w:val="20"/>
        </w:rPr>
      </w:pPr>
      <w:r>
        <w:rPr>
          <w:rFonts w:ascii="Times New Roman" w:hAnsi="Times New Roman"/>
          <w:sz w:val="20"/>
        </w:rPr>
        <w:t xml:space="preserve">(h) Neither Aspen nor any of its respective directors, officers, employees or agents has, with respect to any Aspen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Aspen or any Aspen Employee Plan or for which Aspen has any future indemnification obligation, except, in each case, as would not reasonably be expected, individually or in the aggregate, to result in material liability to Aspen. </w:t>
      </w:r>
    </w:p>
    <w:p>
      <w:pPr>
        <w:pStyle w:val="TextBody"/>
        <w:bidi w:val="0"/>
        <w:spacing w:before="240" w:after="0"/>
        <w:jc w:val="left"/>
        <w:rPr>
          <w:rFonts w:ascii="Times New Roman" w:hAnsi="Times New Roman"/>
          <w:sz w:val="20"/>
        </w:rPr>
      </w:pPr>
      <w:r>
        <w:rPr>
          <w:rFonts w:ascii="Times New Roman" w:hAnsi="Times New Roman"/>
          <w:sz w:val="20"/>
        </w:rPr>
        <w:t xml:space="preserve">(i) None of Aspen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No Aspen Employee Plan provides for, and Aspen does not have any present or future obligation to provide, post-retirement or post-termination health, life insurance or other welfare benefits except as required under Part 6 of Subtitle B of Title I of ERISA or Section 4980B of the Code or similar state Law. </w:t>
      </w:r>
    </w:p>
    <w:p>
      <w:pPr>
        <w:pStyle w:val="TextBody"/>
        <w:bidi w:val="0"/>
        <w:spacing w:before="240" w:after="0"/>
        <w:jc w:val="left"/>
        <w:rPr>
          <w:rFonts w:ascii="Times New Roman" w:hAnsi="Times New Roman"/>
          <w:sz w:val="20"/>
        </w:rPr>
      </w:pPr>
      <w:r>
        <w:rPr>
          <w:rFonts w:ascii="Times New Roman" w:hAnsi="Times New Roman"/>
          <w:sz w:val="20"/>
        </w:rPr>
        <w:t xml:space="preserve">(k) Aspen does not have any obligation to pay or provide any tax “gross-up” or similar “make-whole” payments or indemnities to any current or former employee, officer, director or other service provider of Aspen.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applicable, all Aspen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Aspen.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Aspen of any payment or benefit that is or could be characterized as a “parachute payment” (within the meaning of Section 280G of the Code), determined without regard to the application of Section 280G(b)(5) of the Code. </w:t>
      </w:r>
    </w:p>
    <w:p>
      <w:pPr>
        <w:pStyle w:val="TextBody"/>
        <w:bidi w:val="0"/>
        <w:spacing w:before="240" w:after="0"/>
        <w:jc w:val="left"/>
        <w:rPr>
          <w:rFonts w:ascii="Times New Roman" w:hAnsi="Times New Roman"/>
          <w:sz w:val="20"/>
        </w:rPr>
      </w:pPr>
      <w:r>
        <w:rPr>
          <w:rFonts w:ascii="Times New Roman" w:hAnsi="Times New Roman"/>
          <w:sz w:val="20"/>
        </w:rPr>
        <w:t xml:space="preserve">(n) Each Aspen Employee Plan that is a “nonqualified deferred compensation plan” (as such term is defined under Section 409A(d)(1) of the Code and the guidance thereunder) has been operated and maintained in compliance in all material respects with the requirements of Section 409A of the Code and the applicable guidance thereunder. </w:t>
      </w:r>
    </w:p>
    <w:p>
      <w:pPr>
        <w:pStyle w:val="TextBody"/>
        <w:bidi w:val="0"/>
        <w:spacing w:before="240" w:after="0"/>
        <w:jc w:val="left"/>
        <w:rPr>
          <w:rFonts w:ascii="Times New Roman" w:hAnsi="Times New Roman"/>
          <w:sz w:val="20"/>
        </w:rPr>
      </w:pPr>
      <w:bookmarkStart w:id="260" w:name="annxa770053_62"/>
      <w:bookmarkEnd w:id="260"/>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January 1, 2022, Aspen and each of its Subsidiaries has complied with all applicable Environmental Laws, which compliance includes the possession by Aspen of all permits and other Governmental Authorizations required under applicable Environmental Laws and compliance with the terms and conditions thereof, except for any failure to be in compliance that, individually or in the aggregate, would not result in an Aspen Material Adverse Effect. Neither Aspen nor any of its Subsidiaries has received since January 1, 2022, any written notice or other communication (in writing or otherwise), whether from a Governmental Authority, citizens group, employee or otherwise, that alleges that Aspen or any of its Subsidiaries is not in compliance with any Environmental Law, and, to the Knowledge of Aspen, there are no circumstances that may prevent or interfere with Aspen’s or any of its Subsidiaries’ compliance with any Environmental Law in the future, except where such failure to comply would not reasonably be expected to have an Aspen Material Adverse Effect. To the Knowledge of Aspen: (i) no current or prior owner of any property leased or controlled by Aspen or any of its Subsidiaries has received since January 1, 2022, any written notice or other communication relating to property owned or leased at any time by Aspen or any of its Subsidiaries, whether from a Governmental Authority, citizens group, employee or otherwise, that alleges that such current or prior owner or Aspen or any of its Subsidiaries is not in compliance with or violated any Environmental Law relating to such property and (ii) neither Aspen nor any of its Subsidiaries has any material liability under any Environmental Law. </w:t>
      </w:r>
    </w:p>
    <w:p>
      <w:pPr>
        <w:pStyle w:val="TextBody"/>
        <w:bidi w:val="0"/>
        <w:spacing w:before="240" w:after="0"/>
        <w:jc w:val="left"/>
        <w:rPr>
          <w:rFonts w:ascii="Times New Roman" w:hAnsi="Times New Roman"/>
          <w:sz w:val="20"/>
        </w:rPr>
      </w:pPr>
      <w:bookmarkStart w:id="261" w:name="annxa770053_63"/>
      <w:bookmarkEnd w:id="261"/>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Aspen has made available to the Company accurate and complete copies or summaries of all material insurance policies and all material self-insurance programs and arrangements relating to the business, assets, liabilities and operations of Aspen and its Subsidiaries (including Merger Sub). Each of such insurance policies is in full force and effect and Aspen and its Subsidiaries (including Merger Sub) are in compliance in all material respects with the terms thereof. Other than customary end of policy notifications from insurance carriers, since January 1, 2022, neither Aspen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policy. Each of Aspen and its Subsidiaries (including Merger Sub) has provided timely written notice to the appropriate insurance carrier(s) of each Legal Proceeding pending against Aspen or such Subsidiary for which Aspen or such Subsidiary has insurance coverage, and no such carrier has issued a denial of coverage or a reservation of rights with respect to any such Legal Proceeding, or informed Aspen or any of its Subsidiaries of its intent to do so. </w:t>
      </w:r>
    </w:p>
    <w:p>
      <w:pPr>
        <w:pStyle w:val="TextBody"/>
        <w:bidi w:val="0"/>
        <w:spacing w:before="240" w:after="0"/>
        <w:jc w:val="left"/>
        <w:rPr>
          <w:rFonts w:ascii="Times New Roman" w:hAnsi="Times New Roman"/>
          <w:sz w:val="20"/>
        </w:rPr>
      </w:pPr>
      <w:bookmarkStart w:id="262" w:name="annxa770053_64"/>
      <w:bookmarkEnd w:id="262"/>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Aspen SEC Documents filed prior to the date of this Agreement, since the date of Aspen’s last proxy statement filed in 2023 with the SEC, no event has occurred that would be required to be reported by Aspen pursuant to Item 404 of Regulation S-K promulgated by the SEC. </w:t>
      </w:r>
      <w:r>
        <w:rPr>
          <w:rFonts w:ascii="Times New Roman" w:hAnsi="Times New Roman"/>
          <w:sz w:val="20"/>
          <w:u w:val="single"/>
        </w:rPr>
        <w:t>Section 4.20</w:t>
      </w:r>
      <w:r>
        <w:rPr>
          <w:rFonts w:ascii="Times New Roman" w:hAnsi="Times New Roman"/>
          <w:sz w:val="20"/>
        </w:rPr>
        <w:t xml:space="preserve"> of the Aspen Disclosure Schedule identifies each Person who is (or who may be deemed to be) an Affiliate of Aspen as of the date of this Agreement. </w:t>
      </w:r>
    </w:p>
    <w:p>
      <w:pPr>
        <w:pStyle w:val="TextBody"/>
        <w:bidi w:val="0"/>
        <w:spacing w:before="240" w:after="0"/>
        <w:jc w:val="left"/>
        <w:rPr>
          <w:rFonts w:ascii="Times New Roman" w:hAnsi="Times New Roman"/>
          <w:sz w:val="20"/>
        </w:rPr>
      </w:pPr>
      <w:bookmarkStart w:id="263" w:name="annxa770053_65"/>
      <w:bookmarkEnd w:id="263"/>
      <w:r>
        <w:rPr>
          <w:rFonts w:ascii="Times New Roman" w:hAnsi="Times New Roman"/>
          <w:sz w:val="20"/>
        </w:rPr>
        <w:t>4.21</w:t>
      </w:r>
      <w:r>
        <w:rPr>
          <w:rFonts w:ascii="Times New Roman" w:hAnsi="Times New Roman"/>
          <w:sz w:val="20"/>
          <w:u w:val="single"/>
        </w:rPr>
        <w:t xml:space="preserve"> 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Aspen Disclosure Schedule, no broker, finder or investment banker is entitled to any brokerage fee, finder’s fee, opinion fee, success fee, transaction fee or other fee or commission in connection with the Contemplated Transactions based upon arrangements made by or on behalf of Aspen. </w:t>
      </w:r>
    </w:p>
    <w:p>
      <w:pPr>
        <w:pStyle w:val="TextBody"/>
        <w:bidi w:val="0"/>
        <w:spacing w:before="240" w:after="0"/>
        <w:jc w:val="left"/>
        <w:rPr>
          <w:rFonts w:ascii="Times New Roman" w:hAnsi="Times New Roman"/>
          <w:sz w:val="20"/>
        </w:rPr>
      </w:pPr>
      <w:bookmarkStart w:id="264" w:name="annxa770053_66"/>
      <w:bookmarkEnd w:id="264"/>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Aspen Common Stock to be issued in the Merger will, when issued in accordance with the provisions of this Agreement, be validly issued, fully paid and nonassessable. </w:t>
      </w:r>
    </w:p>
    <w:p>
      <w:pPr>
        <w:pStyle w:val="TextBody"/>
        <w:bidi w:val="0"/>
        <w:spacing w:before="240" w:after="0"/>
        <w:jc w:val="left"/>
        <w:rPr>
          <w:rFonts w:ascii="Times New Roman" w:hAnsi="Times New Roman"/>
          <w:sz w:val="20"/>
        </w:rPr>
      </w:pPr>
      <w:bookmarkStart w:id="265" w:name="annxa770053_67"/>
      <w:bookmarkEnd w:id="265"/>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Since January 1, 2021, each of Aspen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Aspen and its Subsidiaries, taken as a whole. Since January 1, 2021, Aspen and its Subsidiaries have complied in all material respects with each of their respective Privacy Policies, if applicable and required. Aspen and its Subsidiaries maintain commercially reasonable policies, procedures and security measures with respect to the physical and electronic security and privacy of Personal Information that are designed to achieve compliance in all material respects with Privacy Laws, and Aspen and its Subsidiaries are in compliance in all material respects with such policies and procedures. To the Knowledge of Aspen, there have been no material breaches or material violations of any security measures of Aspen and its Subsidiaries, or any material unauthorized access, use or disclosure of any Personal Information. None of Aspen and its Subsidiaries has received written notice (or, to the Knowledge of Aspen, any other communication) of (a) any material violation or breach, or alleged material violation or breach, of Privacy Laws and/or Privacy Policies, or (b) any claims against any of Aspen and its Subsidiaries by any Person, and there is no Legal Proceeding pending or, to Knowledge of Aspen, threatened against any of Aspen and its Subsidiaries, alleging a violation or breach of Privacy Laws and/or Privacy Policies, except in each case as would not be material to Aspen and its Subsidiaries, taken as a whole. </w:t>
      </w:r>
    </w:p>
    <w:p>
      <w:pPr>
        <w:pStyle w:val="TextBody"/>
        <w:bidi w:val="0"/>
        <w:spacing w:before="240" w:after="0"/>
        <w:jc w:val="left"/>
        <w:rPr>
          <w:rFonts w:ascii="Times New Roman" w:hAnsi="Times New Roman"/>
          <w:sz w:val="20"/>
        </w:rPr>
      </w:pPr>
      <w:bookmarkStart w:id="266" w:name="annxa770053_68"/>
      <w:bookmarkEnd w:id="266"/>
      <w:r>
        <w:rPr>
          <w:rFonts w:ascii="Times New Roman" w:hAnsi="Times New Roman"/>
          <w:sz w:val="20"/>
        </w:rPr>
        <w:t xml:space="preserve">4.24 </w:t>
      </w:r>
      <w:r>
        <w:rPr>
          <w:rFonts w:ascii="Times New Roman" w:hAnsi="Times New Roman"/>
          <w:sz w:val="20"/>
          <w:u w:val="single"/>
        </w:rPr>
        <w:t>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Aspen nor Merger Sub, nor any director or officer or, to the Knowledge of Aspen, any employee of Aspen or Merger Sub (acting in the capacity of a director, officer or employee of Aspen or Merger Sub) or, to the Knowledge of Aspen or Merger Sub, any representative or agent of Aspen or Merger Sub (acting in the capacity of a representative or agent of Aspen or Merger Sub), has directly or indirectly (i) given any funds (whether of Aspen or Merger Sub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 (iii) violated any provision of any Anti-Corruption Law.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Merger Sub), has not received any written communication (or, to the Knowledge of Aspen, any other communication) that alleges any of the foregoing. To the Knowledge of Aspen, Aspen has disclosed to the Company any and all allegations that have been made of any potential wrongdoing by Aspen, Merger Sub, or by any director, officer, employee, agent or representative of Aspen or Merger Sub (acting in the capacity of a director, officer, employee, agent or representative of Aspen or Merger Sub) with respect to any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(b) There are not, and since January 1, 2021, there have not been, any Legal Proceedings with respect to any Anti-Corruption Law pending or, to the Knowledge of Aspen, threatened in writing against Aspen, Merger Sub,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made any disclosure (voluntary or otherwise) to any Governmental Authority with respect to any alleged irregularity, misstatement, omission or other potential violation or liability arising under or relating to any Anti-Corruption Law. </w:t>
      </w:r>
    </w:p>
    <w:p>
      <w:pPr>
        <w:pStyle w:val="TextBody"/>
        <w:bidi w:val="0"/>
        <w:spacing w:before="240" w:after="0"/>
        <w:jc w:val="left"/>
        <w:rPr>
          <w:rFonts w:ascii="Times New Roman" w:hAnsi="Times New Roman"/>
          <w:sz w:val="20"/>
        </w:rPr>
      </w:pPr>
      <w:bookmarkStart w:id="267" w:name="annxa770053_69"/>
      <w:bookmarkEnd w:id="267"/>
      <w:r>
        <w:rPr>
          <w:rFonts w:ascii="Times New Roman" w:hAnsi="Times New Roman"/>
          <w:sz w:val="20"/>
        </w:rPr>
        <w:t xml:space="preserve">4.25 </w:t>
      </w:r>
      <w:r>
        <w:rPr>
          <w:rFonts w:ascii="Times New Roman" w:hAnsi="Times New Roman"/>
          <w:sz w:val="20"/>
          <w:u w:val="single"/>
        </w:rPr>
        <w:t>Sanctions Laws</w:t>
      </w:r>
      <w:r>
        <w:rPr>
          <w:rFonts w:ascii="Times New Roman" w:hAnsi="Times New Roman"/>
          <w:sz w:val="20"/>
        </w:rPr>
        <w:t xml:space="preserve">. Since January 1, 2021, neither Aspen nor Merger Sub, nor any director or officer or, to the Knowledge of Aspen, any employee of Aspen nor Merger Sub (acting in the capacity of a director, officer or employee of Aspen or Merger Sub) or, to the Knowledge of Aspen, any representative or agent of Aspen nor Merger Sub (acting in the capacity of a representative or agent of Aspen nor Merger Sub),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since January 1, 2021, there have not been, any Legal Proceedings, allegations, investigations or inquiries concerning any actual or suspected violations of any Sanctions Law pending or to the Knowledge of Aspen threatened in writing against Aspen, any director or officer or, to the Knowledge of Aspen, any employee of Aspen nor Merger Sub (acting in the capacity of a director, officer or employee of Aspen nor Merger Sub) or, to the Knowledge of Aspen, any representative or agent of Aspen nor Merger Sub (acting in the capacity of a representative or agent of Aspen nor Merger Sub). Neither Aspen nor Merger Sub, nor any director, officer or employee of any of Aspen or Merger Sub, is a Sanctioned Person. Since January 1, 2021, neither Aspen nor Merger Sub has had, directly or indirectly, any unlawful transactions with or unlawful investments in any Sanctioned Person or Sanctioned Country. </w:t>
      </w:r>
    </w:p>
    <w:p>
      <w:pPr>
        <w:pStyle w:val="TextBody"/>
        <w:bidi w:val="0"/>
        <w:spacing w:before="240" w:after="0"/>
        <w:jc w:val="left"/>
        <w:rPr>
          <w:rFonts w:ascii="Times New Roman" w:hAnsi="Times New Roman"/>
          <w:sz w:val="20"/>
        </w:rPr>
      </w:pPr>
      <w:bookmarkStart w:id="268" w:name="annxa770053_70"/>
      <w:bookmarkEnd w:id="268"/>
      <w:r>
        <w:rPr>
          <w:rFonts w:ascii="Times New Roman" w:hAnsi="Times New Roman"/>
          <w:sz w:val="20"/>
        </w:rPr>
        <w:t>4.26</w:t>
      </w:r>
      <w:r>
        <w:rPr>
          <w:rFonts w:ascii="Times New Roman" w:hAnsi="Times New Roman"/>
          <w:sz w:val="20"/>
          <w:u w:val="single"/>
        </w:rPr>
        <w:t xml:space="preserve"> No Other Representations or Warranties</w:t>
      </w:r>
      <w:r>
        <w:rPr>
          <w:rFonts w:ascii="Times New Roman" w:hAnsi="Times New Roman"/>
          <w:sz w:val="20"/>
        </w:rPr>
        <w:t xml:space="preserve">. Aspen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Aspen, Merger Sub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Schedule)) none of Aspen, Merger Sub nor any of their respective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bookmarkStart w:id="269" w:name="annxa770053_71"/>
      <w:bookmarkEnd w:id="269"/>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70" w:name="annxa770053_72"/>
      <w:bookmarkEnd w:id="270"/>
      <w:r>
        <w:rPr>
          <w:rFonts w:ascii="Times New Roman" w:hAnsi="Times New Roman"/>
          <w:sz w:val="20"/>
        </w:rPr>
        <w:t xml:space="preserve">5.1 </w:t>
      </w:r>
      <w:r>
        <w:rPr>
          <w:rFonts w:ascii="Times New Roman" w:hAnsi="Times New Roman"/>
          <w:sz w:val="20"/>
          <w:u w:val="single"/>
        </w:rPr>
        <w:t>Operation of Aspen’s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(ii) as set forth on Section 5.1(a) of the Aspen Disclosure Schedule, (iii) as required by applicable Law, or (iv) with the prior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 of the Company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Effective Time (the “</w:t>
      </w:r>
      <w:r>
        <w:rPr>
          <w:rFonts w:ascii="Times New Roman" w:hAnsi="Times New Roman"/>
          <w:b/>
          <w:sz w:val="20"/>
        </w:rPr>
        <w:t>Pre-Closing Period</w:t>
      </w:r>
      <w:r>
        <w:rPr>
          <w:rFonts w:ascii="Times New Roman" w:hAnsi="Times New Roman"/>
          <w:sz w:val="20"/>
        </w:rPr>
        <w:t xml:space="preserve">”), Aspen shall, and shall cause its Subsidiaries to, use commercially reasonable efforts to (x) conduct its business and operations in the Ordinary Course of Business and in material compliance with all applicable Law and the requirements of all Contracts that constitute Aspen Material Contracts and (y) continue to pay material outstanding accounts payable and other material current Liabilities (including payroll)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5.1(b)</w:t>
      </w:r>
      <w:r>
        <w:rPr>
          <w:rFonts w:ascii="Times New Roman" w:hAnsi="Times New Roman"/>
          <w:sz w:val="20"/>
        </w:rPr>
        <w:t xml:space="preserve"> of the Aspen Disclosure Schedule, (iii) as required by applicable Law, or (iv) with the prior written consent of the Company (which consent shall not be unreasonably withheld, delayed or conditioned), at all times during the Pre-Closing Period, Aspen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Aspen Common Stock from terminated employees, directors or consultants of Aspen);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Aspen Common Stock issued upon the valid exercise or settlement of outstanding Aspen Options or Aspen Restricted Stock Units, as applicable),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Aspen Employee Plan, including, for avoidance of doubt, any equity awards plans, (B) cause or permit any Aspen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 (E) hire or engage any officer, or, employee; provided, however, that consultants may be retained on terms permitting termination by Aspen without notice to provide supplemental support services as reasonably may be needed by Aspen, or to fill vacancies to the extent such positions are existing as of the date hereof and which vacancies occur after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(ix) (A) make, change or revoke any material Tax election; (B) file any amended income or other material Tax Return; (C) adopt or change any material accounting method in respect of Taxes; (D) enter into any material Tax closing agreement, settle any material Tax claim or assessment; (E)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any extension or waiver of the limitation period applicable to or relating to any material Tax claim or assessment (other than as a result of any extension to file a Tax Return that is automatically granted); or (F) apply for or surrender any claim for Tax refund; </w:t>
      </w:r>
    </w:p>
    <w:p>
      <w:pPr>
        <w:pStyle w:val="TextBody"/>
        <w:bidi w:val="0"/>
        <w:spacing w:before="120" w:after="0"/>
        <w:jc w:val="left"/>
        <w:rPr>
          <w:rFonts w:ascii="Times New Roman" w:hAnsi="Times New Roman"/>
          <w:sz w:val="20"/>
        </w:rPr>
      </w:pPr>
      <w:r>
        <w:rPr>
          <w:rFonts w:ascii="Times New Roman" w:hAnsi="Times New Roman"/>
          <w:sz w:val="20"/>
        </w:rPr>
        <w:t xml:space="preserve">(x) waive, settle or compromise any pending or threatened Legal Proceeding against Aspen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Aspen or its Subsidiaries, taken as a whole, or any equitable relief on, or the admission of wrongdoing by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(xi) delay or fail to repay when due any material obligation, including accounts payable and accrued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(xiv) (A) materially change pricing or royalties or other payments set or charged by Aspen or any of its Subsidiaries to its customers or licensees or (B) agree to materially change pricing or royalties or other payments set or charged by Persons who have licensed Intellectual Property to Aspen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enter into, amend or terminate any Aspen Material Contract except as permitted under subparagraph (c) below;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Aspen prior to the Effective Time. Prior to the Effective Time, Aspen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Aspen may engage in the sale, license, transfer, disposition, divestiture or other monetization transaction (i.e., a royalty transaction) and/or winding down of Aspen’s business or operations as they exist prior to the Closing or the sale, license, transfer, disposition, divestiture or other monetization transaction (i.e., a royalty transaction) or other disposition of any Aspen Pre-Closing Asset (each, an “</w:t>
      </w:r>
      <w:r>
        <w:rPr>
          <w:rFonts w:ascii="Times New Roman" w:hAnsi="Times New Roman"/>
          <w:b/>
          <w:sz w:val="20"/>
        </w:rPr>
        <w:t>Aspen Pre-Closing Transaction</w:t>
      </w:r>
      <w:r>
        <w:rPr>
          <w:rFonts w:ascii="Times New Roman" w:hAnsi="Times New Roman"/>
          <w:sz w:val="20"/>
        </w:rPr>
        <w:t xml:space="preserve">”), including entering into Contracts or amending or terminating Contracts in connection with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Aspen Pre-Closing Transaction results in obligations of Aspen that will extend after Closing, then such terms shall be reasonably acceptable to Company. </w:t>
      </w:r>
    </w:p>
    <w:p>
      <w:pPr>
        <w:pStyle w:val="TextBody"/>
        <w:bidi w:val="0"/>
        <w:spacing w:before="240" w:after="0"/>
        <w:jc w:val="left"/>
        <w:rPr>
          <w:rFonts w:ascii="Times New Roman" w:hAnsi="Times New Roman"/>
          <w:sz w:val="20"/>
        </w:rPr>
      </w:pPr>
      <w:bookmarkStart w:id="271" w:name="annxa770053_73"/>
      <w:bookmarkEnd w:id="271"/>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including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Schedule, (iii) as required by applicable Law, or (iv) with the prior written consent of Aspen (which consent shall not be unreasonably withheld, delayed or conditioned), during the Pre-Closing Period the Company shall, and shall cause its Subsidiaries to, use commercially reasonable efforts to conduct its business and operations in the Ordinary Course of Business and in material compliance with all applicable Law and the requirements of all Contracts that constitute Company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5.2(b)</w:t>
      </w:r>
      <w:r>
        <w:rPr>
          <w:rFonts w:ascii="Times New Roman" w:hAnsi="Times New Roman"/>
          <w:sz w:val="20"/>
        </w:rPr>
        <w:t xml:space="preserve"> of the Company Disclosure Schedule, (iii)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applicable Law, or (iv) with the prior written consent of Aspen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(vi) (A) adopt, establish or enter into any Company Employee Plan, including, for the avoidance of doubt, any equity awards plans, (B) cause or permit any Company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 (E) hire or engage any officer or employee;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in excess of $250,000,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sell, assign, transfer, license, sublicense or otherwise dispose of any material Company Intellectual Property (other than pursuant to non-exclusive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Legal Proceeding against the Company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businesses of the Company or its Subsidiaries, taken as a whole, or any equitable relief on, or the admission of wrongdoing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(provided, however,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enter into, amend or terminate any Company Material Contract, except in the Ordinary Course of Business in a manner that would not otherwise require Aspen’s consent pursuant to this </w:t>
      </w:r>
      <w:r>
        <w:rPr>
          <w:rFonts w:ascii="Times New Roman" w:hAnsi="Times New Roman"/>
          <w:sz w:val="20"/>
          <w:u w:val="single"/>
        </w:rPr>
        <w:t>Section 5.2</w:t>
      </w:r>
      <w:r>
        <w:rPr>
          <w:rFonts w:ascii="Times New Roman" w:hAnsi="Times New Roman"/>
          <w:sz w:val="20"/>
        </w:rPr>
        <w:t xml:space="preserve"> and would not reasonably be expected to prevent or to materially impede or delay the consummation of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(xvii)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Aspen,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272" w:name="annxa770053_74"/>
      <w:bookmarkEnd w:id="272"/>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Aspen,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Aspen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Aspen shall not be required to provide any information or documents pursuant to this </w:t>
      </w:r>
      <w:r>
        <w:rPr>
          <w:rFonts w:ascii="Times New Roman" w:hAnsi="Times New Roman"/>
          <w:sz w:val="20"/>
          <w:u w:val="single"/>
        </w:rPr>
        <w:t>Section 5.3</w:t>
      </w:r>
      <w:r>
        <w:rPr>
          <w:rFonts w:ascii="Times New Roman" w:hAnsi="Times New Roman"/>
          <w:sz w:val="20"/>
        </w:rPr>
        <w:t xml:space="preserve"> relating to any Acquisition Transaction or Acquisition Inquiry.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bookmarkStart w:id="273" w:name="annxa770053_75"/>
      <w:bookmarkEnd w:id="273"/>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Aspen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or submission of any Acquisition Proposal or Acquisition Inquiry, (ii) furnish any non-public information regarding Aspen or the Company (as applicable) to any Person in connection with or in response to an Acquisition Proposal or Acquisition Inquiry, (iii) engage in discussions or negotiations (other than to inform any Person of the existence of the provisions of this Agreement) with any Person with respect to any Acquisition Proposal or Acquisition Inquiry, (iv) approve, endorse or recommend any Acquisition Proposal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(v) execute or enter into any letter of intent or any Contract contemplating or otherwise relating to any Acquisition Transaction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or (vi) publicly propose, resolve or agree to do any of the foregoing (except as provided in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receipt of the Required Aspen Stockholder Vote as to Aspen or prior to the receipt of the Required Company Stockholder Vote, as to the Company, each Party may furnish non-public information regarding itself and its Subsidiaries to, and enter into discussions or negotiations with, any Person in response to a bona fide written Acquisition Proposal by such Person which that Party’s Board (or a committee thereof) determines in good faith, after consultation with its financial advisors and outside legal counsel, constitutes, or is reasonably likely to constitute or result in, a Superior Offer (and is not withdrawn) if: (A) such Party and the Representatives of such Party shall not have breached this </w:t>
      </w:r>
      <w:r>
        <w:rPr>
          <w:rFonts w:ascii="Times New Roman" w:hAnsi="Times New Roman"/>
          <w:sz w:val="20"/>
          <w:u w:val="single"/>
        </w:rPr>
        <w:t>Section 5.4</w:t>
      </w:r>
      <w:r>
        <w:rPr>
          <w:rFonts w:ascii="Times New Roman" w:hAnsi="Times New Roman"/>
          <w:sz w:val="20"/>
        </w:rPr>
        <w:t xml:space="preserve"> in any material respect, (B) the Party’s Board (or a committee thereof) concludes in good faith based on the advice of outside legal counsel, that the failure to take such action would be inconsistent with such Party’s Board’s fiduciary duties under applicable Law, (C) prior to providing any non-public information about itself, the Party receives from such Person an executed Acceptable Confidentiality Agreement (the negotiation of which shall not be prohibited by this Agreement) and (D) simultaneous with furnishing any such non-public information to such Person, the Party furnishes such non-public information to the other Party (to the extent such information has not been previously furnished to the other Party). Without limiting the generality of </w:t>
      </w:r>
    </w:p>
    <w:p>
      <w:pPr>
        <w:pStyle w:val="TextBody"/>
        <w:bidi w:val="0"/>
        <w:spacing w:before="0" w:after="0"/>
        <w:jc w:val="left"/>
        <w:rPr>
          <w:rFonts w:ascii="Times New Roman" w:hAnsi="Times New Roman"/>
          <w:sz w:val="20"/>
        </w:rPr>
      </w:pPr>
      <w:r>
        <w:rPr>
          <w:rFonts w:ascii="Times New Roman" w:hAnsi="Times New Roman"/>
          <w:sz w:val="20"/>
        </w:rPr>
        <w:t xml:space="preserve">the foregoing, each of Aspen and the Company acknowledges and agrees that, in the event any of its Representative takes any action with its consent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Notwithstanding anything to the contrary in this Agreement, (a) each of Aspen and the Company may (i) grant any waiver with respect to, or release, any standstill provision or similar restriction in order to permit a third party to make an Acquisition Proposal or Acquisition Inquiry or (ii) contact any Person that has made an Acquisition Proposal or Acquisition Inquiry after the date hereof to clarify the terms thereof so that the receiving Party’s Board (or a committee thereof) may inform itself of such Acquisition Proposal or Acquisition Inquiry and (b) nothing in this </w:t>
      </w:r>
      <w:r>
        <w:rPr>
          <w:rFonts w:ascii="Times New Roman" w:hAnsi="Times New Roman"/>
          <w:sz w:val="20"/>
          <w:u w:val="single"/>
        </w:rPr>
        <w:t>Section 5.4</w:t>
      </w:r>
      <w:r>
        <w:rPr>
          <w:rFonts w:ascii="Times New Roman" w:hAnsi="Times New Roman"/>
          <w:sz w:val="20"/>
        </w:rPr>
        <w:t xml:space="preserve"> shall prohibit the Company from contacting any Person for the purposes of entering into transactions for capital raising purposes that are otherwise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t>
      </w:r>
    </w:p>
    <w:p>
      <w:pPr>
        <w:pStyle w:val="TextBody"/>
        <w:bidi w:val="0"/>
        <w:spacing w:before="240" w:after="0"/>
        <w:jc w:val="left"/>
        <w:rPr>
          <w:rFonts w:ascii="Times New Roman" w:hAnsi="Times New Roman"/>
          <w:sz w:val="20"/>
        </w:rPr>
      </w:pPr>
      <w:bookmarkStart w:id="274" w:name="annxa770053_76"/>
      <w:bookmarkEnd w:id="274"/>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Aspen,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Aspen Key Employee or Company Key Employee (as applicable)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Schedule or the Aspen Disclosure Schedule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275" w:name="annxa770053_77"/>
      <w:bookmarkEnd w:id="275"/>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76" w:name="annxa770053_78"/>
      <w:bookmarkEnd w:id="276"/>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date of this Agreement, (i) Aspen shall prepare and file with the SEC a proxy statement relating to the Aspen Stockholder Meeting to be held in connection with the Merger (together with any amendments thereof or supplements thereto, the “</w:t>
      </w:r>
      <w:r>
        <w:rPr>
          <w:rFonts w:ascii="Times New Roman" w:hAnsi="Times New Roman"/>
          <w:b/>
          <w:sz w:val="20"/>
        </w:rPr>
        <w:t>Proxy Statement</w:t>
      </w:r>
      <w:r>
        <w:rPr>
          <w:rFonts w:ascii="Times New Roman" w:hAnsi="Times New Roman"/>
          <w:sz w:val="20"/>
        </w:rPr>
        <w:t>”) and (ii) Aspen, in cooperation with the Company, shall prepare and file with the SEC a registration statement on Form S-4 (the “</w:t>
      </w:r>
      <w:r>
        <w:rPr>
          <w:rFonts w:ascii="Times New Roman" w:hAnsi="Times New Roman"/>
          <w:b/>
          <w:sz w:val="20"/>
        </w:rPr>
        <w:t>Form S-4</w:t>
      </w:r>
      <w:r>
        <w:rPr>
          <w:rFonts w:ascii="Times New Roman" w:hAnsi="Times New Roman"/>
          <w:sz w:val="20"/>
        </w:rPr>
        <w:t>”), in which the Proxy Statement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Aspen Common Stock to be issued by virtue of the Contemplated Transactions. Aspen shall use commercially reasonable efforts to (i) cause the Registration Statement to comply with applicable rules and regulations promulgated by the SEC, (ii) cause the Registration Statement to become effective as promptly as practicable, (iii) respond promptly to any comments or requests of the SEC or its staff related to the Registration Statement. Aspen shall take all or any action required under any applicable federal, state, securities and other Laws in connection with the issuance of shares of Aspen Common Stock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Aspen covenants and agrees that the Registration Statement (and the letter to stockholders, notice of meeting and form of proxy included therewith) will (i) comply as to form in all material respects with the requirements of applicable U.S. federal securities laws and the DGCL as well as the SEC form requirements, and (ii) will not contain any untrue statement of a material fact or omit to state any material fact required to be stated therein or necessary in order to make the statements made therein, in light of the circumstances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they were made, not misleading. The Company covenants and agrees that the information supplied by or on behalf of the Company to Aspen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Aspen shall use commercially reasonable efforts to cause the Proxy Statement to be mailed to Aspen’s stockholders as promptly as practicable after the Registration Statement is declared effective under the Securities Act. If at any time before the Effective Time, (i) Aspen,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Aspen filing such amendment or supplement with the SEC (and, if appropriate, in mailing such amendment or supplement to the Aspen stockholders) or otherwise addressing such SEC request or comments and each Party and shall use their commercially reasonable efforts to cause any such amendment to become effective, if required. Aspen shall promptly notify the Company if it becomes aware (1) that the Registration Statement has become effective, (2) of the issuance of any stop order or suspension of the qualification or registration of the Aspen Common Stock issuable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Aspen and provide, and cause its Representatives to provide, Aspen and its Representatives, with all true, correct and complete information regarding the Company that is required by Law to be included in the Registration Statement or reasonably requested by Aspen to be included in the Registration Statement (collectively, the “</w:t>
      </w:r>
      <w:r>
        <w:rPr>
          <w:rFonts w:ascii="Times New Roman" w:hAnsi="Times New Roman"/>
          <w:b/>
          <w:sz w:val="20"/>
        </w:rPr>
        <w:t>Company Required S-4 Information</w:t>
      </w:r>
      <w:r>
        <w:rPr>
          <w:rFonts w:ascii="Times New Roman" w:hAnsi="Times New Roman"/>
          <w:sz w:val="20"/>
        </w:rPr>
        <w:t xml:space="preserve">”). Without limiting the foregoing, the Company will use commercially reasonable efforts to cause to be delivered to Aspen a consent letter of the Company’s independent accounting firm, dated no more than three (3) Business Days before the date on which the Registration Statement is filed with the SEC (and reasonably satisfactory in form and substance to Aspen),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Aspen may not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Aspen has included the Company Required S-4 Information in the Registration Statement in substantially the same form as it was provided to Aspen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Aspen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As promptly as reasonably practicable following the date of this Agreement, the Company will furnish to Aspen (i) audited financial statements for each of its fiscal years required to be included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Registration Statement (the “</w:t>
      </w:r>
      <w:r>
        <w:rPr>
          <w:rFonts w:ascii="Times New Roman" w:hAnsi="Times New Roman"/>
          <w:b/>
          <w:sz w:val="20"/>
        </w:rPr>
        <w:t>Company Audited Financial Statements</w:t>
      </w:r>
      <w:r>
        <w:rPr>
          <w:rFonts w:ascii="Times New Roman" w:hAnsi="Times New Roman"/>
          <w:sz w:val="20"/>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hAnsi="Times New Roman"/>
          <w:b/>
          <w:sz w:val="20"/>
        </w:rPr>
        <w:t>Company Interim Financial Statements</w:t>
      </w:r>
      <w:r>
        <w:rPr>
          <w:rFonts w:ascii="Times New Roman" w:hAnsi="Times New Roman"/>
          <w:sz w:val="20"/>
        </w:rPr>
        <w:t xml:space="preserve">”).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bookmarkStart w:id="277" w:name="annxa770053_79"/>
      <w:bookmarkEnd w:id="277"/>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after the Registration Statement has been declared effective under the Securities Act, and in any event no later than four (4) Business Days thereafter, the Company shall have obtained the approval by written consent from Company stockholders representing no less than 88% of the voting power of the Company, which is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As promptly as reasonably practicable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shall be subject to Aspen’s advance review and reasonable approval. </w:t>
      </w:r>
    </w:p>
    <w:p>
      <w:pPr>
        <w:pStyle w:val="TextBody"/>
        <w:bidi w:val="0"/>
        <w:spacing w:before="240" w:after="0"/>
        <w:jc w:val="left"/>
        <w:rPr>
          <w:rFonts w:ascii="Times New Roman" w:hAnsi="Times New Roman"/>
          <w:sz w:val="20"/>
        </w:rPr>
      </w:pPr>
      <w:r>
        <w:rPr>
          <w:rFonts w:ascii="Times New Roman" w:hAnsi="Times New Roman"/>
          <w:sz w:val="20"/>
        </w:rPr>
        <w:t>(c) The Company agrees that: (i) the Company Board shall recommend that the Company’s stockholders vote to adopt and approve this Agreement and the Contemplated Transactions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except as provided in Section 6.2(d), the Company Board Recommendation shall not be withdrawn or modified (and the Company Board shall not publicly propose to withdraw or modify the Company Board Recommendation) in a manner adverse to Aspen, and no resolution by the Company Board or any committee thereof to withdraw or modify the Company Board Recommendation in a manner adverse to Aspen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if at any time prior to approval and adoption of this Agreement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Required Company Stockholder Vote, the Company receives a Superior Offer, the Company Board may withhold, amend, withdraw or modify the Company Board Recommendation (or publicly propose to withhold, amend, withdraw or modify the Company Board Recommendation) in a manner adverse to Aspen (collectively, a “</w:t>
      </w:r>
      <w:r>
        <w:rPr>
          <w:rFonts w:ascii="Times New Roman" w:hAnsi="Times New Roman"/>
          <w:b/>
          <w:sz w:val="20"/>
        </w:rPr>
        <w:t>Company Board Adverse Recommendation Change</w:t>
      </w:r>
      <w:r>
        <w:rPr>
          <w:rFonts w:ascii="Times New Roman" w:hAnsi="Times New Roman"/>
          <w:sz w:val="20"/>
        </w:rPr>
        <w:t>”), if, but only if, following the receipt of and on account of such Superior Offer, (i) the Company Board (or a committee thereof) determines in good faith, after consultation with its outside legal counsel, that the failure to take such action would be inconsistent with its fiduciary duties under applicable Law, (ii) the Company has, and has caused its financial advisors and outside legal counsel to, during the Company Notice Period (as defined below) negotiated with Aspen to the extent required by clause (y) below and (iii) if after Aspen shall have delivered to the Company a written offer to alter the terms or conditions of this Agreement during the Company Notice Period pursuant to clause (y) of the proviso to this sentence, the Company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provided that (x) Aspen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Aspen shall be entitled to deliver to the Company one or more counterproposals to such Acquisition Proposal and the Company will, and cause its Representatives to, negotiate with Aspen in good faith (to the extent Aspen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Aspen with notice of such material amendment and the Company Notice Period shall be extended, if applicable, to ensure that at least three (3) Business Days remain in the Company Notice Period following such notification during which the parties shall comply again with the requirements of this Section 6.2(d) and the Company Board shall not make a Company Board Adverse Recommendation Change prior to the end of such Company Notice Period as so extended (it being understood that there may be multiple extensions).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Consents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Acquisition Inquiry, Acquisition Proposal or Company Board Adverse Recommendation Change. </w:t>
      </w:r>
    </w:p>
    <w:p>
      <w:pPr>
        <w:pStyle w:val="TextBody"/>
        <w:bidi w:val="0"/>
        <w:spacing w:before="240" w:after="0"/>
        <w:jc w:val="left"/>
        <w:rPr>
          <w:rFonts w:ascii="Times New Roman" w:hAnsi="Times New Roman"/>
          <w:sz w:val="20"/>
        </w:rPr>
      </w:pPr>
      <w:bookmarkStart w:id="278" w:name="annxa770053_80"/>
      <w:bookmarkEnd w:id="278"/>
      <w:r>
        <w:rPr>
          <w:rFonts w:ascii="Times New Roman" w:hAnsi="Times New Roman"/>
          <w:sz w:val="20"/>
        </w:rPr>
        <w:t xml:space="preserve">6.3 </w:t>
      </w:r>
      <w:r>
        <w:rPr>
          <w:rFonts w:ascii="Times New Roman" w:hAnsi="Times New Roman"/>
          <w:sz w:val="20"/>
          <w:u w:val="single"/>
        </w:rPr>
        <w:t>Aspen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Aspen shall take all action necessary under applicable Law to call, give notice of and hold a meeting of the holders of Aspen Common Stock to consider and vote upon the Aspen Stockholder Matters and, if mutually agreed between the parties, the routine annual meeting approvals in compliance with Nasdaq (the “</w:t>
      </w:r>
      <w:r>
        <w:rPr>
          <w:rFonts w:ascii="Times New Roman" w:hAnsi="Times New Roman"/>
          <w:b/>
          <w:sz w:val="20"/>
        </w:rPr>
        <w:t>Aspen Stockholder Meeting</w:t>
      </w:r>
      <w:r>
        <w:rPr>
          <w:rFonts w:ascii="Times New Roman" w:hAnsi="Times New Roman"/>
          <w:sz w:val="20"/>
        </w:rPr>
        <w:t xml:space="preserve">”). The Aspen Stockholder Meeting shall be held as promptly as practicable after the date that the Registration Statement is declared effective under the Securities Act, and in any event, no later than forty-five (45) days after the effective date of the Registration Statement. Aspen shall take reasonable measures to ensure that all proxies solicited in connection with the Aspen Stockholder Meeting are solicited in compliance with all applicable Law. Notwithstanding anything to the contrary contained herein, if on the date of the Aspen Stockholder Meeting, or a date preceding the date on which the Aspen Stockholder Meeting is scheduled, Aspen reasonably believes that (i) it will not receive proxies sufficient to obtain the Required Aspen Stockholder Vote, whether or not a quorum would be present, or (ii) it will not have sufficient shares of Aspen Common Stock represented (whether in person or by proxy) to constitute a quorum necessary to conduct the business of the Aspen Stockholder Meeting, Aspen may postpone or adjourn, or make one or more successive postponements or adjournments of, the Aspen Stockholder Meeting as long as the date of the Aspen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Meeting is not postponed or adjourned more than an aggregate of forty-five (45) days in connection with any postponements or adjournments,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more than one postponement or adjournment shall not be permitted without the Company’s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6.3</w:t>
      </w:r>
      <w:r>
        <w:rPr>
          <w:rFonts w:ascii="Times New Roman" w:hAnsi="Times New Roman"/>
          <w:sz w:val="20"/>
        </w:rPr>
        <w:t>, Aspen agrees that (i) the Aspen Board shall recommend that the holders of Aspen Common Stock vote to approve the Specified Aspen Stockholder Matters and (ii) the Proxy Statement shall include a statement to the effect that the Aspen Board recommends that Aspen’s stockholders vote to approve the Specified Aspen Stockholder Matters (such recommendation of the Aspen Board being referred to as the “</w:t>
      </w:r>
      <w:r>
        <w:rPr>
          <w:rFonts w:ascii="Times New Roman" w:hAnsi="Times New Roman"/>
          <w:b/>
          <w:sz w:val="20"/>
        </w:rPr>
        <w:t>Aspen Board Recommendation</w:t>
      </w:r>
      <w:r>
        <w:rPr>
          <w:rFonts w:ascii="Times New Roman" w:hAnsi="Times New Roman"/>
          <w:sz w:val="20"/>
        </w:rPr>
        <w:t>”). In addition, the Aspen Board shall recommend that the holders of Aspen Common Stock vote to approve the other Aspen Stockholder Matters (the “</w:t>
      </w:r>
      <w:r>
        <w:rPr>
          <w:rFonts w:ascii="Times New Roman" w:hAnsi="Times New Roman"/>
          <w:b/>
          <w:sz w:val="20"/>
        </w:rPr>
        <w:t>Aspen Second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6.3(b)</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this </w:t>
      </w:r>
      <w:r>
        <w:rPr>
          <w:rFonts w:ascii="Times New Roman" w:hAnsi="Times New Roman"/>
          <w:sz w:val="20"/>
          <w:u w:val="single"/>
        </w:rPr>
        <w:t>Section 6.3(c)</w:t>
      </w:r>
      <w:r>
        <w:rPr>
          <w:rFonts w:ascii="Times New Roman" w:hAnsi="Times New Roman"/>
          <w:sz w:val="20"/>
        </w:rPr>
        <w:t>, if at any time prior to approval and adoption of this Agreement by the Required Aspen Stockholder Vote, if Aspen receives a Superior Offer, the Aspen Board may withhold, amend, withdraw or modify the Aspen Board Recommendation (or publicly propose to withhold, amend, withdraw or modify the Aspen Board Recommendation) in a manner adverse to the Company (collectively, a “</w:t>
      </w:r>
      <w:r>
        <w:rPr>
          <w:rFonts w:ascii="Times New Roman" w:hAnsi="Times New Roman"/>
          <w:b/>
          <w:sz w:val="20"/>
        </w:rPr>
        <w:t>Aspen Board Adverse Recommendation Change</w:t>
      </w:r>
      <w:r>
        <w:rPr>
          <w:rFonts w:ascii="Times New Roman" w:hAnsi="Times New Roman"/>
          <w:sz w:val="20"/>
        </w:rPr>
        <w:t xml:space="preserve">”), approve, endorse or recommend an Acquisition Proposal that constitutes a Superior Offer or enter into any agreement or other Contract contemplating or otherwise relating to an Acquisition Proposal that constitutes a Superior Offer, if, but only if, following the receipt of and on account of such Superior Offer: (i) the Aspen Board (or a committee thereof) determines in good faith, after consultation with its outside legal counsel, that the failure to take such action would be inconsistent with its fiduciary duties under applicable Law, (ii) Aspen has, and has caused its financial advisors and outside legal counsel to, during the Aspen Notice Period (as defined below) negotiated with the Company to the extent required by clause (y) below, and (iii) if after the Company shall have delivered to the Company a written offer to alter the terms or conditions of this Agreement during the Aspen Notice Period pursuant to clause (y) of the proviso to this sentence, the Aspen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Aspen confirming that the Aspen Board has determined to change its recommendation at least four (4) Business Days in advance of the Aspen Board Adverse Recommendation Change (the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Aspen Board Adverse Recommendation Change, and written copies of any relevant proposed transaction agreements with any party making a potential Superior Offer, (y) during any Aspen Notice Period, the Company shall be entitled to deliver to Aspen one or more counterproposals to such Acquisition Proposal and Aspen will, and cause its Representatives to, negotiate with the Company in good faith (to the extent the Company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Aspen’s stockholders would receive as a result of such potential Superior Offer), Aspen shall be required to provide the Company with notice of such material amendment and the Aspen Notice Period shall be extended, if applicable, to ensure that at least three (3) Business Days remain in the Aspen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Aspen Board shall not make an Aspen Board Adverse Recommendation Change prior to the end of such Aspen Notice Period as so extended (it being understood that there may be multiple extensions). In addition, notwithstanding anything to the contrary in </w:t>
      </w:r>
      <w:r>
        <w:rPr>
          <w:rFonts w:ascii="Times New Roman" w:hAnsi="Times New Roman"/>
          <w:sz w:val="20"/>
          <w:u w:val="single"/>
        </w:rPr>
        <w:t>Section 6.3(b)</w:t>
      </w:r>
      <w:r>
        <w:rPr>
          <w:rFonts w:ascii="Times New Roman" w:hAnsi="Times New Roman"/>
          <w:sz w:val="20"/>
        </w:rPr>
        <w:t xml:space="preserve">, at any time prior to the adoption of this Agreement by the Required Aspen Stockholder Vote, the Aspen Board may withhold, amend, withdraw or modify the Aspen Second Board Recommendation in its exercise of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in this Agreement shall prohibit Aspen or the Aspen Board (or a committee thereof) from complying with Rules 14d-9 and 14e-2(a) promulgated under the Exchange Act;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that in no event shall this Section 6.3(d) permit a definitive Aspen Board Adverse Recommendation Change without complying with the provisions of this </w:t>
      </w:r>
      <w:r>
        <w:rPr>
          <w:rFonts w:ascii="Times New Roman" w:hAnsi="Times New Roman"/>
          <w:sz w:val="20"/>
          <w:u w:val="single"/>
        </w:rPr>
        <w:t>Section 6.3</w:t>
      </w:r>
      <w:r>
        <w:rPr>
          <w:rFonts w:ascii="Times New Roman" w:hAnsi="Times New Roman"/>
          <w:sz w:val="20"/>
        </w:rPr>
        <w:t xml:space="preserve">. For the avoidance of doubt, no statement that Aspen is unable to take a position or is considering its position or a “stop, look and listen” communication shall constitute an Aspen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Aspen’s obligation to call, give notice of and hold the Aspen Stockholder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or Acquisition Proposal, or by any Aspen Board Adverse Recommendation Change (unless this Agreement is terminated in connection therewith). </w:t>
      </w:r>
    </w:p>
    <w:p>
      <w:pPr>
        <w:pStyle w:val="TextBody"/>
        <w:bidi w:val="0"/>
        <w:spacing w:before="240" w:after="0"/>
        <w:jc w:val="left"/>
        <w:rPr>
          <w:rFonts w:ascii="Times New Roman" w:hAnsi="Times New Roman"/>
          <w:sz w:val="20"/>
        </w:rPr>
      </w:pPr>
      <w:bookmarkStart w:id="279" w:name="annxa770053_81"/>
      <w:bookmarkEnd w:id="279"/>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Aspen shall give the Company prompt written notice of any litigation against Aspen and/or its directors relating to this Agreement or the Contemplated Transactions (“</w:t>
      </w:r>
      <w:r>
        <w:rPr>
          <w:rFonts w:ascii="Times New Roman" w:hAnsi="Times New Roman"/>
          <w:b/>
          <w:sz w:val="20"/>
        </w:rPr>
        <w:t>Aspen</w:t>
      </w:r>
      <w:r>
        <w:rPr>
          <w:rFonts w:ascii="Times New Roman" w:hAnsi="Times New Roman"/>
          <w:sz w:val="20"/>
        </w:rPr>
        <w:t xml:space="preserve">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Company reasonably informed with respect to the status thereof. Aspen will (i) give the Company the opportunity to participate in, but not control, the defense, settlement or prosecution of any Aspen Transaction Litigation (to the extent that the attorney-client privilege is not waived, undermined, or otherwise adversely affected; </w:t>
      </w:r>
      <w:r>
        <w:rPr>
          <w:rFonts w:ascii="Times New Roman" w:hAnsi="Times New Roman"/>
          <w:sz w:val="20"/>
          <w:u w:val="single"/>
        </w:rPr>
        <w:t>provided</w:t>
      </w:r>
      <w:r>
        <w:rPr>
          <w:rFonts w:ascii="Times New Roman" w:hAnsi="Times New Roman"/>
          <w:sz w:val="20"/>
        </w:rPr>
        <w:t xml:space="preserve"> that Aspen and the Company will use commercially reasonable efforts to find alternative solutions to not undermine or adversely effect the privilege such as entering into common interest agreements, joint defense agreements or similar agreements), (ii) consult with the Company with respect to the defense, settlement and prosecution of any Aspen Transaction Litigation and (iii) consider in good faith the Company’s advice with respect to such Aspen Transaction Litigation. Aspen will obtain the prior written consent of the Company (such consent not to be unreasonably withheld, conditioned or delayed) prior to settling or satisfying any such claim. Without otherwise limiting the D&amp;O Indemnified Parties’ rights with regard to the right to counsel, following the Effective Time, the D&amp;O Indemnified Parties shall be entitled to continue to retain Goodwin Procter LLP or such other counsel selected by such Indemnified Parties to defend any Aspen Transaction Litigation. Prior to the Closing, the Company shall have the right to control the defense and settlement of any litigation brought against the Company and/or its directors, and not against Aspen and/or any of Aspen’s directors, related to this Agreement or the Contemplated Transactions (“</w:t>
      </w:r>
      <w:r>
        <w:rPr>
          <w:rFonts w:ascii="Times New Roman" w:hAnsi="Times New Roman"/>
          <w:b/>
          <w:sz w:val="20"/>
        </w:rPr>
        <w:t>Company Transaction Litigation</w:t>
      </w:r>
      <w:r>
        <w:rPr>
          <w:rFonts w:ascii="Times New Roman" w:hAnsi="Times New Roman"/>
          <w:sz w:val="20"/>
        </w:rPr>
        <w:t xml:space="preserve">”), but shall reasonably consult with and permit Aspen and its Representatives to participate in consideration to the Company’s advice with respect to such Company Transaction Litigation. The Company shall promptly advise Aspen of the initiation of, and shall keep Aspen reasonably apprised of any material developments in connection with, any such Company Transaction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80" w:name="annxa770053_82"/>
      <w:bookmarkEnd w:id="280"/>
      <w:r>
        <w:rPr>
          <w:rFonts w:ascii="Times New Roman" w:hAnsi="Times New Roman"/>
          <w:sz w:val="20"/>
        </w:rPr>
        <w:t xml:space="preserve">6.5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Aspen shall assume the Company Equity Incentive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Aspen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Aspen Board or compensation committee). The number of shares of Aspen Common Stock subject to each such Assumed Option shall be equal to (i) the number of shares of Company Common Stock subject to the respective Company Option immediately prior to the Effective Time </w:t>
      </w:r>
      <w:r>
        <w:rPr>
          <w:rFonts w:ascii="Times New Roman" w:hAnsi="Times New Roman"/>
          <w:i/>
          <w:sz w:val="20"/>
          <w:u w:val="single"/>
        </w:rPr>
        <w:t>multiplied by</w:t>
      </w:r>
      <w:r>
        <w:rPr>
          <w:rFonts w:ascii="Times New Roman" w:hAnsi="Times New Roman"/>
          <w:sz w:val="20"/>
        </w:rPr>
        <w:t xml:space="preserve"> (ii) the Exchange Ratio, rounded down, if necessary, to the nearest whole share of Aspen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w:t>
      </w:r>
      <w:r>
        <w:rPr>
          <w:rFonts w:ascii="Times New Roman" w:hAnsi="Times New Roman"/>
          <w:i/>
          <w:sz w:val="20"/>
          <w:u w:val="single"/>
        </w:rPr>
        <w:t>divided by</w:t>
      </w:r>
      <w:r>
        <w:rPr>
          <w:rFonts w:ascii="Times New Roman" w:hAnsi="Times New Roman"/>
          <w:sz w:val="20"/>
        </w:rPr>
        <w:t xml:space="preserve"> (B) the Exchange Ratio; </w:t>
      </w:r>
      <w:r>
        <w:rPr>
          <w:rFonts w:ascii="Times New Roman" w:hAnsi="Times New Roman"/>
          <w:sz w:val="20"/>
          <w:u w:val="single"/>
        </w:rPr>
        <w:t>provided</w:t>
      </w:r>
      <w:r>
        <w:rPr>
          <w:rFonts w:ascii="Times New Roman" w:hAnsi="Times New Roman"/>
          <w:sz w:val="20"/>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Aspen Common Stock subject to such option and the terms and conditions of exercise of such option shall be determined in a manner consistent with the requirements of Section 424(a) of the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Assumed Option to which Section 409A of the Code applies as of the Effective Time, the exercise price, the number of shares of Aspen Common Stock subject to such option and the terms and conditions of exercise of such option shall be determined in a manner consistent with the requirements of Section 409A of the Code in order to avoid the imposition of any additional taxes thereunder.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Board shall, prior to the Effective Time, take all actions necessary to effect the foregoing, and the Company shall ensure that there will be no “single-trigger” accelerated vesting of any Company Options triggered at and as of the consummation of any of the transactions contemplated hereby. </w:t>
      </w:r>
    </w:p>
    <w:p>
      <w:pPr>
        <w:pStyle w:val="TextBody"/>
        <w:bidi w:val="0"/>
        <w:spacing w:before="240" w:after="0"/>
        <w:jc w:val="left"/>
        <w:rPr>
          <w:rFonts w:ascii="Times New Roman" w:hAnsi="Times New Roman"/>
          <w:sz w:val="20"/>
        </w:rPr>
      </w:pPr>
      <w:bookmarkStart w:id="281" w:name="annxa770053_83"/>
      <w:bookmarkEnd w:id="281"/>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Aspen shall comply with the terms of any employment, severance, retention, change of control, or similar agreement specified on </w:t>
      </w:r>
      <w:r>
        <w:rPr>
          <w:rFonts w:ascii="Times New Roman" w:hAnsi="Times New Roman"/>
          <w:sz w:val="20"/>
          <w:u w:val="single"/>
        </w:rPr>
        <w:t>Section 4.17(d)</w:t>
      </w:r>
      <w:r>
        <w:rPr>
          <w:rFonts w:ascii="Times New Roman" w:hAnsi="Times New Roman"/>
          <w:sz w:val="20"/>
        </w:rPr>
        <w:t xml:space="preserve"> or contemplated by </w:t>
      </w:r>
      <w:r>
        <w:rPr>
          <w:rFonts w:ascii="Times New Roman" w:hAnsi="Times New Roman"/>
          <w:sz w:val="20"/>
          <w:u w:val="single"/>
        </w:rPr>
        <w:t>Section 5.1(b)</w:t>
      </w:r>
      <w:r>
        <w:rPr>
          <w:rFonts w:ascii="Times New Roman" w:hAnsi="Times New Roman"/>
          <w:sz w:val="20"/>
        </w:rPr>
        <w:t xml:space="preserve"> of the Aspen Disclosure Schedule, subject to the provisions of such agreements. </w:t>
      </w:r>
    </w:p>
    <w:p>
      <w:pPr>
        <w:pStyle w:val="TextBody"/>
        <w:bidi w:val="0"/>
        <w:spacing w:before="240" w:after="0"/>
        <w:jc w:val="left"/>
        <w:rPr>
          <w:rFonts w:ascii="Times New Roman" w:hAnsi="Times New Roman"/>
          <w:sz w:val="20"/>
        </w:rPr>
      </w:pPr>
      <w:r>
        <w:rPr>
          <w:rFonts w:ascii="Times New Roman" w:hAnsi="Times New Roman"/>
          <w:sz w:val="20"/>
        </w:rPr>
        <w:t>(b) From and after the Effective Time, with respect to each benefit plan maintained by Aspen or the Surviving Corporation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Aspen or the Company is or becomes eligible to participate (including under COBRA), Aspen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Aspen or Company employee and his or her eligible dependents to the same extent that such pre-existing conditions, waiting periods, required physical examinations and exclusions would not have applied or would have been waived under the corresponding Aspen Employee Plan or Company Employee Plan, as applicable, in which such current or former Aspen or Company employee was a participant immediately prior to his or her commencement of participation in such Post-Closing Welfare Plan, and (ii) provide each such current or former Aspen or Company employee and his or her eligible dependents with credit for any co-payments and deductibles paid in the plan year that includes the Effective Time, and prior to the date that, such current or former Aspen or Company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Aspen Employee Plan or Company Employee Plan,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6.6</w:t>
      </w:r>
      <w:r>
        <w:rPr>
          <w:rFonts w:ascii="Times New Roman" w:hAnsi="Times New Roman"/>
          <w:sz w:val="20"/>
        </w:rPr>
        <w:t xml:space="preserve"> shall be binding upon and inure solely to the benefit of each of the parties to this Agreement, and nothing in this </w:t>
      </w:r>
      <w:r>
        <w:rPr>
          <w:rFonts w:ascii="Times New Roman" w:hAnsi="Times New Roman"/>
          <w:sz w:val="20"/>
          <w:u w:val="single"/>
        </w:rPr>
        <w:t>Section 6.6</w:t>
      </w:r>
      <w:r>
        <w:rPr>
          <w:rFonts w:ascii="Times New Roman" w:hAnsi="Times New Roman"/>
          <w:sz w:val="20"/>
        </w:rPr>
        <w:t xml:space="preserve"> shall confer upon any other Person any rights or remedies of any nature whatsoever. Nothing contained herein shall be construed to establish, amend or modify any benefit plan, program, agreement, or arrangement. The parties hereto acknowledge and agree that the terms set forth in this </w:t>
      </w:r>
      <w:r>
        <w:rPr>
          <w:rFonts w:ascii="Times New Roman" w:hAnsi="Times New Roman"/>
          <w:sz w:val="20"/>
          <w:u w:val="single"/>
        </w:rPr>
        <w:t>Section 6.6</w:t>
      </w:r>
      <w:r>
        <w:rPr>
          <w:rFonts w:ascii="Times New Roman" w:hAnsi="Times New Roman"/>
          <w:sz w:val="20"/>
        </w:rPr>
        <w:t xml:space="preserve"> shall not create any right in any employee or any other Person to any continued employment with the Company, the Surviving Corporation, Aspen or any of their respective Affiliates or compensation or benefits of any nature or kind whatsoever. </w:t>
      </w:r>
    </w:p>
    <w:p>
      <w:pPr>
        <w:pStyle w:val="TextBody"/>
        <w:bidi w:val="0"/>
        <w:spacing w:before="240" w:after="0"/>
        <w:jc w:val="left"/>
        <w:rPr>
          <w:rFonts w:ascii="Times New Roman" w:hAnsi="Times New Roman"/>
          <w:sz w:val="20"/>
        </w:rPr>
      </w:pPr>
      <w:bookmarkStart w:id="282" w:name="annxa770053_84"/>
      <w:bookmarkEnd w:id="282"/>
      <w:r>
        <w:rPr>
          <w:rFonts w:ascii="Times New Roman" w:hAnsi="Times New Roman"/>
          <w:sz w:val="20"/>
        </w:rPr>
        <w:t xml:space="preserve">6.7 </w:t>
      </w:r>
      <w:r>
        <w:rPr>
          <w:rFonts w:ascii="Times New Roman" w:hAnsi="Times New Roman"/>
          <w:sz w:val="20"/>
          <w:u w:val="single"/>
        </w:rPr>
        <w:t>Aspen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Aspen Options</w:t>
      </w:r>
      <w:r>
        <w:rPr>
          <w:rFonts w:ascii="Times New Roman" w:hAnsi="Times New Roman"/>
          <w:sz w:val="20"/>
        </w:rPr>
        <w:t xml:space="preserve">. Prior to the Closing, the Aspen Board shall have adopted appropriate resolutions and taken all other actions necessary and appropriate to provide that (i) the vesting and exercisability of each unexpired, unexercised and unvested In the Money Aspen Option outstanding as of immediately prior to the Effective Time (A) that is held by a current employee, director, or consultant of Aspen as of the date hereof shall be accelerated in full effective as of immediately prior to the Effective Time, and (B) each In the Money Aspen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and (ii) the vesting and exercisability of 50% of all unexpired, unexercised and unvested Aspen Options set forth on </w:t>
      </w:r>
      <w:r>
        <w:rPr>
          <w:rFonts w:ascii="Times New Roman" w:hAnsi="Times New Roman"/>
          <w:sz w:val="20"/>
          <w:u w:val="single"/>
        </w:rPr>
        <w:t>Section 6.7(a)</w:t>
      </w:r>
      <w:r>
        <w:rPr>
          <w:rFonts w:ascii="Times New Roman" w:hAnsi="Times New Roman"/>
          <w:sz w:val="20"/>
        </w:rPr>
        <w:t xml:space="preserve"> of the Aspen Disclosure Schedule and that remain outstanding as of immediately prior to the Effective Time (the “</w:t>
      </w:r>
      <w:r>
        <w:rPr>
          <w:rFonts w:ascii="Times New Roman" w:hAnsi="Times New Roman"/>
          <w:sz w:val="20"/>
          <w:u w:val="single"/>
        </w:rPr>
        <w:t>Specified Options</w:t>
      </w:r>
      <w:r>
        <w:rPr>
          <w:rFonts w:ascii="Times New Roman" w:hAnsi="Times New Roman"/>
          <w:sz w:val="20"/>
        </w:rPr>
        <w:t xml:space="preserve">”) (A) that is held by a current employee, director, or consultant of Aspen as of the date hereof shall be accelerated in full effective as of immediately prior to the Effective Time, and (B) each Specified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(for the avoidance of doubt, no Specified Options shall be included in the total number of shares of Aspen Common Stock outstanding for purposes of determining the Aspen Outstanding Shares). Except as otherwise provided by this </w:t>
      </w:r>
      <w:r>
        <w:rPr>
          <w:rFonts w:ascii="Times New Roman" w:hAnsi="Times New Roman"/>
          <w:sz w:val="20"/>
          <w:u w:val="single"/>
        </w:rPr>
        <w:t>Section 6.7(a)</w:t>
      </w:r>
      <w:r>
        <w:rPr>
          <w:rFonts w:ascii="Times New Roman" w:hAnsi="Times New Roman"/>
          <w:sz w:val="20"/>
        </w:rPr>
        <w:t xml:space="preserve">, each Aspen Option shall continue to be subject to the same terms and conditions after the Effective Time as were applicable under such Aspen Option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Aspen Restricted Stock Units</w:t>
      </w:r>
      <w:r>
        <w:rPr>
          <w:rFonts w:ascii="Times New Roman" w:hAnsi="Times New Roman"/>
          <w:sz w:val="20"/>
        </w:rPr>
        <w:t xml:space="preserve">. Prior to the Closing, the Aspen Board shall have adopted appropriate resolutions and taken all other actions necessary and appropriate to provide that (i) the vesting of each outstanding and unvested Aspen Restricted Stock Unit that vests solely on the basis of time shall be accelerated in full effective as of immediately prior to the Effective Time, contingent on the occurrence of the Effective Time, and (ii) for each outstanding and unsettled Aspen Restricted Stock Unit that vests solely on the basis of time (including any Aspen Restricted Stock Units accelerated under </w:t>
      </w:r>
      <w:r>
        <w:rPr>
          <w:rFonts w:ascii="Times New Roman" w:hAnsi="Times New Roman"/>
          <w:sz w:val="20"/>
          <w:u w:val="single"/>
        </w:rPr>
        <w:t>Section 6.7(b)(i)</w:t>
      </w:r>
      <w:r>
        <w:rPr>
          <w:rFonts w:ascii="Times New Roman" w:hAnsi="Times New Roman"/>
          <w:sz w:val="20"/>
        </w:rPr>
        <w:t xml:space="preserve"> above) the holder thereof shall receive, immediately prior to the Effective Time, a number of shares of Aspen Common Stock equal to the number of vested and unsettled shares underlying such Aspen Restricted Stock Units. Notwithstanding anything herein to the contrary, the tax withholding obligations for each holder receiving shares of Aspen Common Stock in accordance with the preceding sentence shall be satisfied by Aspen withholding from issuance that number of shares of Aspen Common Stock calculated by multiplying the legally-required withholding rate for such holder in connection with such issuance by the number of shares of Aspen Common Stock to be issued in accordance with the preceding sentence, and rounding up to the nearest whole share and remitting such withholding in cash to the appropriate taxing authorities. For the avoidance of doubt, any Aspen Restricted Stock Unit that vests in whole or in part based on the achievement of performance goals shall not be impacted by this </w:t>
      </w:r>
      <w:r>
        <w:rPr>
          <w:rFonts w:ascii="Times New Roman" w:hAnsi="Times New Roman"/>
          <w:sz w:val="20"/>
          <w:u w:val="single"/>
        </w:rPr>
        <w:t>Section 6.7(b)</w:t>
      </w:r>
      <w:r>
        <w:rPr>
          <w:rFonts w:ascii="Times New Roman" w:hAnsi="Times New Roman"/>
          <w:sz w:val="20"/>
        </w:rPr>
        <w:t xml:space="preserve"> and shall remain in effect in accordance with their terms. </w:t>
      </w:r>
    </w:p>
    <w:p>
      <w:pPr>
        <w:pStyle w:val="TextBody"/>
        <w:bidi w:val="0"/>
        <w:spacing w:before="240" w:after="0"/>
        <w:jc w:val="left"/>
        <w:rPr>
          <w:rFonts w:ascii="Times New Roman" w:hAnsi="Times New Roman"/>
          <w:sz w:val="20"/>
        </w:rPr>
      </w:pPr>
      <w:bookmarkStart w:id="283" w:name="annxa770053_85"/>
      <w:bookmarkEnd w:id="283"/>
      <w:r>
        <w:rPr>
          <w:rFonts w:ascii="Times New Roman" w:hAnsi="Times New Roman"/>
          <w:sz w:val="20"/>
        </w:rPr>
        <w:t xml:space="preserve">6.8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Effective Time through the sixth anniversary of the date on which the Effective Time occurs, each of Aspen and the Surviving Corporation shall indemnify and hold harmless each person who is now,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has been at any time prior to the date hereof, or who becomes prior to the Effective Time, a director or officer of Aspen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incurred in connection with any claim, action, suit, proceeding or investigation (each a “</w:t>
      </w:r>
      <w:r>
        <w:rPr>
          <w:rFonts w:ascii="Times New Roman" w:hAnsi="Times New Roman"/>
          <w:b/>
          <w:sz w:val="20"/>
        </w:rPr>
        <w:t>Proceeding</w:t>
      </w:r>
      <w:r>
        <w:rPr>
          <w:rFonts w:ascii="Times New Roman" w:hAnsi="Times New Roman"/>
          <w:sz w:val="20"/>
        </w:rPr>
        <w:t xml:space="preserve">”), whether formal or informal, civil, criminal, administrative or investigative, arising out of or pertaining to the fact that the D&amp;O Indemnified Party is or was (i) a director or officer of Aspen or of the Company, respectively, or (ii) by reason of such D&amp;O Indemnified Party’s service in connection with any other corporation or organization for which he or she serves or has served as a director, officer, employee, agent trustee or fiduciary at the request of the Company or Aspen, respectively (including in any capacity with respect to any employee benefit plan), whether asserted or claimed prior to, at or after the Effective Time, in each case, to the fullest extent permitted under the DGCL; </w:t>
      </w:r>
      <w:r>
        <w:rPr>
          <w:rFonts w:ascii="Times New Roman" w:hAnsi="Times New Roman"/>
          <w:sz w:val="20"/>
          <w:u w:val="single"/>
        </w:rPr>
        <w:t>provided</w:t>
      </w:r>
      <w:r>
        <w:rPr>
          <w:rFonts w:ascii="Times New Roman" w:hAnsi="Times New Roman"/>
          <w:sz w:val="20"/>
        </w:rPr>
        <w:t xml:space="preserve"> that all rights to being held harmless, indemnification and advancement of expenses in respect of any Proceeding asserted or made, and for which a D&amp;O Indemnified Party delivers a written notice to Aspen or the Surviving Corporation within such six (6) year period asserting a claim for such protections pursuant to this </w:t>
      </w:r>
      <w:r>
        <w:rPr>
          <w:rFonts w:ascii="Times New Roman" w:hAnsi="Times New Roman"/>
          <w:sz w:val="20"/>
          <w:u w:val="single"/>
        </w:rPr>
        <w:t>Section 6.8</w:t>
      </w:r>
      <w:r>
        <w:rPr>
          <w:rFonts w:ascii="Times New Roman" w:hAnsi="Times New Roman"/>
          <w:sz w:val="20"/>
        </w:rPr>
        <w:t xml:space="preserve"> shall continue until the final disposition of such Proceeding. Each D&amp;O Indemnified Party will be entitled to advancement of expenses incurred in the defense of any such Proceeding from each of Aspen and the Surviving Corporation, jointly and severally, upon receipt by Aspen or the Surviving Corporation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expenses are advanced provides an undertaking to Aspen, to the extent then required by the DGCL, to repay such advances if it is ultimately determined that such person is not entitled to indemnification (such undertaking shall be unsecured and made without reference to such D&amp;O Indemnified Party’s ultimate entitlement to indemnification or ability to repay such advances (and no other form of undertaking shall be required)). Without otherwise limiting the D&amp;O Indemnified Parties’ rights with regards to counsel, following the Effective Time, the D&amp;O Indemnified Parties shall be entitled to continue to retain Goodwin Procter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the Organizational Documents of Aspen with respect to indemnification, advancement of expenses and exculpation of present and former directors and officers of Aspen that are presently set forth in the Organizational Documents of Aspen shall not be amended, modified or repealed for a period of six (6) years from the Effective Time in a manner that would adversely affect the rights thereunder of individuals who, at or prior to the Effective Time, were officers or directors of Aspen, unless such modification is required by applicable Law. The Organizational Documents of the Surviving Corporation shall contain, and Aspen shall cause the Organizational Documents of the Surviving Corporation to so contain, provisions no less favorable with respect to indemnification, advancement of expenses and exculpation of present and former directors and officers as those presently set forth in the Organizational Documents of Aspen.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Aspen shall fulfill and honor in all respects the obligations of Aspen to its D&amp;O Indemnified Parties as of immediately prior to the Closing pursuant to any indemnification provisions under Aspen’s Organizational Documents and pursuant to any indemnification agreements between Aspen and such D&amp;O Indemnified Parties, with respect to claims arising out of matters occurring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Effective Time, the Surviving Corporation shall maintain directors’ and officers’ liability insurance policies, with an effective date as of the Closing Date, on commercially reasonable terms and conditions and with coverage limits customary for U.S. public companies similarly situated to Aspen. In addition, Aspen shall purchase, prior to the Effective Time, six (6) year prepaid “D&amp;O tail policies” for the non-cancelable extension of the directors’ and officers’ liability coverage of Aspen’s existing directors’ and officers’ insurance policies for a claims reporting or discovery period of at least six (6) years from and after the Effective Time with respect to any claim related to any act, error or omission occurring at or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with terms, conditions, retentions and limits of liability that are no less favorable than the coverage provided under Aspen’s existing policies as of the date of this Agreement, except that Aspen will not commit or spend on such “D&amp;O tail policies” annual premiums in excess of 350% of the annual premiums paid by Aspen prior to the Effective Time for Aspen’s policies of directors’ and officers’ liability insurance and fiduciary liability insurance, and if such premiums for such “D&amp;O tail policies” would exceed 350% of a premium, then Aspen shall purchase such “D&amp;O tail policies” that provide the maximum coverage available at an annual premium equal to 350% of such annual premium. Aspen and the Surviving Corporation shall maintain such “D&amp;O tail policies” in full force and effect for their full term and continue to honor the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Effective Time, the Surviving Corporation shall pay all expenses, including reasonable attorneys’ fees, that are incurred by the persons referred to in this </w:t>
      </w:r>
      <w:r>
        <w:rPr>
          <w:rFonts w:ascii="Times New Roman" w:hAnsi="Times New Roman"/>
          <w:sz w:val="20"/>
          <w:u w:val="single"/>
        </w:rPr>
        <w:t>Section 6.8</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6.8</w:t>
      </w:r>
      <w:r>
        <w:rPr>
          <w:rFonts w:ascii="Times New Roman" w:hAnsi="Times New Roman"/>
          <w:sz w:val="20"/>
        </w:rPr>
        <w:t xml:space="preserve"> are intended to be in addition to the rights otherwise available to the current and former officers and directors of Aspen and the Company by Law, charter, statute, 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Aspen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Aspen or the Surviving Corporation, as the case may be, shall succeed to the obligations set forth in this </w:t>
      </w:r>
      <w:r>
        <w:rPr>
          <w:rFonts w:ascii="Times New Roman" w:hAnsi="Times New Roman"/>
          <w:sz w:val="20"/>
          <w:u w:val="single"/>
        </w:rPr>
        <w:t>Section 6.8</w:t>
      </w:r>
      <w:r>
        <w:rPr>
          <w:rFonts w:ascii="Times New Roman" w:hAnsi="Times New Roman"/>
          <w:sz w:val="20"/>
        </w:rPr>
        <w:t xml:space="preserve">. Aspen shall cause the Surviving Corporation to perform all of the obligations of the Surviving Corporation under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84" w:name="annxa770053_86"/>
      <w:bookmarkEnd w:id="284"/>
      <w:r>
        <w:rPr>
          <w:rFonts w:ascii="Times New Roman" w:hAnsi="Times New Roman"/>
          <w:sz w:val="20"/>
        </w:rPr>
        <w:t xml:space="preserve">6.9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Aspen’s Current Report on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Aspen may make any public statement in response to specific questions by the press, analysts, investors or those attending industry conferences or financial analyst conference calls, or internal employee communications, so long as in each case any such statements or internal employee communications are consistent with previous press releases, public disclosures or public statements made by the Company or Aspen in compliance with this </w:t>
      </w:r>
      <w:r>
        <w:rPr>
          <w:rFonts w:ascii="Times New Roman" w:hAnsi="Times New Roman"/>
          <w:sz w:val="20"/>
          <w:u w:val="single"/>
        </w:rPr>
        <w:t>Section 6.9</w:t>
      </w:r>
      <w:r>
        <w:rPr>
          <w:rFonts w:ascii="Times New Roman" w:hAnsi="Times New Roman"/>
          <w:sz w:val="20"/>
        </w:rPr>
        <w:t xml:space="preserve">. Notwithstanding the foregoing, Aspen and Merger Sub need not consult with the Company in connection with such portion of any press release, public statement or filing to be issued or made pursuant to </w:t>
      </w:r>
      <w:r>
        <w:rPr>
          <w:rFonts w:ascii="Times New Roman" w:hAnsi="Times New Roman"/>
          <w:sz w:val="20"/>
          <w:u w:val="single"/>
        </w:rPr>
        <w:t>Section 6.3</w:t>
      </w:r>
      <w:r>
        <w:rPr>
          <w:rFonts w:ascii="Times New Roman" w:hAnsi="Times New Roman"/>
          <w:sz w:val="20"/>
        </w:rPr>
        <w:t xml:space="preserve"> or relating thereto. </w:t>
      </w:r>
    </w:p>
    <w:p>
      <w:pPr>
        <w:pStyle w:val="TextBody"/>
        <w:bidi w:val="0"/>
        <w:spacing w:before="240" w:after="0"/>
        <w:jc w:val="left"/>
        <w:rPr>
          <w:rFonts w:ascii="Times New Roman" w:hAnsi="Times New Roman"/>
          <w:sz w:val="20"/>
        </w:rPr>
      </w:pPr>
      <w:bookmarkStart w:id="285" w:name="annxa770053_87"/>
      <w:bookmarkEnd w:id="285"/>
      <w:r>
        <w:rPr>
          <w:rFonts w:ascii="Times New Roman" w:hAnsi="Times New Roman"/>
          <w:sz w:val="20"/>
        </w:rPr>
        <w:t xml:space="preserve">6.10 </w:t>
      </w:r>
      <w:r>
        <w:rPr>
          <w:rFonts w:ascii="Times New Roman" w:hAnsi="Times New Roman"/>
          <w:sz w:val="20"/>
          <w:u w:val="single"/>
        </w:rPr>
        <w:t>Listing</w:t>
      </w:r>
      <w:r>
        <w:rPr>
          <w:rFonts w:ascii="Times New Roman" w:hAnsi="Times New Roman"/>
          <w:sz w:val="20"/>
        </w:rPr>
        <w:t xml:space="preserve">. At or prior to the Effective Time, Aspen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Aspen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Aspen’s certificate of incorporation effecting the Nasdaq Reverse Split, certified by the Secretary of State of the State of Delaware, to Nasdaq on the Closing Date; and (d)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extent required by Nasdaq Listing Rule 5110, assist the Company in preparing and filing an initial listing application for the Aspen Common Stock on Nasdaq (the “</w:t>
      </w:r>
      <w:r>
        <w:rPr>
          <w:rFonts w:ascii="Times New Roman" w:hAnsi="Times New Roman"/>
          <w:b/>
          <w:sz w:val="20"/>
        </w:rPr>
        <w:t>Nasdaq Listing Application</w:t>
      </w:r>
      <w:r>
        <w:rPr>
          <w:rFonts w:ascii="Times New Roman" w:hAnsi="Times New Roman"/>
          <w:sz w:val="20"/>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6.10</w:t>
      </w:r>
      <w:r>
        <w:rPr>
          <w:rFonts w:ascii="Times New Roman" w:hAnsi="Times New Roman"/>
          <w:sz w:val="20"/>
        </w:rPr>
        <w:t xml:space="preserve">. All Nasdaq fees associated with any action contemplated by this </w:t>
      </w:r>
      <w:r>
        <w:rPr>
          <w:rFonts w:ascii="Times New Roman" w:hAnsi="Times New Roman"/>
          <w:sz w:val="20"/>
          <w:u w:val="single"/>
        </w:rPr>
        <w:t>Section 6.10</w:t>
      </w:r>
      <w:r>
        <w:rPr>
          <w:rFonts w:ascii="Times New Roman" w:hAnsi="Times New Roman"/>
          <w:sz w:val="20"/>
        </w:rPr>
        <w:t xml:space="preserve"> (the “</w:t>
      </w:r>
      <w:r>
        <w:rPr>
          <w:rFonts w:ascii="Times New Roman" w:hAnsi="Times New Roman"/>
          <w:b/>
          <w:sz w:val="20"/>
        </w:rPr>
        <w:t>Nasdaq Fees</w:t>
      </w:r>
      <w:r>
        <w:rPr>
          <w:rFonts w:ascii="Times New Roman" w:hAnsi="Times New Roman"/>
          <w:sz w:val="20"/>
        </w:rPr>
        <w:t xml:space="preserve">”) shall be shared equally by the Company and Aspen. </w:t>
      </w:r>
    </w:p>
    <w:p>
      <w:pPr>
        <w:pStyle w:val="TextBody"/>
        <w:bidi w:val="0"/>
        <w:spacing w:before="240" w:after="0"/>
        <w:jc w:val="left"/>
        <w:rPr>
          <w:rFonts w:ascii="Times New Roman" w:hAnsi="Times New Roman"/>
          <w:sz w:val="20"/>
        </w:rPr>
      </w:pPr>
      <w:bookmarkStart w:id="286" w:name="annxa770053_88"/>
      <w:bookmarkEnd w:id="286"/>
      <w:r>
        <w:rPr>
          <w:rFonts w:ascii="Times New Roman" w:hAnsi="Times New Roman"/>
          <w:sz w:val="20"/>
        </w:rPr>
        <w:t xml:space="preserve">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Merger from qualifying for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Aspen shall promptly notify the Company if, at any time before the Effective Time, Aspen becomes aware of any fact or circumstance that would reasonably be expected to prevent, cause a failure of, or impede the Merger from qualifying for the Intended Tax Treatment. The Company shall promptly notify Aspen if, at any time before the Effective Time, the Company becomes aware of any fact or circumstance that would reasonably be expected to prevent, cause a failure of, or impede the Merger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(c) If, after good faith efforts by Aspen, in cooperation with the Company, to respond to any comments from the SEC requiring or requesting that an opinion with respect to the Intended Tax Treatment be prepared and submitted in connection with the Registration Statement and Proxy Statement (or any other filing required by applicable Law) or the SEC’s review thereof (“</w:t>
      </w:r>
      <w:r>
        <w:rPr>
          <w:rFonts w:ascii="Times New Roman" w:hAnsi="Times New Roman"/>
          <w:b/>
          <w:sz w:val="20"/>
        </w:rPr>
        <w:t>Tax Opinion</w:t>
      </w:r>
      <w:r>
        <w:rPr>
          <w:rFonts w:ascii="Times New Roman" w:hAnsi="Times New Roman"/>
          <w:sz w:val="20"/>
        </w:rPr>
        <w:t>”), the SEC continues to request or require that a Tax Opinion be prepared and submitted, (i) each of Aspen and the Company shall cause Goodwin Procter LLP (or such other nationally recognized law or accounting firm reasonably satisfactory to Aspen and the Company) and Cooley LLP (or such other nationally recognized law or accounting firm reasonably satisfactory to the Company and Aspen), respectively, to furnish such opinions (as so required or requested and subject to customary assumptions and limitations) and (ii) Aspen and the Company shall each deliver to Goodwin Procter LLP (or such other nationally recognized law or accounting firm reasonably satisfactory to Aspen and the Company) and Cooley LLP (or such other nationally recognized law or accounting firm reasonably satisfactory to the Company and Aspen) a Tax certificate, dated as of the date the Registration Statement and Proxy Statement (or such other filing if required by applicable Law) shall have been declared effective by the SEC and signed by an officer of Aspen or the Company, as applicable, containing customary representations and covenants reasonably acceptable to the Company and Aspen, as applicable, in each case, as reasonably necessary and appropriate to enable such advisors to render such opinion (the “</w:t>
      </w:r>
      <w:r>
        <w:rPr>
          <w:rFonts w:ascii="Times New Roman" w:hAnsi="Times New Roman"/>
          <w:b/>
          <w:sz w:val="20"/>
        </w:rPr>
        <w:t>Tax Certificates</w:t>
      </w:r>
      <w:r>
        <w:rPr>
          <w:rFonts w:ascii="Times New Roman" w:hAnsi="Times New Roman"/>
          <w:sz w:val="20"/>
        </w:rPr>
        <w:t xml:space="preserve">”). Each of Aspen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Aspen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Aspen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generality of </w:t>
      </w:r>
      <w:r>
        <w:rPr>
          <w:rFonts w:ascii="Times New Roman" w:hAnsi="Times New Roman"/>
          <w:sz w:val="20"/>
          <w:u w:val="single"/>
        </w:rPr>
        <w:t>Section 6.11(a)</w:t>
      </w:r>
      <w:r>
        <w:rPr>
          <w:rFonts w:ascii="Times New Roman" w:hAnsi="Times New Roman"/>
          <w:sz w:val="20"/>
        </w:rPr>
        <w:t>, if the Company or Aspen reasonably determines on advice of its counsel that there is a material risk that the Merger will not qualify for the Intended Tax Treatment, but would be reasonably expected to so qualify if a second-step merger of the Surviving Corporation into a limited liability company directly and wholly owned by Aspen that is disregarded as an entity for U.S. federal income tax purposes were consummated (such second-step merger, the “</w:t>
      </w:r>
      <w:r>
        <w:rPr>
          <w:rFonts w:ascii="Times New Roman" w:hAnsi="Times New Roman"/>
          <w:b/>
          <w:sz w:val="20"/>
        </w:rPr>
        <w:t>Second Merger</w:t>
      </w:r>
      <w:r>
        <w:rPr>
          <w:rFonts w:ascii="Times New Roman" w:hAnsi="Times New Roman"/>
          <w:sz w:val="20"/>
        </w:rPr>
        <w:t xml:space="preserve">”), then the Company and Aspen shall cause the Second Merger to be so consummated; provided, that if such Second Merger occurs, (i) the Merger and the Second Merger shall be treated as one integrated transaction for U.S. federal income tax purposes, (ii) the Second Merger shall be consummated in accordance with Delaware Law and as promptly as practicable following the Merger, and (iii) references to Aspen or the Surviving Corporation (in each case, after the effective time of the Second Merger) and all other provisions of this Agreement shall be interpreted </w:t>
      </w:r>
      <w:r>
        <w:rPr>
          <w:rFonts w:ascii="Times New Roman" w:hAnsi="Times New Roman"/>
          <w:i/>
          <w:sz w:val="20"/>
        </w:rPr>
        <w:t>mutatis mutandis</w:t>
      </w:r>
      <w:r>
        <w:rPr>
          <w:rFonts w:ascii="Times New Roman" w:hAnsi="Times New Roman"/>
          <w:sz w:val="20"/>
        </w:rPr>
        <w:t xml:space="preserve"> to take into account the change in structure of the business combination. For the avoidance of doubt, any such amendment described in this </w:t>
      </w:r>
      <w:r>
        <w:rPr>
          <w:rFonts w:ascii="Times New Roman" w:hAnsi="Times New Roman"/>
          <w:sz w:val="20"/>
          <w:u w:val="single"/>
        </w:rPr>
        <w:t>Section 6.11(e)</w:t>
      </w:r>
      <w:r>
        <w:rPr>
          <w:rFonts w:ascii="Times New Roman" w:hAnsi="Times New Roman"/>
          <w:sz w:val="20"/>
        </w:rPr>
        <w:t xml:space="preserve"> shall not alter or change the amount, nature or mix of the Merger Consideration. </w:t>
      </w:r>
    </w:p>
    <w:p>
      <w:pPr>
        <w:pStyle w:val="TextBody"/>
        <w:bidi w:val="0"/>
        <w:spacing w:before="240" w:after="0"/>
        <w:jc w:val="left"/>
        <w:rPr>
          <w:rFonts w:ascii="Times New Roman" w:hAnsi="Times New Roman"/>
          <w:sz w:val="20"/>
        </w:rPr>
      </w:pPr>
      <w:bookmarkStart w:id="287" w:name="annxa770053_89"/>
      <w:bookmarkEnd w:id="287"/>
      <w:r>
        <w:rPr>
          <w:rFonts w:ascii="Times New Roman" w:hAnsi="Times New Roman"/>
          <w:sz w:val="20"/>
        </w:rPr>
        <w:t xml:space="preserve">6.12 </w:t>
      </w:r>
      <w:r>
        <w:rPr>
          <w:rFonts w:ascii="Times New Roman" w:hAnsi="Times New Roman"/>
          <w:sz w:val="20"/>
          <w:u w:val="single"/>
        </w:rPr>
        <w:t>Legends</w:t>
      </w:r>
      <w:r>
        <w:rPr>
          <w:rFonts w:ascii="Times New Roman" w:hAnsi="Times New Roman"/>
          <w:sz w:val="20"/>
        </w:rPr>
        <w:t xml:space="preserve">. Aspen shall be entitled to place appropriate legends on the book entries and/or certificates evidencing any shares of Aspen Common Stock to be received in the Merger by equityholders of the Company who may be considered “affiliates” of Aspen for purposes of Rules 144 and 145 under the Securities Act reflecting the restrictions set forth in Rules 144 and 145 and to issue appropriate stop transfer instructions to the transfer agent for Aspen Common Stock. </w:t>
      </w:r>
    </w:p>
    <w:p>
      <w:pPr>
        <w:pStyle w:val="TextBody"/>
        <w:bidi w:val="0"/>
        <w:spacing w:before="240" w:after="0"/>
        <w:jc w:val="left"/>
        <w:rPr>
          <w:rFonts w:ascii="Times New Roman" w:hAnsi="Times New Roman"/>
          <w:sz w:val="20"/>
        </w:rPr>
      </w:pPr>
      <w:bookmarkStart w:id="288" w:name="annxa770053_90"/>
      <w:bookmarkEnd w:id="288"/>
      <w:r>
        <w:rPr>
          <w:rFonts w:ascii="Times New Roman" w:hAnsi="Times New Roman"/>
          <w:sz w:val="20"/>
        </w:rPr>
        <w:t xml:space="preserve">6.13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use commercially reasonable efforts and take all necessary action so that the Persons listed on </w:t>
      </w:r>
      <w:r>
        <w:rPr>
          <w:rFonts w:ascii="Times New Roman" w:hAnsi="Times New Roman"/>
          <w:sz w:val="20"/>
          <w:u w:val="single"/>
        </w:rPr>
        <w:t>Section 6.13</w:t>
      </w:r>
      <w:r>
        <w:rPr>
          <w:rFonts w:ascii="Times New Roman" w:hAnsi="Times New Roman"/>
          <w:sz w:val="20"/>
        </w:rPr>
        <w:t xml:space="preserve"> of the Aspen Disclosure Schedule are elected or appointed, as applicable, to the positions of officers or directors of Aspen and the Surviving Corporation, as set forth therein, to serve in such positions effective as of the Effective Time. If any Person listed on </w:t>
      </w:r>
      <w:r>
        <w:rPr>
          <w:rFonts w:ascii="Times New Roman" w:hAnsi="Times New Roman"/>
          <w:sz w:val="20"/>
          <w:u w:val="single"/>
        </w:rPr>
        <w:t>Section 6.13</w:t>
      </w:r>
      <w:r>
        <w:rPr>
          <w:rFonts w:ascii="Times New Roman" w:hAnsi="Times New Roman"/>
          <w:sz w:val="20"/>
        </w:rPr>
        <w:t xml:space="preserve"> of the Aspen Disclosure Schedule is unable or unwilling to serve as officer or director of Aspen or the Surviving Corporation, as set forth therein, the Party appointing such Person (as set forth on </w:t>
      </w:r>
      <w:r>
        <w:rPr>
          <w:rFonts w:ascii="Times New Roman" w:hAnsi="Times New Roman"/>
          <w:sz w:val="20"/>
          <w:u w:val="single"/>
        </w:rPr>
        <w:t>Section 6.13</w:t>
      </w:r>
      <w:r>
        <w:rPr>
          <w:rFonts w:ascii="Times New Roman" w:hAnsi="Times New Roman"/>
          <w:sz w:val="20"/>
        </w:rPr>
        <w:t xml:space="preserve"> of the Aspen Disclosure Schedule) shall designate a successor. The Parties shall use reasonable best efforts to have each of the Persons that will serve as directors and officers of the Aspen following the Closing to execute and deliver a Lock-Up Agreement prior to Closing. </w:t>
      </w:r>
    </w:p>
    <w:p>
      <w:pPr>
        <w:pStyle w:val="TextBody"/>
        <w:bidi w:val="0"/>
        <w:spacing w:before="240" w:after="0"/>
        <w:jc w:val="left"/>
        <w:rPr>
          <w:rFonts w:ascii="Times New Roman" w:hAnsi="Times New Roman"/>
          <w:sz w:val="20"/>
        </w:rPr>
      </w:pPr>
      <w:bookmarkStart w:id="289" w:name="annxa770053_91"/>
      <w:bookmarkEnd w:id="289"/>
      <w:r>
        <w:rPr>
          <w:rFonts w:ascii="Times New Roman" w:hAnsi="Times New Roman"/>
          <w:sz w:val="20"/>
        </w:rPr>
        <w:t xml:space="preserve">6.14 </w:t>
      </w:r>
      <w:r>
        <w:rPr>
          <w:rFonts w:ascii="Times New Roman" w:hAnsi="Times New Roman"/>
          <w:sz w:val="20"/>
          <w:u w:val="single"/>
        </w:rPr>
        <w:t>Termination of Certain Agreements and Rights</w:t>
      </w:r>
      <w:r>
        <w:rPr>
          <w:rFonts w:ascii="Times New Roman" w:hAnsi="Times New Roman"/>
          <w:sz w:val="20"/>
        </w:rPr>
        <w:t xml:space="preserve">. Except as set forth on </w:t>
      </w:r>
      <w:r>
        <w:rPr>
          <w:rFonts w:ascii="Times New Roman" w:hAnsi="Times New Roman"/>
          <w:sz w:val="20"/>
          <w:u w:val="single"/>
        </w:rPr>
        <w:t>Section 6.14</w:t>
      </w:r>
      <w:r>
        <w:rPr>
          <w:rFonts w:ascii="Times New Roman" w:hAnsi="Times New Roman"/>
          <w:sz w:val="20"/>
        </w:rPr>
        <w:t xml:space="preserve"> of the Aspen Disclosure Schedule, each of Aspen and the Company shall use commercially reasonable efforts to cause any stockholder agreements, voting agreements, registration rights agreements, co-sale agreements and any other similar Contracts between either Aspen or the Company and any holders of Aspen Common Stock or Company Capital Stock, respectively, including any such Contract granting any Person investor rights, rights of first refusal, registration rights or director registration rights, to be terminated immediately prior to the Effective Time, without any liability being imposed on the part of Aspen or the Surviving Corporation. </w:t>
      </w:r>
    </w:p>
    <w:p>
      <w:pPr>
        <w:pStyle w:val="TextBody"/>
        <w:bidi w:val="0"/>
        <w:spacing w:before="240" w:after="0"/>
        <w:jc w:val="left"/>
        <w:rPr>
          <w:rFonts w:ascii="Times New Roman" w:hAnsi="Times New Roman"/>
          <w:sz w:val="20"/>
        </w:rPr>
      </w:pPr>
      <w:bookmarkStart w:id="290" w:name="annxa770053_92"/>
      <w:bookmarkEnd w:id="290"/>
      <w:r>
        <w:rPr>
          <w:rFonts w:ascii="Times New Roman" w:hAnsi="Times New Roman"/>
          <w:sz w:val="20"/>
        </w:rPr>
        <w:t xml:space="preserve">6.15 </w:t>
      </w:r>
      <w:r>
        <w:rPr>
          <w:rFonts w:ascii="Times New Roman" w:hAnsi="Times New Roman"/>
          <w:sz w:val="20"/>
          <w:u w:val="single"/>
        </w:rPr>
        <w:t>Section 16 Matters</w:t>
      </w:r>
      <w:r>
        <w:rPr>
          <w:rFonts w:ascii="Times New Roman" w:hAnsi="Times New Roman"/>
          <w:sz w:val="20"/>
        </w:rPr>
        <w:t xml:space="preserve">. Prior to the Effective Time, Aspen shall take all such steps as may be required to cause any acquisitions of Aspen Common Stock and any options to purchase Aspen Common Stock in connection with the Contemplated Transactions, by each individual who is reasonably expected to become subject to the reporting requirements of Section 16(a) of the Exchange Act with respect to Aspen, to be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291" w:name="annxa770053_93"/>
      <w:bookmarkEnd w:id="291"/>
      <w:r>
        <w:rPr>
          <w:rFonts w:ascii="Times New Roman" w:hAnsi="Times New Roman"/>
          <w:sz w:val="20"/>
        </w:rPr>
        <w:t xml:space="preserve">6.16 </w:t>
      </w:r>
      <w:r>
        <w:rPr>
          <w:rFonts w:ascii="Times New Roman" w:hAnsi="Times New Roman"/>
          <w:sz w:val="20"/>
          <w:u w:val="single"/>
        </w:rPr>
        <w:t>Allocation Certificate</w:t>
      </w:r>
      <w:r>
        <w:rPr>
          <w:rFonts w:ascii="Times New Roman" w:hAnsi="Times New Roman"/>
          <w:sz w:val="20"/>
        </w:rPr>
        <w:t>. The Company will prepare and deliver to Aspen at least five (5) Business Days prior to the Closing Date a certificate signed by the Company’s Chief Executive Officer in a form reasonably acceptable to Aspen setting forth (as of immediately prior to the Effective Time and after giving effect to the Company SAFEs Conversion and the Company Preferred Stock Conversion) (a) each holder of Company Capital Stock and Company Options, (b) such holder’s name and address, (c) the number and type of Company Capital Stock held as of immediately prior to the Effective Time for each such holder or, with respect to each Company Option, the grant date of such Company Option and the number of shares of Company Capital Stock subject to such Company Option, (d) the number of shares of Aspen Common Stock to be issued to such holder pursuant to this Agreement in respect of the Company Capital Stock held by such holder as of immediately prior to the Effective Time (after giving effect to the Company SAFEs Conversion and the Company Preferred Stock Conversion) or, with respect to each Company Option, the number of shares of Aspen Common Stock to be subject to the applicable Assumed Option immediately following the conversion of such Company Option into an Assumed Option in accordance with this Agreement, and (e) the name and address of each Concurrent Investor, the total investment to be made by such Concurrent Investor in the Concurrent Investment, the percentage of the Concurrent Investment Proceeds represented by such Concurrent Investor’s investment in the Concurrent Investment, and the number of shares of Aspen Common Stock to be issued to such Concurrent Investor pursuant to this Agreement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92" w:name="annxa770053_94"/>
      <w:bookmarkEnd w:id="292"/>
      <w:r>
        <w:rPr>
          <w:rFonts w:ascii="Times New Roman" w:hAnsi="Times New Roman"/>
          <w:sz w:val="20"/>
        </w:rPr>
        <w:t xml:space="preserve">6.17 </w:t>
      </w:r>
      <w:r>
        <w:rPr>
          <w:rFonts w:ascii="Times New Roman" w:hAnsi="Times New Roman"/>
          <w:sz w:val="20"/>
          <w:u w:val="single"/>
        </w:rPr>
        <w:t>Obligations of Merger Sub</w:t>
      </w:r>
      <w:r>
        <w:rPr>
          <w:rFonts w:ascii="Times New Roman" w:hAnsi="Times New Roman"/>
          <w:sz w:val="20"/>
        </w:rPr>
        <w:t xml:space="preserve">. Aspen will take all action necessary to cause Merger Sub to perform their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293" w:name="annxa770053_95"/>
      <w:bookmarkEnd w:id="293"/>
      <w:r>
        <w:rPr>
          <w:rFonts w:ascii="Times New Roman" w:hAnsi="Times New Roman"/>
          <w:sz w:val="20"/>
        </w:rPr>
        <w:t xml:space="preserve">6.18 </w:t>
      </w:r>
      <w:r>
        <w:rPr>
          <w:rFonts w:ascii="Times New Roman" w:hAnsi="Times New Roman"/>
          <w:sz w:val="20"/>
          <w:u w:val="single"/>
        </w:rPr>
        <w:t>Covenants Regarding Concurrent Investment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or cause to be taken, all actions and do, or cause to be done, all things necessary, proper or advisable to enforce its rights under each Concurrent Investment Agreement in the event that all conditions in such Concurrent Investment Agreement (other than conditions whose satisfaction is controlled by the Parties or any of their Affiliates and other than conditions that by their nature are to be satisfied at the Closing) have been satisfied, and to cause the applicable Concurrent Investors to pay (to the extent not already paid) the applicable portion of the Concurrent Investment Amount set forth in the applicable Concurrent Investment Agreement in accordance with its terms. Without limiting the generality of the foregoing, the Company shall give Aspen prompt (and, in any event, within one (1) Business Day) written notice: (A) of any request from an Concurrent Investor for any amendment to its Concurrent Investment Agreement (other than as a result of any assignments or transfers contemplated therein or otherwise permitted thereby); (B) of any breach or default (or any event or circumstance that, with or without notice, lapse of time or both, would reasonably be expected to give rise to any breach or default) by any Concurrent Investor under the applicable Concurrent Investment Agreement, to the extent known by the Company; and (C) of the receipt of any written notice or other written communication from any party to a Concurrent Investment Agreement with respect to any actual, potential, threatened or claimed expiration, lapse, withdrawal, breach, default, termination or repudiation by any Concurrent Investor under a Concurrent Investment Agreement or any related agreement. The Company shall deliver all notices they are required to deliver under the Concurrent Investment Agreements on a timely basis in order to cause the Subscription Agreement Concurrent Investors to consummate the Subscription Agreement Concurrent Investment immediately prior to the Effective Time and to cause the occurrence of the Company SAFEs Conversion immediately following the Company Preferred Stock Conversion and immediately prior to the Subscription Agreement Concurrent Investment and at the Specified Time.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initial execution of the Concurrent Investment Agreements, the Company shall not amend, modify or waive any provisions of a Concurrent Investment Agreement without the prior written consent of Aspen if such termination, amendment, modification, waiver or replacement (i) reduces the aggregate Concurrent Investment Amount or (ii) imposes new or additional conditions or otherwise expands, amends or modifies any of the conditions to the receipt of the Concurrent Investment, or otherwise expands, amends or modifies any other provision of the applicable Concurrent Investment Agreement, in a manner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(x) delay or prevent the funding of the Concurrent Investment or the funding in full of the Concurrent Investment Amount (or satisfaction of the conditions to the Concurrent Investment) at or substantially simultaneously with the Closing or (y) adversely impact the ability of the Company to enforce its rights against other parties to the applicable Concurrent Investment Agreement. The Company shall promptly deliver to Aspen copies of any such termination, amendment, modification, waiver or replacement.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use commercially reasonable efforts to take such actions and cause the holders of Company Capital Stock to provide all documentation, including investor questionnaires in a manner that satisfies the requirements of Rule 506 of Regulation D under the Securities Act or Section 4(a)(2) under the Securities Act or Rule 902 of Regulation S, including certifications to Aspen: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Aspen Common Stock; and (iii) that unless the shares are registered for resale the Aspen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Section 5.2(b)(iii)(A) and (C), beginning on or after June 1, 2024, the Company shall be able to draw down on any Concurrent Investment, in no event exceeding $25,000,000 in the aggregate, for purposes of funding general operating expenses of the Company in the Ordinary Course of Business (for the avoidance of doubt in accordance with the Company’s obligations pursuant to Section 5.2(b)). Any such shares of Company Common Stock issued upon conversion of such drawdown(s) shall be issued by the Company in accordance with Section 2.5(g) applied on a </w:t>
      </w:r>
      <w:r>
        <w:rPr>
          <w:rFonts w:ascii="Times New Roman" w:hAnsi="Times New Roman"/>
          <w:i/>
          <w:sz w:val="20"/>
        </w:rPr>
        <w:t>mutatis mutandis</w:t>
      </w:r>
      <w:r>
        <w:rPr>
          <w:rFonts w:ascii="Times New Roman" w:hAnsi="Times New Roman"/>
          <w:sz w:val="20"/>
        </w:rPr>
        <w:t xml:space="preserve"> basis. </w:t>
      </w:r>
    </w:p>
    <w:p>
      <w:pPr>
        <w:pStyle w:val="TextBody"/>
        <w:bidi w:val="0"/>
        <w:spacing w:before="240" w:after="0"/>
        <w:jc w:val="left"/>
        <w:rPr>
          <w:rFonts w:ascii="Times New Roman" w:hAnsi="Times New Roman"/>
          <w:sz w:val="20"/>
        </w:rPr>
      </w:pPr>
      <w:bookmarkStart w:id="294" w:name="annxa770053_96"/>
      <w:bookmarkEnd w:id="294"/>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240" w:after="0"/>
        <w:jc w:val="left"/>
        <w:rPr>
          <w:rFonts w:ascii="Times New Roman" w:hAnsi="Times New Roman"/>
          <w:sz w:val="20"/>
        </w:rPr>
      </w:pPr>
      <w:bookmarkStart w:id="295" w:name="annxa770053_97"/>
      <w:bookmarkEnd w:id="295"/>
      <w:r>
        <w:rPr>
          <w:rFonts w:ascii="Times New Roman" w:hAnsi="Times New Roman"/>
          <w:sz w:val="20"/>
        </w:rPr>
        <w:t xml:space="preserve">7.1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w:t>
      </w:r>
    </w:p>
    <w:p>
      <w:pPr>
        <w:pStyle w:val="TextBody"/>
        <w:bidi w:val="0"/>
        <w:spacing w:before="240" w:after="0"/>
        <w:jc w:val="left"/>
        <w:rPr>
          <w:rFonts w:ascii="Times New Roman" w:hAnsi="Times New Roman"/>
          <w:sz w:val="20"/>
        </w:rPr>
      </w:pPr>
      <w:bookmarkStart w:id="296" w:name="annxa770053_98"/>
      <w:bookmarkEnd w:id="296"/>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bookmarkStart w:id="297" w:name="annxa770053_99"/>
      <w:bookmarkEnd w:id="297"/>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Aspen shall have obtained the Required Aspen Stockholder Vote with respect to the Specified Aspen Stockholder Matters and (b) the Company shall have obtained the Required Company Stockholder Vote. </w:t>
      </w:r>
    </w:p>
    <w:p>
      <w:pPr>
        <w:pStyle w:val="TextBody"/>
        <w:bidi w:val="0"/>
        <w:spacing w:before="240" w:after="0"/>
        <w:jc w:val="left"/>
        <w:rPr>
          <w:rFonts w:ascii="Times New Roman" w:hAnsi="Times New Roman"/>
          <w:sz w:val="20"/>
        </w:rPr>
      </w:pPr>
      <w:bookmarkStart w:id="298" w:name="annxa770053_100"/>
      <w:bookmarkEnd w:id="298"/>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The approval of the listing of the additional shares of Aspen Common Stock on Nasdaq shall have been obtained and the shares of Aspen Common Stock to be issued in the Contemplated Transactions pursuant to this Agreement shall have been approved for listing (subject to official notice of issuance) on Nasdaq. </w:t>
      </w:r>
    </w:p>
    <w:p>
      <w:pPr>
        <w:pStyle w:val="TextBody"/>
        <w:bidi w:val="0"/>
        <w:spacing w:before="240" w:after="0"/>
        <w:jc w:val="left"/>
        <w:rPr>
          <w:rFonts w:ascii="Times New Roman" w:hAnsi="Times New Roman"/>
          <w:sz w:val="20"/>
        </w:rPr>
      </w:pPr>
      <w:bookmarkStart w:id="299" w:name="annxa770053_101"/>
      <w:bookmarkEnd w:id="299"/>
      <w:r>
        <w:rPr>
          <w:rFonts w:ascii="Times New Roman" w:hAnsi="Times New Roman"/>
          <w:sz w:val="20"/>
        </w:rPr>
        <w:t xml:space="preserve">7.5 </w:t>
      </w:r>
      <w:r>
        <w:rPr>
          <w:rFonts w:ascii="Times New Roman" w:hAnsi="Times New Roman"/>
          <w:sz w:val="20"/>
          <w:u w:val="single"/>
        </w:rPr>
        <w:t>Lock-Up Agreements</w:t>
      </w:r>
      <w:r>
        <w:rPr>
          <w:rFonts w:ascii="Times New Roman" w:hAnsi="Times New Roman"/>
          <w:sz w:val="20"/>
        </w:rPr>
        <w:t xml:space="preserve">. The Lock-Up Agreements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Concurrent Investment</w:t>
      </w:r>
      <w:r>
        <w:rPr>
          <w:rFonts w:ascii="Times New Roman" w:hAnsi="Times New Roman"/>
          <w:sz w:val="20"/>
        </w:rPr>
        <w:t xml:space="preserve">. Cash proceeds of not less than the Concurrent Investment Amount shall have been received by the Company, or will be received by the Company substantially simultaneously with the Closing, in connection with the consummation of the transactions contemplated by the Concurrent Investment Agreements; </w:t>
      </w:r>
      <w:r>
        <w:rPr>
          <w:rFonts w:ascii="Times New Roman" w:hAnsi="Times New Roman"/>
          <w:sz w:val="20"/>
          <w:u w:val="single"/>
        </w:rPr>
        <w:t>provided</w:t>
      </w:r>
      <w:r>
        <w:rPr>
          <w:rFonts w:ascii="Times New Roman" w:hAnsi="Times New Roman"/>
          <w:sz w:val="20"/>
        </w:rPr>
        <w:t xml:space="preserve"> that the condition in this </w:t>
      </w:r>
      <w:r>
        <w:rPr>
          <w:rFonts w:ascii="Times New Roman" w:hAnsi="Times New Roman"/>
          <w:sz w:val="20"/>
          <w:u w:val="single"/>
        </w:rPr>
        <w:t>Section 7.6</w:t>
      </w:r>
      <w:r>
        <w:rPr>
          <w:rFonts w:ascii="Times New Roman" w:hAnsi="Times New Roman"/>
          <w:sz w:val="20"/>
        </w:rPr>
        <w:t xml:space="preserve"> shall not be available to the Company if such cash proceeds in an amount not less than the Concurrent Investment Amount would have been received by the Company before or substantially simultaneously with the Closing, but for the breach or failure to perform by one or more Concurrent Investors that is a holder of Company Capital Stock or Company SAFEs as of the date hereof or an Affiliate thereof of the agreements or covenants required to be performed or complied with by such Concurrent Investor under the applicable Concurrent Investment Agreement. </w:t>
      </w:r>
    </w:p>
    <w:p>
      <w:pPr>
        <w:pStyle w:val="TextBody"/>
        <w:bidi w:val="0"/>
        <w:spacing w:before="240" w:after="0"/>
        <w:jc w:val="left"/>
        <w:rPr>
          <w:rFonts w:ascii="Times New Roman" w:hAnsi="Times New Roman"/>
          <w:sz w:val="20"/>
        </w:rPr>
      </w:pPr>
      <w:bookmarkStart w:id="300" w:name="annxa770053_102"/>
      <w:bookmarkEnd w:id="300"/>
      <w:r>
        <w:rPr>
          <w:rFonts w:ascii="Times New Roman" w:hAnsi="Times New Roman"/>
          <w:sz w:val="20"/>
        </w:rPr>
        <w:t xml:space="preserve">Section 8. </w:t>
      </w:r>
      <w:r>
        <w:rPr>
          <w:rFonts w:ascii="Times New Roman" w:hAnsi="Times New Roman"/>
          <w:sz w:val="20"/>
          <w:u w:val="single"/>
        </w:rPr>
        <w:t>Additional Conditions Precedent to Obligations of Aspen and Merger Sub</w:t>
      </w:r>
      <w:r>
        <w:rPr>
          <w:rFonts w:ascii="Times New Roman" w:hAnsi="Times New Roman"/>
          <w:sz w:val="20"/>
        </w:rPr>
        <w:t xml:space="preserve">. The obligations of Aspen and Merger Sub to effect the Merger and otherwise consummate the transactions to be consummated at the Closing are subject to the satisfaction or the written waiver by Aspen, at or prior to the Closing, of each of the following conditions: </w:t>
      </w:r>
    </w:p>
    <w:p>
      <w:pPr>
        <w:pStyle w:val="TextBody"/>
        <w:bidi w:val="0"/>
        <w:spacing w:before="240" w:after="0"/>
        <w:jc w:val="left"/>
        <w:rPr>
          <w:rFonts w:ascii="Times New Roman" w:hAnsi="Times New Roman"/>
          <w:sz w:val="20"/>
        </w:rPr>
      </w:pPr>
      <w:bookmarkStart w:id="301" w:name="annxa770053_103"/>
      <w:bookmarkEnd w:id="301"/>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hAnsi="Times New Roman"/>
          <w:i/>
          <w:sz w:val="20"/>
        </w:rPr>
        <w:t>de minimis</w:t>
      </w:r>
      <w:r>
        <w:rPr>
          <w:rFonts w:ascii="Times New Roman" w:hAnsi="Times New Roman"/>
          <w:sz w:val="20"/>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bookmarkStart w:id="302" w:name="annxa770053_104"/>
      <w:bookmarkEnd w:id="302"/>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not have breached or failed to perform in any material respect any agreements or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bookmarkStart w:id="303" w:name="annxa770053_105"/>
      <w:bookmarkEnd w:id="303"/>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Aspen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and </w:t>
      </w:r>
      <w:r>
        <w:rPr>
          <w:rFonts w:ascii="Times New Roman" w:hAnsi="Times New Roman"/>
          <w:sz w:val="20"/>
          <w:u w:val="single"/>
        </w:rPr>
        <w:t>8.5</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6.16</w:t>
      </w:r>
      <w:r>
        <w:rPr>
          <w:rFonts w:ascii="Times New Roman" w:hAnsi="Times New Roman"/>
          <w:sz w:val="20"/>
        </w:rPr>
        <w:t xml:space="preserve"> is true and accurate in all respects as of the Closing Date; and </w:t>
      </w:r>
    </w:p>
    <w:p>
      <w:pPr>
        <w:pStyle w:val="TextBody"/>
        <w:bidi w:val="0"/>
        <w:spacing w:before="240" w:after="0"/>
        <w:jc w:val="left"/>
        <w:rPr>
          <w:rFonts w:ascii="Times New Roman" w:hAnsi="Times New Roman"/>
          <w:sz w:val="20"/>
        </w:rPr>
      </w:pPr>
      <w:r>
        <w:rPr>
          <w:rFonts w:ascii="Times New Roman" w:hAnsi="Times New Roman"/>
          <w:sz w:val="20"/>
        </w:rPr>
        <w:t xml:space="preserve">(b) the Allocation Certificate. </w:t>
      </w:r>
    </w:p>
    <w:p>
      <w:pPr>
        <w:pStyle w:val="TextBody"/>
        <w:bidi w:val="0"/>
        <w:spacing w:before="240" w:after="0"/>
        <w:jc w:val="left"/>
        <w:rPr>
          <w:rFonts w:ascii="Times New Roman" w:hAnsi="Times New Roman"/>
          <w:sz w:val="20"/>
        </w:rPr>
      </w:pPr>
      <w:bookmarkStart w:id="304" w:name="annxa770053_106"/>
      <w:bookmarkEnd w:id="304"/>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that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305" w:name="annxa770053_107"/>
      <w:bookmarkEnd w:id="305"/>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shall be in full force and effect. </w:t>
      </w:r>
    </w:p>
    <w:p>
      <w:pPr>
        <w:pStyle w:val="TextBody"/>
        <w:bidi w:val="0"/>
        <w:spacing w:before="240" w:after="0"/>
        <w:jc w:val="left"/>
        <w:rPr>
          <w:rFonts w:ascii="Times New Roman" w:hAnsi="Times New Roman"/>
          <w:sz w:val="20"/>
        </w:rPr>
      </w:pPr>
      <w:bookmarkStart w:id="306" w:name="annxa770053_108"/>
      <w:bookmarkEnd w:id="306"/>
      <w:r>
        <w:rPr>
          <w:rFonts w:ascii="Times New Roman" w:hAnsi="Times New Roman"/>
          <w:sz w:val="20"/>
        </w:rPr>
        <w:t xml:space="preserve">8.6 </w:t>
      </w:r>
      <w:r>
        <w:rPr>
          <w:rFonts w:ascii="Times New Roman" w:hAnsi="Times New Roman"/>
          <w:sz w:val="20"/>
          <w:u w:val="single"/>
        </w:rPr>
        <w:t>FIRPTA Certificate</w:t>
      </w:r>
      <w:r>
        <w:rPr>
          <w:rFonts w:ascii="Times New Roman" w:hAnsi="Times New Roman"/>
          <w:sz w:val="20"/>
        </w:rPr>
        <w:t xml:space="preserve">. Aspen shall have received from the Company a certificate and accompanying notice to the IRS (together with written authorization for Aspen to deliver such notice to the Internal Revenue Service on behalf of the Company after the Closing), in each case duly executed by an executive officer of the Company and meeting the requirements of Treasury Regulations Section 1.1445-2(c)(3) and in accordance with the requirements of Treasury Regulations Section 1.897-2(h) and in substantially the form attached hereto as </w:t>
      </w:r>
      <w:r>
        <w:rPr>
          <w:rFonts w:ascii="Times New Roman" w:hAnsi="Times New Roman"/>
          <w:b/>
          <w:sz w:val="20"/>
          <w:u w:val="single"/>
        </w:rPr>
        <w:t>Exhibit 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07" w:name="annxa770053_109"/>
      <w:bookmarkEnd w:id="307"/>
      <w:r>
        <w:rPr>
          <w:rFonts w:ascii="Times New Roman" w:hAnsi="Times New Roman"/>
          <w:sz w:val="20"/>
        </w:rPr>
        <w:t xml:space="preserve">8.7 </w:t>
      </w:r>
      <w:r>
        <w:rPr>
          <w:rFonts w:ascii="Times New Roman" w:hAnsi="Times New Roman"/>
          <w:sz w:val="20"/>
          <w:u w:val="single"/>
        </w:rPr>
        <w:t>Company Conversions</w:t>
      </w:r>
      <w:r>
        <w:rPr>
          <w:rFonts w:ascii="Times New Roman" w:hAnsi="Times New Roman"/>
          <w:sz w:val="20"/>
        </w:rPr>
        <w:t xml:space="preserve">. The Company SAFEs Conversion and the Company Preferred Stock Conversion shall have been duly effected. </w:t>
      </w:r>
    </w:p>
    <w:p>
      <w:pPr>
        <w:pStyle w:val="TextBody"/>
        <w:bidi w:val="0"/>
        <w:spacing w:before="240" w:after="0"/>
        <w:jc w:val="left"/>
        <w:rPr>
          <w:rFonts w:ascii="Times New Roman" w:hAnsi="Times New Roman"/>
          <w:sz w:val="20"/>
        </w:rPr>
      </w:pPr>
      <w:bookmarkStart w:id="308" w:name="annxa770053_110"/>
      <w:bookmarkEnd w:id="308"/>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240" w:after="0"/>
        <w:jc w:val="left"/>
        <w:rPr>
          <w:rFonts w:ascii="Times New Roman" w:hAnsi="Times New Roman"/>
          <w:sz w:val="20"/>
        </w:rPr>
      </w:pPr>
      <w:bookmarkStart w:id="309" w:name="annxa770053_111"/>
      <w:bookmarkEnd w:id="309"/>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Each of the Aspen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Aspen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hAnsi="Times New Roman"/>
          <w:i/>
          <w:sz w:val="20"/>
        </w:rPr>
        <w:t>de minimis</w:t>
      </w:r>
      <w:r>
        <w:rPr>
          <w:rFonts w:ascii="Times New Roman" w:hAnsi="Times New Roman"/>
          <w:sz w:val="20"/>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Aspen and Merger Sub contained in this Agreement (other than the Aspen Fundamental Representations and the Aspen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an Aspen Material Adverse Effect (without giving effect to any references therein to any Aspen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Aspen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bookmarkStart w:id="310" w:name="annxa770053_112"/>
      <w:bookmarkEnd w:id="310"/>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Aspen and Merger Sub shall not have breached or failed to perform in any material respect any agreements or covenants required to be performed or complied with by either of them under this Agreement at or prior to the Effective Time. </w:t>
      </w:r>
    </w:p>
    <w:p>
      <w:pPr>
        <w:pStyle w:val="TextBody"/>
        <w:bidi w:val="0"/>
        <w:spacing w:before="240" w:after="0"/>
        <w:jc w:val="left"/>
        <w:rPr>
          <w:rFonts w:ascii="Times New Roman" w:hAnsi="Times New Roman"/>
          <w:sz w:val="20"/>
        </w:rPr>
      </w:pPr>
      <w:bookmarkStart w:id="311" w:name="annxa770053_113"/>
      <w:bookmarkEnd w:id="311"/>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an executive officer of Aspen certifying that the conditions set forth in </w:t>
      </w:r>
      <w:r>
        <w:rPr>
          <w:rFonts w:ascii="Times New Roman" w:hAnsi="Times New Roman"/>
          <w:sz w:val="20"/>
          <w:u w:val="single"/>
        </w:rPr>
        <w:t>Sections 9.1</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Aspen who are not to continue as officers or directors of Aspen pursuant to </w:t>
      </w:r>
      <w:r>
        <w:rPr>
          <w:rFonts w:ascii="Times New Roman" w:hAnsi="Times New Roman"/>
          <w:sz w:val="20"/>
          <w:u w:val="single"/>
        </w:rPr>
        <w:t>Section 6.13</w:t>
      </w:r>
      <w:r>
        <w:rPr>
          <w:rFonts w:ascii="Times New Roman" w:hAnsi="Times New Roman"/>
          <w:sz w:val="20"/>
        </w:rPr>
        <w:t xml:space="preserve"> 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Aspen Net Cash Schedule. </w:t>
      </w:r>
    </w:p>
    <w:p>
      <w:pPr>
        <w:pStyle w:val="TextBody"/>
        <w:bidi w:val="0"/>
        <w:spacing w:before="240" w:after="0"/>
        <w:jc w:val="left"/>
        <w:rPr>
          <w:rFonts w:ascii="Times New Roman" w:hAnsi="Times New Roman"/>
          <w:sz w:val="20"/>
        </w:rPr>
      </w:pPr>
      <w:bookmarkStart w:id="312" w:name="annxa770053_114"/>
      <w:bookmarkEnd w:id="312"/>
      <w:r>
        <w:rPr>
          <w:rFonts w:ascii="Times New Roman" w:hAnsi="Times New Roman"/>
          <w:sz w:val="20"/>
        </w:rPr>
        <w:t xml:space="preserve">9.4 </w:t>
      </w:r>
      <w:r>
        <w:rPr>
          <w:rFonts w:ascii="Times New Roman" w:hAnsi="Times New Roman"/>
          <w:sz w:val="20"/>
          <w:u w:val="single"/>
        </w:rPr>
        <w:t>No Aspen Material Adverse Effect</w:t>
      </w:r>
      <w:r>
        <w:rPr>
          <w:rFonts w:ascii="Times New Roman" w:hAnsi="Times New Roman"/>
          <w:sz w:val="20"/>
        </w:rPr>
        <w:t xml:space="preserve">. Since the date of this Agreement, there shall not have occurred any Aspen Material Adverse Effect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Aspen Net Cash</w:t>
      </w:r>
      <w:r>
        <w:rPr>
          <w:rFonts w:ascii="Times New Roman" w:hAnsi="Times New Roman"/>
          <w:sz w:val="20"/>
        </w:rPr>
        <w:t xml:space="preserve">. Aspen Net Cash shall not be less than $50,000,000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Nasdaq Listing</w:t>
      </w:r>
      <w:r>
        <w:rPr>
          <w:rFonts w:ascii="Times New Roman" w:hAnsi="Times New Roman"/>
          <w:sz w:val="20"/>
        </w:rPr>
        <w:t xml:space="preserve">. The Aspen Common Stock shall be listed on Nasdaq as of immediately prior to the Closing; </w:t>
      </w:r>
      <w:r>
        <w:rPr>
          <w:rFonts w:ascii="Times New Roman" w:hAnsi="Times New Roman"/>
          <w:sz w:val="20"/>
          <w:u w:val="single"/>
        </w:rPr>
        <w:t>provided</w:t>
      </w:r>
      <w:r>
        <w:rPr>
          <w:rFonts w:ascii="Times New Roman" w:hAnsi="Times New Roman"/>
          <w:sz w:val="20"/>
        </w:rPr>
        <w:t xml:space="preserve">, that the condition in this </w:t>
      </w:r>
      <w:r>
        <w:rPr>
          <w:rFonts w:ascii="Times New Roman" w:hAnsi="Times New Roman"/>
          <w:sz w:val="20"/>
          <w:u w:val="single"/>
        </w:rPr>
        <w:t>Section 9.6</w:t>
      </w:r>
      <w:r>
        <w:rPr>
          <w:rFonts w:ascii="Times New Roman" w:hAnsi="Times New Roman"/>
          <w:sz w:val="20"/>
        </w:rPr>
        <w:t xml:space="preserve"> shall not be available to the Company if the Company has refused or unreasonably delayed, withheld or conditioned its consent to actions by Aspen to maintain or regain, as applicable, the listing of Aspen Common Stock on Nasdaq. </w:t>
      </w:r>
    </w:p>
    <w:p>
      <w:pPr>
        <w:pStyle w:val="TextBody"/>
        <w:bidi w:val="0"/>
        <w:spacing w:before="240" w:after="0"/>
        <w:jc w:val="left"/>
        <w:rPr>
          <w:rFonts w:ascii="Times New Roman" w:hAnsi="Times New Roman"/>
          <w:sz w:val="20"/>
        </w:rPr>
      </w:pPr>
      <w:bookmarkStart w:id="313" w:name="annxa770053_115"/>
      <w:bookmarkEnd w:id="313"/>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14" w:name="annxa770053_116"/>
      <w:bookmarkEnd w:id="314"/>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Effective Time (whether before or after adoption of this Agreement by the Company’s stockholders and whether before or after approval of the Aspen Stockholder Matters by Aspen’s stockholders, unless otherwise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Aspen and the Company; </w:t>
      </w:r>
    </w:p>
    <w:p>
      <w:pPr>
        <w:pStyle w:val="TextBody"/>
        <w:bidi w:val="0"/>
        <w:spacing w:before="240" w:after="0"/>
        <w:jc w:val="left"/>
        <w:rPr>
          <w:rFonts w:ascii="Times New Roman" w:hAnsi="Times New Roman"/>
          <w:sz w:val="20"/>
        </w:rPr>
      </w:pPr>
      <w:r>
        <w:rPr>
          <w:rFonts w:ascii="Times New Roman" w:hAnsi="Times New Roman"/>
          <w:sz w:val="20"/>
        </w:rPr>
        <w:t>(b) by either Aspen or the Company if the Merger shall not have been consummated by October 31, 2024 (the “</w:t>
      </w:r>
      <w:r>
        <w:rPr>
          <w:rFonts w:ascii="Times New Roman" w:hAnsi="Times New Roman"/>
          <w:b/>
          <w:sz w:val="20"/>
        </w:rPr>
        <w:t>End</w:t>
      </w:r>
      <w:r>
        <w:rPr>
          <w:rFonts w:ascii="Times New Roman" w:hAnsi="Times New Roman"/>
          <w:sz w:val="20"/>
        </w:rPr>
        <w:t> </w:t>
      </w:r>
      <w:r>
        <w:rPr>
          <w:rFonts w:ascii="Times New Roman" w:hAnsi="Times New Roman"/>
          <w:b/>
          <w:sz w:val="20"/>
        </w:rPr>
        <w:t>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the Company or Aspen if such Party’s (or in the case of Aspen, Merger Sub) action or failure to act has been a principal cause of the failure of the Merger to occur on or before the End Date and such action or failure to act constitutes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Aspen or the Company if a court or other Governmental Authority of competent jurisdiction shall have issued a final and nonappealable Order, or shall have taken any other action,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Aspen if the Required Company Stockholder Vote shall not have been obtained within four (4) Business Days after the Registration Statement has become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approval by irrevocable written consent from Company Stockholders representing no less than 88% of the voting power of the Company has been obtained, Aspen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Aspen or the Company if (i) the Aspen Stockholder Meeting (including any adjournments and postponements thereof) shall have been held and completed and Aspen’s stockholders shall have taken a final vote on the Specified Aspen Stockholder Matters and (ii) the Specified Aspen Stockholder Matters shall not have been approved at the Aspen Stockholder Meeting (or at any adjournment or postponement thereof) by the Required Aspen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Specified Aspen Stockholder Matters by the Required Aspen Stockholder Vote) if an Aspen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upon a breach of any representation, warranty, covenant or agreement set forth in this Agreement by Aspen or Merger Sub or if any representation or warranty of Aspen or Merger Sub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 further</w:t>
      </w:r>
      <w:r>
        <w:rPr>
          <w:rFonts w:ascii="Times New Roman" w:hAnsi="Times New Roman"/>
          <w:sz w:val="20"/>
        </w:rPr>
        <w:t xml:space="preserve">, that if such inaccuracy in Aspen’s or Merger Sub’s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or breach by Aspen or Merger Sub of any representation, warranty, covenant or agreement is curable by Aspen or Merger Sub, then this Agreement shall not terminate pursuant to this </w:t>
      </w:r>
      <w:r>
        <w:rPr>
          <w:rFonts w:ascii="Times New Roman" w:hAnsi="Times New Roman"/>
          <w:sz w:val="20"/>
          <w:u w:val="single"/>
        </w:rPr>
        <w:t>Section 10.1(g)</w:t>
      </w:r>
      <w:r>
        <w:rPr>
          <w:rFonts w:ascii="Times New Roman" w:hAnsi="Times New Roman"/>
          <w:sz w:val="20"/>
        </w:rPr>
        <w:t xml:space="preserve"> as a result of such particular breach or inaccuracy until the earlier of (i) the expiration of a thirty-(30) day period commencing upon delivery of written notice from the Company to Aspen or Merger Sub of such breach or inaccuracy and its intention to terminate pursuant to this </w:t>
      </w:r>
      <w:r>
        <w:rPr>
          <w:rFonts w:ascii="Times New Roman" w:hAnsi="Times New Roman"/>
          <w:sz w:val="20"/>
          <w:u w:val="single"/>
        </w:rPr>
        <w:t>Section 10.1(g)</w:t>
      </w:r>
      <w:r>
        <w:rPr>
          <w:rFonts w:ascii="Times New Roman" w:hAnsi="Times New Roman"/>
          <w:sz w:val="20"/>
        </w:rPr>
        <w:t xml:space="preserve"> and (ii) Aspen or Merger Sub (as applicable) ceasing to exercise commercially reasonable efforts to cure such breach following delivery of written notice from the Company to Aspen or Merger Sub of such breach or inaccuracy, its intention to terminate pursuant to this </w:t>
      </w:r>
      <w:r>
        <w:rPr>
          <w:rFonts w:ascii="Times New Roman" w:hAnsi="Times New Roman"/>
          <w:sz w:val="20"/>
          <w:u w:val="single"/>
        </w:rPr>
        <w:t>Section 10.1(g)</w:t>
      </w:r>
      <w:r>
        <w:rPr>
          <w:rFonts w:ascii="Times New Roman" w:hAnsi="Times New Roman"/>
          <w:sz w:val="20"/>
        </w:rPr>
        <w:t xml:space="preserve">, and its enumeration of all of the specific commercially reasonable efforts that it believes ought to be taken to cure such breach (it being understood that this Agreement shall not terminate pursuant to this </w:t>
      </w:r>
      <w:r>
        <w:rPr>
          <w:rFonts w:ascii="Times New Roman" w:hAnsi="Times New Roman"/>
          <w:sz w:val="20"/>
          <w:u w:val="single"/>
        </w:rPr>
        <w:t>Section 10.1(g)</w:t>
      </w:r>
      <w:r>
        <w:rPr>
          <w:rFonts w:ascii="Times New Roman" w:hAnsi="Times New Roman"/>
          <w:sz w:val="20"/>
        </w:rPr>
        <w:t xml:space="preserve"> as a result of such particular breach or inaccuracy if such breach by Aspen or Merger Sub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(h) by Aspen,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Aspen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of any representation, warranty, covenant or agreement is curable by the Company then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until the earlier of (i) the expiration of a thirty-(30) day period commencing upon delivery of written notice from Aspen to the Company of such breach or inaccuracy and its intention to terminate pursuant to this </w:t>
      </w:r>
      <w:r>
        <w:rPr>
          <w:rFonts w:ascii="Times New Roman" w:hAnsi="Times New Roman"/>
          <w:sz w:val="20"/>
          <w:u w:val="single"/>
        </w:rPr>
        <w:t>Section 10.1(h)</w:t>
      </w:r>
      <w:r>
        <w:rPr>
          <w:rFonts w:ascii="Times New Roman" w:hAnsi="Times New Roman"/>
          <w:sz w:val="20"/>
        </w:rPr>
        <w:t xml:space="preserve"> and (ii) the Company ceasing to exercise commercially reasonable efforts to cure such breach following delivery of written notice from Aspen to the Company of such breach or inaccuracy, its intention to terminate pursuant to this </w:t>
      </w:r>
      <w:r>
        <w:rPr>
          <w:rFonts w:ascii="Times New Roman" w:hAnsi="Times New Roman"/>
          <w:sz w:val="20"/>
          <w:u w:val="single"/>
        </w:rPr>
        <w:t>Section 10.1(h)</w:t>
      </w:r>
      <w:r>
        <w:rPr>
          <w:rFonts w:ascii="Times New Roman" w:hAnsi="Times New Roman"/>
          <w:sz w:val="20"/>
        </w:rPr>
        <w:t xml:space="preserve">, and its enumeration of all of the specific commercially reasonable efforts that it believes ought to be taken to cure such breach (it being understood that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Aspen (at any time prior to the approval of the Specified Aspen Stockholder Matters by the Required Aspen Stockholder Vote) and following compliance with all of the requirements set forth in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upon the Aspen Board authorizing Aspen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Aspen shall concurrently pay to the Company the Company Termination Fee in accordance with </w:t>
      </w:r>
      <w:r>
        <w:rPr>
          <w:rFonts w:ascii="Times New Roman" w:hAnsi="Times New Roman"/>
          <w:sz w:val="20"/>
          <w:u w:val="single"/>
        </w:rPr>
        <w:t>Section 10.3(c)</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(j) by Aspen (at any time prior to the Required Company Stockholder Vote being obtained)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315" w:name="annxa770053_117"/>
      <w:bookmarkEnd w:id="315"/>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bookmarkStart w:id="316" w:name="annxa770053_118"/>
      <w:bookmarkEnd w:id="316"/>
      <w:r>
        <w:rPr>
          <w:rFonts w:ascii="Times New Roman" w:hAnsi="Times New Roman"/>
          <w:sz w:val="20"/>
        </w:rPr>
        <w:t xml:space="preserve">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6.10</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(b) If (i) at any time after the date of this Agreement and prior to the Aspen Stockholder Meeting, an Acquisition Proposal with respect to Aspen shall have been publicly announced or disclosed or otherwise made known to the Aspen Board (and shall not have been withdrawn), (ii) this Agreement is terminated by Aspen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10.1(g)</w:t>
      </w:r>
      <w:r>
        <w:rPr>
          <w:rFonts w:ascii="Times New Roman" w:hAnsi="Times New Roman"/>
          <w:sz w:val="20"/>
        </w:rPr>
        <w:t>, and (iii) within twelve (12) months after the date of such termination, Aspen enters into a definitive agreement with respect to any Acquisition Transaction or consummates any Acquisition Transaction (in each event with all references to 20% in the definition of Acquisition Transaction being treated as references to 50% for these purposes), then Aspen shall pay or cause to be paid to the Company, within ten (10) Business Days after such termination (or, if applicable, upon such entry into a definitive agreement or consummation of such Acquisition Transaction), a nonrefundable fee in an amount equal to $2,712,500 (the “</w:t>
      </w:r>
      <w:r>
        <w:rPr>
          <w:rFonts w:ascii="Times New Roman" w:hAnsi="Times New Roman"/>
          <w:b/>
          <w:sz w:val="20"/>
        </w:rPr>
        <w:t>Aspen Termination Fee</w:t>
      </w:r>
      <w:r>
        <w:rPr>
          <w:rFonts w:ascii="Times New Roman" w:hAnsi="Times New Roman"/>
          <w:sz w:val="20"/>
        </w:rPr>
        <w:t xml:space="preserve">”). For the avoidance of doubt, a liquidation or dissolution of Aspen shall in no event be deemed to constitute an Acquisition Transaction for purposes of this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this Agreement is terminated (i) by the Company or Aspen pursuant to </w:t>
      </w:r>
      <w:r>
        <w:rPr>
          <w:rFonts w:ascii="Times New Roman" w:hAnsi="Times New Roman"/>
          <w:sz w:val="20"/>
          <w:u w:val="single"/>
        </w:rPr>
        <w:t>Section 10.1(b)</w:t>
      </w:r>
      <w:r>
        <w:rPr>
          <w:rFonts w:ascii="Times New Roman" w:hAnsi="Times New Roman"/>
          <w:sz w:val="20"/>
        </w:rPr>
        <w:t xml:space="preserve"> (when at the time this Agreement is terminated, the Company had the right to terminate this Agreement pursuant to </w:t>
      </w:r>
      <w:r>
        <w:rPr>
          <w:rFonts w:ascii="Times New Roman" w:hAnsi="Times New Roman"/>
          <w:sz w:val="20"/>
          <w:u w:val="single"/>
        </w:rPr>
        <w:t>Section 10.1(f))</w:t>
      </w:r>
      <w:r>
        <w:rPr>
          <w:rFonts w:ascii="Times New Roman" w:hAnsi="Times New Roman"/>
          <w:sz w:val="20"/>
        </w:rPr>
        <w:t xml:space="preserve"> or (ii) by the Company pursuant to </w:t>
      </w:r>
      <w:r>
        <w:rPr>
          <w:rFonts w:ascii="Times New Roman" w:hAnsi="Times New Roman"/>
          <w:sz w:val="20"/>
          <w:u w:val="single"/>
        </w:rPr>
        <w:t>Section 10.1(f)</w:t>
      </w:r>
      <w:r>
        <w:rPr>
          <w:rFonts w:ascii="Times New Roman" w:hAnsi="Times New Roman"/>
          <w:sz w:val="20"/>
        </w:rPr>
        <w:t xml:space="preserve">, then Aspen shall pay or cause to be paid to the Company, concurrent with such termination, the Aspen Termination Fee or (ii) by Aspen pursuant to </w:t>
      </w:r>
      <w:r>
        <w:rPr>
          <w:rFonts w:ascii="Times New Roman" w:hAnsi="Times New Roman"/>
          <w:sz w:val="20"/>
          <w:u w:val="single"/>
        </w:rPr>
        <w:t>Section 10.1(i)</w:t>
      </w:r>
      <w:r>
        <w:rPr>
          <w:rFonts w:ascii="Times New Roman" w:hAnsi="Times New Roman"/>
          <w:sz w:val="20"/>
        </w:rPr>
        <w:t xml:space="preserve">, then Aspen shall pay or cause to be paid to the Company, concurrent with such termination, the Aspen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10.1(e)</w:t>
      </w:r>
      <w:r>
        <w:rPr>
          <w:rFonts w:ascii="Times New Roman" w:hAnsi="Times New Roman"/>
          <w:sz w:val="20"/>
        </w:rPr>
        <w:t xml:space="preserve">, Aspen shall reimburse or cause to be reimbursed to the Company for all reasonable out-of-pocket fees and expenses incurred by the Company in connection with this Agreement and the Contemplated Transactions, up to a maximum of $650,000, by wire transfer of same-day funds within ten (10) Business Days following the date on which the Company submits to Aspen true and correct copies of reasonable documentation supporting such expenses. For the avoidance of doubt, the expense reimbursement pursuant to this </w:t>
      </w:r>
      <w:r>
        <w:rPr>
          <w:rFonts w:ascii="Times New Roman" w:hAnsi="Times New Roman"/>
          <w:sz w:val="20"/>
          <w:u w:val="single"/>
        </w:rPr>
        <w:t>Section 10.3(d)</w:t>
      </w:r>
      <w:r>
        <w:rPr>
          <w:rFonts w:ascii="Times New Roman" w:hAnsi="Times New Roman"/>
          <w:sz w:val="20"/>
        </w:rPr>
        <w:t xml:space="preserve">, to the extent paid, shall be credited against any Aspen Termination Fee that becomes payable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(e) If (i) at any time after the date of this Agreement and prior to the receipt of the Required Company Stockholder Vote, an Acquisition Proposal with respect to the Company shall have been publicly announced or disclosed or otherwise made known to the Company Board (and shall not have been withdrawn), (ii) this Agreement is terminated by Aspen pursuant to </w:t>
      </w:r>
      <w:r>
        <w:rPr>
          <w:rFonts w:ascii="Times New Roman" w:hAnsi="Times New Roman"/>
          <w:sz w:val="20"/>
          <w:u w:val="single"/>
        </w:rPr>
        <w:t>Section 10.1(h)</w:t>
      </w:r>
      <w:r>
        <w:rPr>
          <w:rFonts w:ascii="Times New Roman" w:hAnsi="Times New Roman"/>
          <w:sz w:val="20"/>
        </w:rPr>
        <w:t>, and (iii) within twelve (12) months after the date of such termination, the Company enters into a definitive agreement with respect to any Acquisition Transaction or consummates any Acquisition Transaction (in each event with all references to 20% in the definition of Acquisition Transaction being treated as references to 50% for these purposes), then the Company shall pay or cause to be paid to Aspen, within ten (10) Business Days after such termination (or, if applicable, upon such entry into a definitive agreement or consummation of such Acquisition Transaction), a nonrefundable fee in an amount equal to $4,900,000 (the “</w:t>
      </w:r>
      <w:r>
        <w:rPr>
          <w:rFonts w:ascii="Times New Roman" w:hAnsi="Times New Roman"/>
          <w:b/>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If this Agreement is terminated (i) by Aspen or the Company pursuant to </w:t>
      </w:r>
      <w:r>
        <w:rPr>
          <w:rFonts w:ascii="Times New Roman" w:hAnsi="Times New Roman"/>
          <w:sz w:val="20"/>
          <w:u w:val="single"/>
        </w:rPr>
        <w:t>Section 10.1(b)</w:t>
      </w:r>
      <w:r>
        <w:rPr>
          <w:rFonts w:ascii="Times New Roman" w:hAnsi="Times New Roman"/>
          <w:sz w:val="20"/>
        </w:rPr>
        <w:t xml:space="preserve"> (when at the time this Agreement is terminated, Aspen had the right to terminate this Agreement pursuant to </w:t>
      </w:r>
      <w:r>
        <w:rPr>
          <w:rFonts w:ascii="Times New Roman" w:hAnsi="Times New Roman"/>
          <w:sz w:val="20"/>
          <w:u w:val="single"/>
        </w:rPr>
        <w:t>Section 10.1(j))</w:t>
      </w:r>
      <w:r>
        <w:rPr>
          <w:rFonts w:ascii="Times New Roman" w:hAnsi="Times New Roman"/>
          <w:sz w:val="20"/>
        </w:rPr>
        <w:t xml:space="preserve">, (ii) by Aspen pursuant to </w:t>
      </w:r>
      <w:r>
        <w:rPr>
          <w:rFonts w:ascii="Times New Roman" w:hAnsi="Times New Roman"/>
          <w:sz w:val="20"/>
          <w:u w:val="single"/>
        </w:rPr>
        <w:t>Section 10.1(d)</w:t>
      </w:r>
      <w:r>
        <w:rPr>
          <w:rFonts w:ascii="Times New Roman" w:hAnsi="Times New Roman"/>
          <w:sz w:val="20"/>
        </w:rPr>
        <w:t xml:space="preserve"> or (iii) by Aspen pursuant to </w:t>
      </w:r>
      <w:r>
        <w:rPr>
          <w:rFonts w:ascii="Times New Roman" w:hAnsi="Times New Roman"/>
          <w:sz w:val="20"/>
          <w:u w:val="single"/>
        </w:rPr>
        <w:t>Section 10.1(j)</w:t>
      </w:r>
      <w:r>
        <w:rPr>
          <w:rFonts w:ascii="Times New Roman" w:hAnsi="Times New Roman"/>
          <w:sz w:val="20"/>
        </w:rPr>
        <w:t xml:space="preserve">, then the Company shall pay or cause to be paid to Aspen, by wire transfer of same-day funds within ten (10) Business Days after such termination, the Company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(g) If either Party fails to pay when due any amount payable by it under this </w:t>
      </w:r>
      <w:r>
        <w:rPr>
          <w:rFonts w:ascii="Times New Roman" w:hAnsi="Times New Roman"/>
          <w:sz w:val="20"/>
          <w:u w:val="single"/>
        </w:rPr>
        <w:t>Section 10.3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The Wall Street Journal) in effect on the date such overdue amount was originally required to be paid plus three (3) percent. </w:t>
      </w:r>
    </w:p>
    <w:p>
      <w:pPr>
        <w:pStyle w:val="TextBody"/>
        <w:bidi w:val="0"/>
        <w:spacing w:before="240" w:after="0"/>
        <w:jc w:val="left"/>
        <w:rPr>
          <w:rFonts w:ascii="Times New Roman" w:hAnsi="Times New Roman"/>
          <w:sz w:val="20"/>
        </w:rPr>
      </w:pPr>
      <w:r>
        <w:rPr>
          <w:rFonts w:ascii="Times New Roman" w:hAnsi="Times New Roman"/>
          <w:sz w:val="20"/>
        </w:rPr>
        <w:t xml:space="preserve">(h)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Aspen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w:t>
      </w:r>
      <w:r>
        <w:rPr>
          <w:rFonts w:ascii="Times New Roman" w:hAnsi="Times New Roman"/>
          <w:sz w:val="20"/>
          <w:u w:val="single"/>
        </w:rPr>
        <w:t xml:space="preserve"> 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10.3(h)</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For the avoidance of doubt, nothing in this </w:t>
      </w:r>
      <w:r>
        <w:rPr>
          <w:rFonts w:ascii="Times New Roman" w:hAnsi="Times New Roman"/>
          <w:sz w:val="20"/>
          <w:u w:val="single"/>
        </w:rPr>
        <w:t>Section 10.3(h)</w:t>
      </w:r>
      <w:r>
        <w:rPr>
          <w:rFonts w:ascii="Times New Roman" w:hAnsi="Times New Roman"/>
          <w:sz w:val="20"/>
        </w:rPr>
        <w:t xml:space="preserve"> shall limit the remedies of the Parties under the Confidentiality Agreement. Notwithstanding the foregoing or anything else to the contrary in this Agreement, nothing herein shall affect the rights of Aspen to seek full recovery and remedy, including specific performance, for any willful and material breach of the Company Stockholder Support Agreements. </w:t>
      </w:r>
    </w:p>
    <w:p>
      <w:pPr>
        <w:pStyle w:val="TextBody"/>
        <w:bidi w:val="0"/>
        <w:spacing w:before="240" w:after="0"/>
        <w:jc w:val="left"/>
        <w:rPr>
          <w:rFonts w:ascii="Times New Roman" w:hAnsi="Times New Roman"/>
          <w:sz w:val="20"/>
        </w:rPr>
      </w:pPr>
      <w:bookmarkStart w:id="317" w:name="annxa770053_119"/>
      <w:bookmarkEnd w:id="317"/>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18" w:name="annxa770053_120"/>
      <w:bookmarkEnd w:id="318"/>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Aspen and Merger Sub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0"/>
          <w:u w:val="single"/>
        </w:rPr>
        <w:t>Section 11</w:t>
      </w:r>
      <w:r>
        <w:rPr>
          <w:rFonts w:ascii="Times New Roman" w:hAnsi="Times New Roman"/>
          <w:sz w:val="20"/>
        </w:rPr>
        <w:t xml:space="preserve"> shall survive the Effective Time. </w:t>
      </w:r>
    </w:p>
    <w:p>
      <w:pPr>
        <w:pStyle w:val="TextBody"/>
        <w:bidi w:val="0"/>
        <w:spacing w:before="240" w:after="0"/>
        <w:jc w:val="left"/>
        <w:rPr>
          <w:rFonts w:ascii="Times New Roman" w:hAnsi="Times New Roman"/>
          <w:sz w:val="20"/>
        </w:rPr>
      </w:pPr>
      <w:bookmarkStart w:id="319" w:name="annxa770053_121"/>
      <w:bookmarkEnd w:id="319"/>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 and Aspen at any time (whether before or after the adoption and approval of this Agreement by the Company’s stockholders or before or after obtaining the Required Aspen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Aspen. </w:t>
      </w:r>
    </w:p>
    <w:p>
      <w:pPr>
        <w:pStyle w:val="TextBody"/>
        <w:bidi w:val="0"/>
        <w:spacing w:before="240" w:after="0"/>
        <w:jc w:val="left"/>
        <w:rPr>
          <w:rFonts w:ascii="Times New Roman" w:hAnsi="Times New Roman"/>
          <w:sz w:val="20"/>
        </w:rPr>
      </w:pPr>
      <w:bookmarkStart w:id="320" w:name="annxa770053_122"/>
      <w:bookmarkEnd w:id="320"/>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bookmarkStart w:id="321" w:name="annxa770053_123"/>
      <w:bookmarkEnd w:id="321"/>
      <w:r>
        <w:rPr>
          <w:rFonts w:ascii="Times New Roman" w:hAnsi="Times New Roman"/>
          <w:sz w:val="20"/>
        </w:rPr>
        <w:t xml:space="preserve">11.4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bookmarkStart w:id="322" w:name="annxa770053_124"/>
      <w:bookmarkEnd w:id="322"/>
      <w:r>
        <w:rPr>
          <w:rFonts w:ascii="Times New Roman" w:hAnsi="Times New Roman"/>
          <w:sz w:val="20"/>
        </w:rPr>
        <w:t xml:space="preserve">11.5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bookmarkStart w:id="323" w:name="annxa770053_125"/>
      <w:bookmarkEnd w:id="323"/>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bookmarkStart w:id="324" w:name="annxa770053_126"/>
      <w:bookmarkEnd w:id="324"/>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Aspen or Merger Sub: </w:t>
      </w:r>
    </w:p>
    <w:p>
      <w:pPr>
        <w:pStyle w:val="TextBody"/>
        <w:bidi w:val="0"/>
        <w:spacing w:before="360" w:after="0"/>
        <w:jc w:val="left"/>
        <w:rPr>
          <w:rFonts w:ascii="Times New Roman" w:hAnsi="Times New Roman"/>
          <w:sz w:val="20"/>
        </w:rPr>
      </w:pPr>
      <w:r>
        <w:rPr>
          <w:rFonts w:ascii="Times New Roman" w:hAnsi="Times New Roman"/>
          <w:sz w:val="20"/>
        </w:rPr>
        <w:t xml:space="preserve">Erik Ostrowski </w:t>
      </w:r>
    </w:p>
    <w:p>
      <w:pPr>
        <w:pStyle w:val="TextBody"/>
        <w:bidi w:val="0"/>
        <w:spacing w:before="0" w:after="0"/>
        <w:jc w:val="left"/>
        <w:rPr>
          <w:rFonts w:ascii="Times New Roman" w:hAnsi="Times New Roman"/>
          <w:sz w:val="20"/>
        </w:rPr>
      </w:pPr>
      <w:r>
        <w:rPr>
          <w:rFonts w:ascii="Times New Roman" w:hAnsi="Times New Roman"/>
          <w:sz w:val="20"/>
        </w:rPr>
        <w:t xml:space="preserve">President and Interim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Email: erik.ostrowski@avrobio.com, generalcounsel@avrobio.com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 Bloom; Rob Masella; James Ding; Adam Johnson </w:t>
      </w:r>
    </w:p>
    <w:p>
      <w:pPr>
        <w:pStyle w:val="TextBody"/>
        <w:bidi w:val="0"/>
        <w:spacing w:before="0" w:after="0"/>
        <w:jc w:val="left"/>
        <w:rPr>
          <w:rFonts w:ascii="Times New Roman" w:hAnsi="Times New Roman"/>
          <w:sz w:val="20"/>
        </w:rPr>
      </w:pPr>
      <w:r>
        <w:rPr>
          <w:rFonts w:ascii="Times New Roman" w:hAnsi="Times New Roman"/>
          <w:sz w:val="20"/>
        </w:rPr>
        <w:t xml:space="preserve">Email: mbloom@goodwinlaw.com; rmasella@goodwinlaw.com; jding@goodwinlaw.com; </w:t>
      </w:r>
    </w:p>
    <w:p>
      <w:pPr>
        <w:pStyle w:val="TextBody"/>
        <w:bidi w:val="0"/>
        <w:spacing w:before="0" w:after="0"/>
        <w:jc w:val="left"/>
        <w:rPr>
          <w:rFonts w:ascii="Times New Roman" w:hAnsi="Times New Roman"/>
          <w:sz w:val="20"/>
        </w:rPr>
      </w:pPr>
      <w:r>
        <w:rPr>
          <w:rFonts w:ascii="Times New Roman" w:hAnsi="Times New Roman"/>
          <w:sz w:val="20"/>
        </w:rPr>
        <w:t xml:space="preserve">adamjohnson@goodwinlaw.com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Alise Reicin,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areicin@tectonictx.com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   Miguel Vega; Marc Recht; Michael Rohr </w:t>
      </w:r>
    </w:p>
    <w:p>
      <w:pPr>
        <w:pStyle w:val="TextBody"/>
        <w:bidi w:val="0"/>
        <w:spacing w:before="0" w:after="0"/>
        <w:jc w:val="left"/>
        <w:rPr>
          <w:rFonts w:ascii="Times New Roman" w:hAnsi="Times New Roman"/>
          <w:sz w:val="20"/>
        </w:rPr>
      </w:pPr>
      <w:r>
        <w:rPr>
          <w:rFonts w:ascii="Times New Roman" w:hAnsi="Times New Roman"/>
          <w:sz w:val="20"/>
        </w:rPr>
        <w:t xml:space="preserve">E-mail:     mvega@cooley.com; mrecht@cooley.com; mrohr@cooley.com </w:t>
      </w:r>
    </w:p>
    <w:p>
      <w:pPr>
        <w:pStyle w:val="TextBody"/>
        <w:bidi w:val="0"/>
        <w:spacing w:before="120" w:after="0"/>
        <w:jc w:val="left"/>
        <w:rPr>
          <w:rFonts w:ascii="Times New Roman" w:hAnsi="Times New Roman"/>
          <w:sz w:val="20"/>
        </w:rPr>
      </w:pPr>
      <w:bookmarkStart w:id="325" w:name="annxa770053_127"/>
      <w:bookmarkEnd w:id="325"/>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bookmarkStart w:id="326" w:name="annxa770053_128"/>
      <w:bookmarkEnd w:id="326"/>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bookmarkStart w:id="327" w:name="annxa770053_129"/>
      <w:bookmarkEnd w:id="327"/>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bookmarkStart w:id="328" w:name="annxa770053_130"/>
      <w:bookmarkEnd w:id="328"/>
      <w:r>
        <w:rPr>
          <w:rFonts w:ascii="Times New Roman" w:hAnsi="Times New Roman"/>
          <w:sz w:val="20"/>
        </w:rPr>
        <w:t xml:space="preserve">11.11 No </w:t>
      </w:r>
      <w:r>
        <w:rPr>
          <w:rFonts w:ascii="Times New Roman" w:hAnsi="Times New Roman"/>
          <w:sz w:val="20"/>
          <w:u w:val="single"/>
        </w:rPr>
        <w:t>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6.8</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604" w:type="dxa"/>
        <w:jc w:val="left"/>
        <w:tblInd w:w="0" w:type="dxa"/>
        <w:tblLayout w:type="fixed"/>
        <w:tblCellMar>
          <w:top w:w="0" w:type="dxa"/>
          <w:left w:w="0" w:type="dxa"/>
          <w:bottom w:w="0" w:type="dxa"/>
          <w:right w:w="0" w:type="dxa"/>
        </w:tblCellMar>
      </w:tblPr>
      <w:tblGrid>
        <w:gridCol w:w="2949"/>
        <w:gridCol w:w="289"/>
        <w:gridCol w:w="366"/>
      </w:tblGrid>
      <w:tr>
        <w:trPr/>
        <w:tc>
          <w:tcPr>
            <w:tcW w:w="29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604" w:type="dxa"/>
            <w:gridSpan w:val="3"/>
            <w:tcBorders/>
            <w:vAlign w:val="center"/>
          </w:tcPr>
          <w:p>
            <w:pPr>
              <w:pStyle w:val="TableContents"/>
              <w:bidi w:val="0"/>
              <w:spacing w:before="0" w:after="283"/>
              <w:jc w:val="left"/>
              <w:rPr>
                <w:b/>
              </w:rPr>
            </w:pPr>
            <w:r>
              <w:rPr>
                <w:b/>
              </w:rPr>
              <w:t>AVROBIO, I</w:t>
            </w:r>
            <w:r>
              <w:rPr>
                <w:b/>
                <w:sz w:val="20"/>
                <w:u w:val="single"/>
              </w:rPr>
              <w:t>NC</w:t>
            </w:r>
            <w:r>
              <w:rPr>
                <w:b/>
              </w:rPr>
              <w:t>.</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By:</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3604" w:type="dxa"/>
            <w:gridSpan w:val="3"/>
            <w:tcBorders/>
            <w:vAlign w:val="center"/>
          </w:tcPr>
          <w:p>
            <w:pPr>
              <w:pStyle w:val="TableContents"/>
              <w:bidi w:val="0"/>
              <w:spacing w:before="0" w:after="283"/>
              <w:jc w:val="left"/>
              <w:rPr>
                <w:sz w:val="4"/>
                <w:szCs w:val="4"/>
              </w:rPr>
            </w:pPr>
            <w:r>
              <w:rPr>
                <w:sz w:val="4"/>
                <w:szCs w:val="4"/>
              </w:rPr>
            </w:r>
          </w:p>
        </w:tc>
      </w:tr>
      <w:tr>
        <w:trPr/>
        <w:tc>
          <w:tcPr>
            <w:tcW w:w="3604" w:type="dxa"/>
            <w:gridSpan w:val="3"/>
            <w:tcBorders/>
            <w:vAlign w:val="center"/>
          </w:tcPr>
          <w:p>
            <w:pPr>
              <w:pStyle w:val="TableContents"/>
              <w:bidi w:val="0"/>
              <w:spacing w:before="0" w:after="283"/>
              <w:jc w:val="left"/>
              <w:rPr>
                <w:b/>
              </w:rPr>
            </w:pPr>
            <w:r>
              <w:rPr>
                <w:b/>
              </w:rPr>
              <w:t>A</w:t>
            </w:r>
            <w:r>
              <w:rPr>
                <w:b/>
                <w:sz w:val="20"/>
                <w:u w:val="single"/>
              </w:rPr>
              <w:t>LPINE</w:t>
            </w:r>
            <w:r>
              <w:rPr>
                <w:b/>
              </w:rPr>
              <w:t xml:space="preserve"> M</w:t>
            </w:r>
            <w:r>
              <w:rPr>
                <w:b/>
                <w:sz w:val="20"/>
                <w:u w:val="single"/>
              </w:rPr>
              <w:t>ERGER</w:t>
            </w:r>
            <w:r>
              <w:rPr>
                <w:b/>
              </w:rPr>
              <w:t xml:space="preserve"> S</w:t>
            </w:r>
            <w:r>
              <w:rPr>
                <w:b/>
                <w:sz w:val="20"/>
                <w:u w:val="single"/>
              </w:rPr>
              <w:t>UBSIDIARY</w:t>
            </w:r>
            <w:r>
              <w:rPr>
                <w:b/>
              </w:rPr>
              <w:t>, I</w:t>
            </w:r>
            <w:r>
              <w:rPr>
                <w:b/>
                <w:sz w:val="20"/>
                <w:u w:val="single"/>
              </w:rPr>
              <w:t>NC</w:t>
            </w:r>
            <w:r>
              <w:rPr>
                <w:b/>
              </w:rPr>
              <w:t>.</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By:</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Name: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r>
        <w:trPr/>
        <w:tc>
          <w:tcPr>
            <w:tcW w:w="2949" w:type="dxa"/>
            <w:tcBorders/>
            <w:vAlign w:val="center"/>
          </w:tcPr>
          <w:p>
            <w:pPr>
              <w:pStyle w:val="TableContents"/>
              <w:bidi w:val="0"/>
              <w:spacing w:before="0" w:after="283"/>
              <w:jc w:val="left"/>
              <w:rPr>
                <w:sz w:val="4"/>
                <w:szCs w:val="4"/>
              </w:rPr>
            </w:pPr>
            <w:r>
              <w:rPr>
                <w:sz w:val="4"/>
                <w:szCs w:val="4"/>
              </w:rPr>
            </w:r>
          </w:p>
        </w:tc>
        <w:tc>
          <w:tcPr>
            <w:tcW w:w="655"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vAlign w:val="center"/>
          </w:tcPr>
          <w:p>
            <w:pPr>
              <w:pStyle w:val="TableContents"/>
              <w:bidi w:val="0"/>
              <w:spacing w:before="0" w:after="283"/>
              <w:jc w:val="left"/>
              <w:rPr/>
            </w:pPr>
            <w:r>
              <w:rPr/>
              <w:t>Title:</w:t>
            </w:r>
          </w:p>
        </w:tc>
        <w:tc>
          <w:tcPr>
            <w:tcW w:w="289" w:type="dxa"/>
            <w:tcBorders/>
            <w:vAlign w:val="center"/>
          </w:tcPr>
          <w:p>
            <w:pPr>
              <w:pStyle w:val="TableContents"/>
              <w:bidi w:val="0"/>
              <w:spacing w:before="0" w:after="283"/>
              <w:jc w:val="left"/>
              <w:rPr/>
            </w:pPr>
            <w:r>
              <w:rPr/>
              <w:t> </w:t>
            </w:r>
          </w:p>
        </w:tc>
        <w:tc>
          <w:tcPr>
            <w:tcW w:w="366"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 and Reorganization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b/>
          <w:sz w:val="20"/>
          <w:u w:val="single"/>
        </w:rPr>
        <w:t>N</w:t>
      </w:r>
      <w:r>
        <w:rPr>
          <w:rFonts w:ascii="Times New Roman" w:hAnsi="Times New Roman"/>
          <w:b/>
          <w:sz w:val="20"/>
        </w:rPr>
        <w:t xml:space="preserve"> W</w:t>
      </w:r>
      <w:r>
        <w:rPr>
          <w:rFonts w:ascii="Times New Roman" w:hAnsi="Times New Roman"/>
          <w:b/>
          <w:sz w:val="20"/>
          <w:u w:val="single"/>
        </w:rPr>
        <w:t>ITNESS</w:t>
      </w:r>
      <w:r>
        <w:rPr>
          <w:rFonts w:ascii="Times New Roman" w:hAnsi="Times New Roman"/>
          <w:b/>
          <w:sz w:val="20"/>
        </w:rPr>
        <w:t xml:space="preserve"> W</w:t>
      </w:r>
      <w:r>
        <w:rPr>
          <w:rFonts w:ascii="Times New Roman" w:hAnsi="Times New Roman"/>
          <w:b/>
          <w:sz w:val="20"/>
          <w:u w:val="single"/>
        </w:rPr>
        <w:t>HEREOF</w:t>
      </w:r>
      <w:r>
        <w:rPr>
          <w:rFonts w:ascii="Times New Roman" w:hAnsi="Times New Roman"/>
          <w:b/>
          <w:sz w:val="20"/>
        </w:rPr>
        <w:t>,</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169" w:type="dxa"/>
        <w:jc w:val="left"/>
        <w:tblInd w:w="0" w:type="dxa"/>
        <w:tblLayout w:type="fixed"/>
        <w:tblCellMar>
          <w:top w:w="0" w:type="dxa"/>
          <w:left w:w="0" w:type="dxa"/>
          <w:bottom w:w="0" w:type="dxa"/>
          <w:right w:w="0" w:type="dxa"/>
        </w:tblCellMar>
      </w:tblPr>
      <w:tblGrid>
        <w:gridCol w:w="2590"/>
        <w:gridCol w:w="255"/>
        <w:gridCol w:w="324"/>
      </w:tblGrid>
      <w:tr>
        <w:trPr/>
        <w:tc>
          <w:tcPr>
            <w:tcW w:w="25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b/>
              </w:rPr>
            </w:pPr>
            <w:r>
              <w:rPr>
                <w:b/>
              </w:rPr>
              <w:t>T</w:t>
            </w:r>
            <w:r>
              <w:rPr>
                <w:b/>
                <w:sz w:val="20"/>
                <w:u w:val="single"/>
              </w:rPr>
              <w:t>ECTONIC</w:t>
            </w:r>
            <w:r>
              <w:rPr>
                <w:b/>
              </w:rPr>
              <w:t xml:space="preserve"> T</w:t>
            </w:r>
            <w:r>
              <w:rPr>
                <w:b/>
                <w:sz w:val="20"/>
                <w:u w:val="single"/>
              </w:rPr>
              <w:t>HERAPEUTIC</w:t>
            </w:r>
            <w:r>
              <w:rPr>
                <w:b/>
              </w:rPr>
              <w:t>, I</w:t>
            </w:r>
            <w:r>
              <w:rPr>
                <w:b/>
                <w:sz w:val="20"/>
                <w:u w:val="single"/>
              </w:rPr>
              <w:t>NC</w:t>
            </w:r>
            <w:r>
              <w:rPr>
                <w:b/>
              </w:rPr>
              <w:t>.</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By:</w:t>
            </w:r>
          </w:p>
        </w:tc>
        <w:tc>
          <w:tcPr>
            <w:tcW w:w="255" w:type="dxa"/>
            <w:tcBorders/>
            <w:vAlign w:val="center"/>
          </w:tcPr>
          <w:p>
            <w:pPr>
              <w:pStyle w:val="TableContents"/>
              <w:bidi w:val="0"/>
              <w:spacing w:before="0" w:after="283"/>
              <w:jc w:val="left"/>
              <w:rPr/>
            </w:pPr>
            <w:r>
              <w:rPr/>
              <w:t> </w:t>
            </w:r>
          </w:p>
        </w:tc>
        <w:tc>
          <w:tcPr>
            <w:tcW w:w="324" w:type="dxa"/>
            <w:tcBorders/>
            <w:vAlign w:val="center"/>
          </w:tcPr>
          <w:p>
            <w:pPr>
              <w:pStyle w:val="TableContents"/>
              <w:pBdr>
                <w:bottom w:val="single" w:sz="2" w:space="1" w:color="000000"/>
              </w:pBdr>
              <w:bidi w:val="0"/>
              <w:spacing w:before="0" w:after="20"/>
              <w:jc w:val="left"/>
              <w:rPr/>
            </w:pPr>
            <w:r>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Name:</w:t>
            </w:r>
          </w:p>
        </w:tc>
        <w:tc>
          <w:tcPr>
            <w:tcW w:w="255" w:type="dxa"/>
            <w:tcBorders/>
            <w:vAlign w:val="center"/>
          </w:tcPr>
          <w:p>
            <w:pPr>
              <w:pStyle w:val="TableContents"/>
              <w:bidi w:val="0"/>
              <w:spacing w:before="0" w:after="283"/>
              <w:jc w:val="left"/>
              <w:rPr/>
            </w:pPr>
            <w:r>
              <w:rPr/>
              <w:t> </w:t>
            </w:r>
          </w:p>
        </w:tc>
        <w:tc>
          <w:tcPr>
            <w:tcW w:w="324" w:type="dxa"/>
            <w:tcBorders/>
            <w:vAlign w:val="center"/>
          </w:tcPr>
          <w:p>
            <w:pPr>
              <w:pStyle w:val="TableContents"/>
              <w:pBdr>
                <w:bottom w:val="single" w:sz="2" w:space="1" w:color="000000"/>
              </w:pBdr>
              <w:bidi w:val="0"/>
              <w:spacing w:before="0" w:after="20"/>
              <w:jc w:val="left"/>
              <w:rPr/>
            </w:pPr>
            <w:r>
              <w:rPr/>
              <w:t> </w:t>
            </w:r>
          </w:p>
        </w:tc>
      </w:tr>
      <w:tr>
        <w:trPr/>
        <w:tc>
          <w:tcPr>
            <w:tcW w:w="2590" w:type="dxa"/>
            <w:tcBorders/>
            <w:vAlign w:val="center"/>
          </w:tcPr>
          <w:p>
            <w:pPr>
              <w:pStyle w:val="TableContents"/>
              <w:bidi w:val="0"/>
              <w:spacing w:before="0" w:after="283"/>
              <w:jc w:val="left"/>
              <w:rPr>
                <w:sz w:val="4"/>
                <w:szCs w:val="4"/>
              </w:rPr>
            </w:pPr>
            <w:r>
              <w:rPr>
                <w:sz w:val="4"/>
                <w:szCs w:val="4"/>
              </w:rPr>
            </w:r>
          </w:p>
        </w:tc>
        <w:tc>
          <w:tcPr>
            <w:tcW w:w="579" w:type="dxa"/>
            <w:gridSpan w:val="2"/>
            <w:tcBorders/>
            <w:vAlign w:val="center"/>
          </w:tcPr>
          <w:p>
            <w:pPr>
              <w:pStyle w:val="TableContents"/>
              <w:bidi w:val="0"/>
              <w:spacing w:before="0" w:after="283"/>
              <w:jc w:val="left"/>
              <w:rPr>
                <w:sz w:val="4"/>
                <w:szCs w:val="4"/>
              </w:rPr>
            </w:pPr>
            <w:r>
              <w:rPr>
                <w:sz w:val="4"/>
                <w:szCs w:val="4"/>
              </w:rPr>
            </w:r>
          </w:p>
        </w:tc>
      </w:tr>
      <w:tr>
        <w:trPr/>
        <w:tc>
          <w:tcPr>
            <w:tcW w:w="2590" w:type="dxa"/>
            <w:tcBorders/>
            <w:vAlign w:val="center"/>
          </w:tcPr>
          <w:p>
            <w:pPr>
              <w:pStyle w:val="TableContents"/>
              <w:bidi w:val="0"/>
              <w:spacing w:before="0" w:after="283"/>
              <w:jc w:val="left"/>
              <w:rPr/>
            </w:pPr>
            <w:r>
              <w:rPr/>
              <w:t>Title:</w:t>
            </w:r>
          </w:p>
        </w:tc>
        <w:tc>
          <w:tcPr>
            <w:tcW w:w="255" w:type="dxa"/>
            <w:tcBorders/>
            <w:vAlign w:val="center"/>
          </w:tcPr>
          <w:p>
            <w:pPr>
              <w:pStyle w:val="TableContents"/>
              <w:bidi w:val="0"/>
              <w:spacing w:before="0" w:after="283"/>
              <w:jc w:val="left"/>
              <w:rPr/>
            </w:pPr>
            <w:r>
              <w:rPr/>
              <w:t> </w:t>
            </w:r>
          </w:p>
        </w:tc>
        <w:tc>
          <w:tcPr>
            <w:tcW w:w="324"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29" w:name="toc770053_202"/>
      <w:bookmarkEnd w:id="329"/>
      <w:r>
        <w:rPr>
          <w:rFonts w:ascii="Times New Roman" w:hAnsi="Times New Roman"/>
          <w:b/>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[LETTERHEAD OF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January 29,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Dear 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AVROBIO, Inc. (“AVROBIO”) intends to enter into an Agreement and Plan of Merger and Reorganization (the “Agreement”) among AVROBIO, Alpine Merger Subsidiary, Inc., a wholly owned subsidiary of AVROBIO (“Merger Sub”), and Tectonic Therapeutic, Inc. (“Tectonic”), pursuant to which, among other things, (i) Merger Sub will merge (the “Merger”) with Tectonic, (ii) Tectonic will survive the Merger as a wholly owned subsidiary of AVROBIO, and (iii) AVROBIO will issue, for each share of common stock, par value $0.0001 per share (“Tectonic Common Stock”), of Tectonic outstanding and for each share of preferred stock, par value $0.0001 per share (“Tectonic Preferred Stock” and, together with the Tectonic Common Stock, the “Tectonic Capital Stock”), of Tectonic outstanding, a number (the “Exchange Ratio”) of shares of common stock, par value $0.0001 per share (“AVROBIO Common Stock”), of AVROBIO based on (a) an ascribed aggregate equity value for AVROBIO of $77,500,000, subject to adjustment as provided by the Agreement (as to which adjustment we express no view or opinion), (b) an ascribed aggregate equity value for Tectonic of $140,000,000, (c) proceeds raised in the Concurrent Investment (as defined below) as provided by the Agreement (as to which we express no view or opinion), (d) the number of shares of AVROBIO Common Stock outstanding on a fully diluted, as-converted basis (but excluding out-of-the money options or performance-based RSU awards for which the performance condition has not been met) and, if applicable, giving effect to the Reverse Split (as defined below), and (e) the number of shares of Tectonic Common Stock outstanding on a fully diluted, as-converted basis, after giving effect to the Concurrent Investment. We also understand that certain investors have entered into simple agreements for future equity with Tectonic in the aggregate principal amount of $34,125,000 (the “Tectonic SAFEs” and, the investment contemplated thereby, the “Tectonic SAFE Concurrent Investment”). In addition, we understand that prior to the Merger, (i) the Tectonic SAFEs will be converted into shares of Tectonic Common Stock (the “Tectonic SAFEs Conversion”), (ii) certain investors (including certain current Tectonic shareholders) will purchase (the “Subscription Agreement Concurrent Investment” and, together with the Tectonic SAFE Concurrent Investment, the “Concurrent Investment”) from Tectonic newly issued shares of Tectonic Common Stock pursuant to subscription agreements to be entered into by Tectonic and such investors, which together with the proceeds of the Tectonic SAFE Concurrent Investment, will result in aggregate gross proceeds of $130,725,000, (iii) AVROBIO will declare a distribution (the “Closing Distribution”) to holders of AVROBIO Common Stock of record as of immediately prior to the Merger of the right to receive one contingent value right (each, a “CVR”) for each outstanding share of AVROBIO Common Stock held by such stockholders, each representing the right to receive contingent payments upon the occurrence of certain events set forth in, and subject to and in accordance with the terms and conditions of, a Contingent Value Rights Agreement (the “CVR Agreement”) to be entered into by AVROBIO and the rights agent party thereto, (iv) AVROBIO will effect a reverse split of the outstanding shares of AVROBIO Common Stock (the “Reverse Split”), and (v) AVROBIO may sell, license or otherwise monetize its legacy business (any such transaction, an “AVROBIO Pre-Closing Transaction” and, collectively with the Concurrent Investment, the Closing Distribution and, to the extent effected, the Reverse Split, the “Related Transactions” and the Related Transactions, together with the Merger,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(the “Board”) of AVROBIO has requested that Houlihan Lokey Capital, Inc. (“Houlihan Lokey”) provide an opinion (the “Opinion”) to the Board as to whether, as of the date hereof, the Exchange Ratio provided for in the Merger pursuant to the Agreement, after giving effect to the Related Transactions, is fair, from a financial point of view, to AVROBIO.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made such reviews, analyses and inquiries as we have deemed necessary and appropriate under the circumstances. Among other things, we have: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200"/>
        <w:gridCol w:w="4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January 29, 2024, of the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relating to AVROBIO and Tectonic that we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information relating to the historical, current and future operations, financial condition and prospects of AVROBIO and Tectonic made available to us by AVROBIO and Tectonic, including (i) a liquidation analysis of AVROBIO prepared by management of AVROBIO (the “AVROBIO Liquidation Analysis”) and (ii) information regarding the nature of, and indications to be addressed by, Tectonic’s potential products, the current status and expected future timing of clinical development of Tectonic’s products, and projected cash expenditures for the development of such products (collectively, the “Tectonic Development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spoken with certain members of the managements of AVROBIO and Tectonic regarding the respective businesses, operations, financial condition and prospects of AVROBIO and Tectonic, the Transaction and related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compared the clinical development stage and therapeutic area of focus of Tectonic with that of companies with publicly traded equity securities that we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solely for informational purposes, considered the publicly available financial terms of certain transactions that we deemed to be relevant;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7.</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the current and historical market prices and trading volume for certain of AVROBIO’s publicly traded equity securities;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8.</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financial studies, analyses and inquiries and considered such other information and factors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AVROBIO has advised us, and we have with your consent relied upon and assumed, that the AVROBIO Liquidation Analysis has been reasonably prepared in good faith on bases reflecting the best currently available estimates and judgments of such management as to (i) the expected realizable value for AVROBIO’s assets, assuming an orderly liquidation of such assets, and (ii) the remaining amounts estimated to be available upon completion of such liquidation for distribution to AVROBIO’s equity holders. In addition, with your consent, we have relied upon and assumed that the Tectonic Development Information has been reasonably prepared in good faith on bases reflecting the best currently available estimates and judgments of Tectonic management as to the nature of, and indications to be addressed by, Tectonic’s potential products and the expected timing and cash expenditures associated with the development of Tectonic’s potential products. We express no view or opinion with respect to the AVROBIO Liquidation Analysis, the Tectonic Development Information or the respective assumptions on which they are based. At your direction, we have assumed that the Liquidation Analysis and the Tectonic Development Information provide a reasonable basis on which to evaluate AVROBIO, Tectonic and the Transaction and we have, at your direction, used and relied upon the Liquidation Analysis and the Tectonic Development Information for purposes of our analysis and this Opinion. In this regard you have advised us, and at your direction we have relied upon and assumed, that (i) AVROBIO has terminated all company-sponsored treatment-related and company-sponsored long-term follow-up clinical studies relating to its AVR-RD-02,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Gaucher disease type 1, program, and company-sponsored long term follow-up studies relating to its AVR-RD-01, or Fabry disease, program, (ii) AVROBIO has terminated its agreements with the University of Manchester for the license and development of a gene therapy for MPSII, or Hunter syndrome, and discontinued its AVR-RD-05, or Hunter syndrome gene therapy program, (iii) AVROBIO sold its cystinosis gene therapy program to Novartis Pharma AG and Novartis Pharmaceuticals Corporation, (iv) as a result, AVROBIO has three gene therapy product candidates, none of which is currently in active clinical development, (v) since inception, AVROBIO has not generated any product revenue and has financed its operations primarily through the private placement of securities and through public offerings of common stock, (vi) AVRIOBIO has suffered significant recurring losses from operations, (vii) in the absence of the Transaction or an alternative strategic transaction, AVROBIO would likely dissolve and liquidate, and (viii) the values AVROBIO receives for its assets in liquidation could be significantly lower than the values reflected in AVROBIO’s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reaching our conclusions hereunder, with your consent, we did not rely upon (i) a discounted cash flow analysis of AVROBIO or Tectonic, because, as you have advised us and directed us to assume, other than the projected cash expenditures for Tectonic included in the Tectonic Development Information, no current, reliable projections with respect to the future financial performance of AVROBIO or Tectonic are available, (ii) we did not rely upon a review of the publicly available financial terms of other transactions, because we did not identify a sufficient number of relevant transactions in which we deemed the acquired companies to be sufficiently similar to AVROBIO or Tectonic and (iii) with respect to AVROBIO, we did not rely upon a review of companies with publicly traded equity securities that we deemed relevant, because we did not identify a sufficient number of relevant companies we deemed to be sufficiently similar to AVROBIO. We have relied upon and assumed, without independent verification, that there has been no change in the businesses, assets, liabilities, financial condition, results of operations, cash flows or prospects of AVROBIO or Tectonic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We have also relied upon and assumed, without independent verification, the assessments of the managements of AVROBIO and Tectonic as to AVROBIO’s and Tectonic’s existing and future technology, products, product candidates, services and intellectual property and the validity of, and risks associated with, such technology, products, product candidates, services and intellectual property (including, without limitation, the validity and life of patents or other intellectual property, the timing and probability of successful testing, development and commercialization of such technology, products, product candidates and services, the approval thereof by appropriate governmental authorities, and the potential impact of competition), and we have assumed at your direction that there will be no developments with respect to any such matters that would affect our analyses or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Transaction will be satisfied without waiver thereof, and (d) the Transaction will be consummated in a timely manner in accordance with the terms described in the Agreement and such other related documents and instruments, without any amendments or modifications. We have also assumed, with your consent, that the Merger will qualify as a “reorganization” under Section 368(a) of the Internal Revenue Code of 1986, as amended. We have relied upon and assumed, without independent verification, that (i) the Transaction will be consummated in a manner that complies in all respects with all applicable foreign, federal, state and local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AVROBIO or Tectonic, or otherwise have an effect on the Transaction, AVROBIO or Tectonic or any expected benefits of the Transaction that would be material to our analyses or this Opinion. We have also relied upon and assumed, without independent verification, at your direction, that any adjustments to the Exchange Ratio pursuant to the Agreement or otherwise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to our analyses or this Opinion. In addition, we have relied upon and assumed, without independent verification, that the final form of the Agreement will not differ in any respect from the draft of the Agreement identified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this Opinion, we have not been requested to make, and have not made, any physical inspection or independent appraisal or evaluation of any of the assets, properties or liabilities (fixed, contingent, derivative, off-balance-sheet or otherwise) of AVROBIO, Tectonic or any other party, nor were we provided with any such appraisal or evaluation (other than the AVROBIO Liquidation Analysis provided by AVROBIO management). We did not estimate, and express no opinion regarding, the liquidation value of any entity or business. We have undertaken no independent analysis of any potential or actual litigation, regulatory action, possible unasserted claims or other contingent liabilities, to which AVROBIO or Tectonic is or may be a party or is or may be subject, or of any governmental investigation of any possible unasserted claims or other contingent liabilities to which AVROBIO or Tectonic is or may be a party or is or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requested to, and did not, (a) initiate or participate in any discussions or negotiations with, or solicit any indications of interest from, third parties with respect to the Transaction, the securities, assets, businesses or operations of AVROBIO, Tectonic or any other party, or any alternatives to the Transaction, (b) identify, introduce to the Board, AVROBIO or any other party, or screen for creditworthiness, any prospective investors, lenders or other participants in the Transaction, (c) negotiate the terms of the Transaction, or (d) advise the Board, AVROBIO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the AVROBIO Common Stock actually will be when issued in the Transaction pursuant to the Agreement or the price or range of prices at which AVROBIO Common Stock or Tectonic Capital Stock may be purchased or sold, or otherwise be transferable,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for the use of the Board (in its capacity as such) in connection with its evaluation of the Transaction and may not be used for any other purpose without our prior written consent. This Opinion is not intended to be, and does not constitute, a recommendation to the Board, AVROBIO, any security holder or any other party as to how to act or vote with respect to any matter relating to the Transaction or otherwise, including, without limitation, whether any party should participate in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AVROBIO, Tectonic, or any other party that may be involved in the Transaction and their respective affiliates or security holders or any currency or commodity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and certain of its affiliates may provide investment banking, financial advisory and/or other financial or consulting services to AVROBIO, Tectonic, other participants in the Transaction or certain of their respective affiliates or security holders in the future, for which Houlihan Lokey and its affiliates may receive compensation. In addition, during the past two years, Houlihan Lokey provided financial advisory services to a group of five engaging clients, of which an affiliate of a security holder of Tectonic was a member, for which Houlihan Lokey received compensation.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AVROBIO, Tectonic, other participants in the Transaction or certain of their respective affiliates or security holders, for which advice and services Houlihan Lokey and its affiliates have received and may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receive a fee for rendering this Opinion, no portion of which is contingent upon the successful completion of the Transaction. In addition, AVROBIO has agreed to reimburse certain of our expenses and to indemnify us and certain related parties for certain potential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been requested to opine as to, and this Opinion does not express an opinion as to or otherwise address, among other things: (i) the underlying business decision of the Board, AVROBIO, its security holders or any other party to proceed with or effect the Transaction, (ii) the terms of any arrangements, understandings, agreements or documents related to, or the form, structure or any other portion or aspect of, the Transaction or otherwise (other than the Exchange Ratio to the extent expressly specified herein), including, without limitation, the support agreements or the lock-up agreements to be entered into in connection with the Transaction, the CVRs, the CVR Agreement or any Related Transaction, (iii) the fairness of any portion or aspect of the Transaction to the holders of any class of securities, creditors or other constituencies of AVROBIO or Tectonic, or to any other party (including, without limitation, the potential dilutive or other effects of the Transaction), (iv) the relative merits of the Transaction as compared to any alternative business strategies or transactions that might be available for AVROBIO, Tectonic or any other party, (v) the fairness of any portion or aspect of the Transaction to any one class or group of AVROBIO’s, Tectonic’s or any other party’s security holders or other constituents vis-à-vis any other class or group of AVROBIO’s, Tectonic’s or such other party’s security holders or other constituents (including, without limitation, the allocation of any consideration amongst or within such classes or groups of security holders or other constituents), (vi) the appropriate capital structure of AVROBIO or Tectonic, whether AVROBIO or Tectonic should be issuing debt or equity securities or a combination of both in the Transaction, or the form, structure or any aspect or terms of any debt or equity financing for, or in connection with, the Transaction (including, without limitation, the Concurrent Investment) or the likelihood of obtaining such financing, (vii) the acquisition by any party or group of a controlling interest in AVROBIO, (viii) whether or not AVROBIO, Tectonic, their respective security holders or any other party is receiving or paying reasonably equivalent value in the Transaction, (ix) the solvency, creditworthiness or fair value of AVROBIO, Tectonic or any other participant in the Transaction, or any of their respective assets, under any applicable laws relating to bankruptcy, insolvency, fraudulent conveyance or similar matters, or (x)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This Opinion does not address the financial or other implications and effects of the Transaction (including, without limitation, any financing associated therewith) on AVROBIO, any security holders, creditors or other constituencies of AVROBIO, or any other party. Furthermore, we are not expressing any opinion, counsel or interpretation regarding matters that require legal, regulatory, environmental,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AVROBIO and their respective advisors, as to all legal, regulatory, environmental, accounting, insurance, tax and other similar matters with respect to AVROBIO, Tectonic and the Transaction or otherwise. The issuance of this Opinion was approved by a committee authorized to approve opinions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in reliance thereon, it is our opinion that, as of the date hereof, the Exchange Ratio provided for in the Merger pursuant to the Agreement, after giving effect to the Related Transactions, is fair, from a financial point of view, to AVROBIO.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CAPITAL,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0" w:name="toc770053_203"/>
      <w:bookmarkEnd w:id="330"/>
      <w:r>
        <w:rPr>
          <w:rFonts w:ascii="Times New Roman" w:hAnsi="Times New Roman"/>
          <w:b/>
          <w:sz w:val="20"/>
        </w:rPr>
        <w:t xml:space="preserve">Annex C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ASPEN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January 30, 2024, by and among Tectonic Therapeutic, Inc., a Delaware corporation (the “</w:t>
      </w:r>
      <w:r>
        <w:rPr>
          <w:rFonts w:ascii="Times New Roman" w:hAnsi="Times New Roman"/>
          <w:sz w:val="20"/>
          <w:u w:val="single"/>
        </w:rPr>
        <w:t>Company</w:t>
      </w:r>
      <w:r>
        <w:rPr>
          <w:rFonts w:ascii="Times New Roman" w:hAnsi="Times New Roman"/>
          <w:sz w:val="20"/>
        </w:rPr>
        <w:t>”), AVROBIO, Inc., a Delaware corporation (“</w:t>
      </w:r>
      <w:r>
        <w:rPr>
          <w:rFonts w:ascii="Times New Roman" w:hAnsi="Times New Roman"/>
          <w:sz w:val="20"/>
          <w:u w:val="single"/>
        </w:rPr>
        <w:t>Aspen</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Aspen.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Aspen, the Company and Alpine Merger Subsidiary, Inc., a Delaware corporation and a wholly owned subsidiary of Aspen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Aspen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Aspen Common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the Company to enter into the Merger Agreement, the Company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Aspen Stockholder Matters</w:t>
      </w:r>
      <w:r>
        <w:rPr>
          <w:rFonts w:ascii="Times New Roman" w:hAnsi="Times New Roman"/>
          <w:sz w:val="20"/>
        </w:rPr>
        <w:t xml:space="preserve">” means (A) the approval of the issuance of shares of Aspen Common Stock to the stockholders of the Company pursuant to the terms of this Agreement, (B) the approval of an amendment to the Aspen Charter to effect the Nasdaq Reverse Split, (C) the approval of the Equity Plan Proposals, and (D) the approval of an amendment to the Aspen Charter to provide for the exculpation of officers.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Shares</w:t>
      </w:r>
      <w:r>
        <w:rPr>
          <w:rFonts w:ascii="Times New Roman" w:hAnsi="Times New Roman"/>
          <w:sz w:val="20"/>
        </w:rPr>
        <w:t xml:space="preserve">” means (i) all shares of Aspen Common Stock owned, beneficially or of record, by the Stockholder as of the date hereof, and (ii) all additional shares of Aspen Common Stock acquired by the Stockholder, beneficially or of record, during the period commencing with the execution and delivery of this Agreement and expiring on the Closing Date.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Aspen Stockholder Matters and against any Acquisition Proposals.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(iii) to any member of the Stockholder’s immediate family, (iv) to any trust for the direct or indirect benefit of the Stockholder or the immediate family of the Stockholder or otherwise for estate planning purposes, (v) pursuant to a qualified domestic order, (vi) to any charitable organization, (vii) by effecting a “net exercise” of an Aspen Option or a “net settlement” of an Aspen Restricted Stock Unit in which Aspen holds back shares of Aspen Common Stock otherwise issuable (but not the sale of already-owned shares of Aspen Common Stock) either to pay the exercise price upon the exercise of an Aspen Option or settlement of an Aspen Restricted Stock Unit or to satisfy the Stockholder’s tax withholding obligation upon the exercise of an Aspen Option or settlement of an Aspen Restricted Stock Unit, in each case as permitted pursuant to the terms of any Aspen Employee Plan and (viii) with respect to any Stockholder that is an entity, to any Affiliate of such Stockholder or to one or more partners or members of such Stockholder; </w:t>
      </w:r>
      <w:r>
        <w:rPr>
          <w:rFonts w:ascii="Times New Roman" w:hAnsi="Times New Roman"/>
          <w:sz w:val="20"/>
          <w:u w:val="single"/>
        </w:rPr>
        <w:t>provided</w:t>
      </w:r>
      <w:r>
        <w:rPr>
          <w:rFonts w:ascii="Times New Roman" w:hAnsi="Times New Roman"/>
          <w:sz w:val="20"/>
        </w:rPr>
        <w:t xml:space="preserve">, that (x) such Transferred Shares shall continue to be bound by this Agreement and (y) the applicable transferee shall have executed and delivered to Aspen and the Company a support agreement substantially identical to this Agreement upon consummation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Until the Expiration Date, at any meeting of the stockholders of Aspen, however called, and at every adjournment or postponement thereof, and on every action or approval by written consent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stockholders of Aspen with respect to the Aspen Stockholder Matters, the Stockholder shall be present (in person or by proxy) and vote, or exercise its right to consent with respect to, all Shares held by the Stockholder (A) in favor of the Aspen Stockholder Matters, (B) against any Acquisition Proposal, and (C) in favor of an adjournment of the meeting of the stockholders of Aspen, if necessary, to solicit additional proxies if there are not sufficient votes in favor of the Aspen Stockholder Matters.</w:t>
      </w:r>
    </w:p>
    <w:p>
      <w:pPr>
        <w:pStyle w:val="TextBody"/>
        <w:bidi w:val="0"/>
        <w:spacing w:before="24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Aspen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Notwithstanding anything in this Agreement to the contrary, the Stockholder is entering into this Agreement solely in the Stockholder’s capacity as a record holder and beneficial owner, as applicable, of its Shares and not in the Stockholder’s capacity as a director or officer of Aspen,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Aspen or pursuant to any applicable written consent of the stockholders of Aspen, the Stockholder shall be deemed to have irrevocably granted to, and appointed, Aspen, and any individual designated in writing by Aspen, and each of them individually, as his, her or its proxy and attorney-in-fact (with full power of substitution), for and in its name, place and stead, to vote his, her or its Shares in any action by written consent of Aspen stockholders or at any meeting of the Aspen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Aspen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From and after the date hereof until the Expiration Date, the Stockholder will not, and will not permit any entity under such Stockholder’s control to, take any action that Aspen is prohibited from taking pursuant to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Aspen Board, breaches any fiduciary duty of the Aspen Board or any member thereof; </w:t>
      </w:r>
      <w:r>
        <w:rPr>
          <w:rFonts w:ascii="Times New Roman" w:hAnsi="Times New Roman"/>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Aspen.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(i) The Stockholder is the beneficial or record owner of the shares of Aspen Common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this Agreement or any lock-up agreement entered into by and between the Stockholder, the Company and Aspen); and (ii) the Stockholder does not beneficially own any securities of Aspen other than the shares of Aspen Common Stock and rights to purchase shares Aspen Common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Stockholder that is an entity, the Stockholder is duly organized, validly existing and in good standing under the laws of the jurisdiction of its formation and is qualified to conduct its business in those jurisdictions necessary to perform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(g)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11</w:t>
      </w:r>
      <w:r>
        <w:rPr>
          <w:rFonts w:ascii="Times New Roman" w:hAnsi="Times New Roman"/>
          <w:sz w:val="20"/>
        </w:rPr>
        <w:t xml:space="preserve"> shall survive the termination of this Agreement, and (ii) the termination of this Agreement shall not relieve any party hereto from any liability for fraud or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Further Assurances</w:t>
      </w:r>
      <w:r>
        <w:rPr>
          <w:rFonts w:ascii="Times New Roman" w:hAnsi="Times New Roman"/>
          <w:sz w:val="20"/>
        </w:rPr>
        <w:t xml:space="preserve">.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12(k)</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hAnsi="Times New Roman"/>
          <w:sz w:val="20"/>
          <w:u w:val="single"/>
        </w:rPr>
        <w:t>Section 12(d)</w:t>
      </w:r>
      <w:r>
        <w:rPr>
          <w:rFonts w:ascii="Times New Roman" w:hAnsi="Times New Roman"/>
          <w:sz w:val="20"/>
        </w:rPr>
        <w:t xml:space="preserve"> is void.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hAnsi="Times New Roman"/>
          <w:sz w:val="20"/>
          <w:u w:val="single"/>
        </w:rPr>
        <w:t>Section 12(i)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154" w:type="dxa"/>
        <w:jc w:val="left"/>
        <w:tblInd w:w="0" w:type="dxa"/>
        <w:tblLayout w:type="fixed"/>
        <w:tblCellMar>
          <w:top w:w="0" w:type="dxa"/>
          <w:left w:w="0" w:type="dxa"/>
          <w:bottom w:w="0" w:type="dxa"/>
          <w:right w:w="0" w:type="dxa"/>
        </w:tblCellMar>
      </w:tblPr>
      <w:tblGrid>
        <w:gridCol w:w="1409"/>
        <w:gridCol w:w="263"/>
        <w:gridCol w:w="1482"/>
      </w:tblGrid>
      <w:tr>
        <w:trPr/>
        <w:tc>
          <w:tcPr>
            <w:tcW w:w="14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pPr>
            <w:r>
              <w:rPr/>
              <w:t>COMPANY:</w:t>
            </w:r>
          </w:p>
        </w:tc>
      </w:tr>
      <w:tr>
        <w:trPr/>
        <w:tc>
          <w:tcPr>
            <w:tcW w:w="3154" w:type="dxa"/>
            <w:gridSpan w:val="3"/>
            <w:tcBorders/>
            <w:vAlign w:val="center"/>
          </w:tcPr>
          <w:p>
            <w:pPr>
              <w:pStyle w:val="TableContents"/>
              <w:bidi w:val="0"/>
              <w:spacing w:before="0" w:after="283"/>
              <w:jc w:val="left"/>
              <w:rPr/>
            </w:pPr>
            <w:r>
              <w:rPr/>
              <w:t>Tectonic Therapeutic, Inc.</w:t>
            </w:r>
          </w:p>
        </w:tc>
      </w:tr>
      <w:tr>
        <w:trPr/>
        <w:tc>
          <w:tcPr>
            <w:tcW w:w="1409" w:type="dxa"/>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1409" w:type="dxa"/>
            <w:tcBorders/>
            <w:vAlign w:val="center"/>
          </w:tcPr>
          <w:p>
            <w:pPr>
              <w:pStyle w:val="TableContents"/>
              <w:bidi w:val="0"/>
              <w:spacing w:before="0" w:after="283"/>
              <w:jc w:val="left"/>
              <w:rPr/>
            </w:pPr>
            <w:r>
              <w:rPr/>
              <w:t>By:</w:t>
            </w:r>
          </w:p>
        </w:tc>
        <w:tc>
          <w:tcPr>
            <w:tcW w:w="263" w:type="dxa"/>
            <w:tcBorders/>
            <w:vAlign w:val="center"/>
          </w:tcPr>
          <w:p>
            <w:pPr>
              <w:pStyle w:val="TableContents"/>
              <w:bidi w:val="0"/>
              <w:spacing w:before="0" w:after="283"/>
              <w:jc w:val="left"/>
              <w:rPr/>
            </w:pPr>
            <w:r>
              <w:rPr/>
              <w:t> </w:t>
            </w:r>
          </w:p>
        </w:tc>
        <w:tc>
          <w:tcPr>
            <w:tcW w:w="1482" w:type="dxa"/>
            <w:tcBorders/>
            <w:vAlign w:val="center"/>
          </w:tcPr>
          <w:p>
            <w:pPr>
              <w:pStyle w:val="TableContents"/>
              <w:pBdr>
                <w:bottom w:val="single" w:sz="2" w:space="1" w:color="000000"/>
              </w:pBdr>
              <w:bidi w:val="0"/>
              <w:spacing w:before="0" w:after="20"/>
              <w:jc w:val="left"/>
              <w:rPr/>
            </w:pPr>
            <w:r>
              <w:rPr/>
              <w:t>  </w:t>
            </w:r>
          </w:p>
        </w:tc>
      </w:tr>
      <w:tr>
        <w:trPr/>
        <w:tc>
          <w:tcPr>
            <w:tcW w:w="3154" w:type="dxa"/>
            <w:gridSpan w:val="3"/>
            <w:tcBorders/>
            <w:vAlign w:val="center"/>
          </w:tcPr>
          <w:p>
            <w:pPr>
              <w:pStyle w:val="TableContents"/>
              <w:bidi w:val="0"/>
              <w:spacing w:before="0" w:after="283"/>
              <w:jc w:val="left"/>
              <w:rPr/>
            </w:pPr>
            <w:r>
              <w:rPr/>
              <w:t>Name:</w:t>
            </w:r>
          </w:p>
        </w:tc>
      </w:tr>
      <w:tr>
        <w:trPr/>
        <w:tc>
          <w:tcPr>
            <w:tcW w:w="3154" w:type="dxa"/>
            <w:gridSpan w:val="3"/>
            <w:tcBorders/>
            <w:vAlign w:val="center"/>
          </w:tcPr>
          <w:p>
            <w:pPr>
              <w:pStyle w:val="TableContents"/>
              <w:bidi w:val="0"/>
              <w:spacing w:before="0" w:after="283"/>
              <w:jc w:val="left"/>
              <w:rPr/>
            </w:pPr>
            <w:r>
              <w:rPr/>
              <w:t>Title:</w:t>
            </w:r>
          </w:p>
        </w:tc>
      </w:tr>
      <w:tr>
        <w:trPr/>
        <w:tc>
          <w:tcPr>
            <w:tcW w:w="315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pPr>
            <w:r>
              <w:rPr/>
              <w:t>ASPEN:</w:t>
            </w:r>
          </w:p>
        </w:tc>
      </w:tr>
      <w:tr>
        <w:trPr/>
        <w:tc>
          <w:tcPr>
            <w:tcW w:w="3154" w:type="dxa"/>
            <w:gridSpan w:val="3"/>
            <w:tcBorders/>
            <w:vAlign w:val="center"/>
          </w:tcPr>
          <w:p>
            <w:pPr>
              <w:pStyle w:val="TableContents"/>
              <w:bidi w:val="0"/>
              <w:spacing w:before="0" w:after="283"/>
              <w:jc w:val="left"/>
              <w:rPr/>
            </w:pPr>
            <w:r>
              <w:rPr/>
              <w:t>AVROBIO, Inc.</w:t>
            </w:r>
          </w:p>
        </w:tc>
      </w:tr>
      <w:tr>
        <w:trPr/>
        <w:tc>
          <w:tcPr>
            <w:tcW w:w="1409" w:type="dxa"/>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1409" w:type="dxa"/>
            <w:tcBorders/>
            <w:vAlign w:val="center"/>
          </w:tcPr>
          <w:p>
            <w:pPr>
              <w:pStyle w:val="TableContents"/>
              <w:bidi w:val="0"/>
              <w:spacing w:before="0" w:after="283"/>
              <w:jc w:val="left"/>
              <w:rPr/>
            </w:pPr>
            <w:r>
              <w:rPr/>
              <w:t>By:</w:t>
            </w:r>
          </w:p>
        </w:tc>
        <w:tc>
          <w:tcPr>
            <w:tcW w:w="263" w:type="dxa"/>
            <w:tcBorders/>
            <w:vAlign w:val="center"/>
          </w:tcPr>
          <w:p>
            <w:pPr>
              <w:pStyle w:val="TableContents"/>
              <w:bidi w:val="0"/>
              <w:spacing w:before="0" w:after="283"/>
              <w:jc w:val="left"/>
              <w:rPr/>
            </w:pPr>
            <w:r>
              <w:rPr/>
              <w:t> </w:t>
            </w:r>
          </w:p>
        </w:tc>
        <w:tc>
          <w:tcPr>
            <w:tcW w:w="1482" w:type="dxa"/>
            <w:tcBorders/>
            <w:vAlign w:val="center"/>
          </w:tcPr>
          <w:p>
            <w:pPr>
              <w:pStyle w:val="TableContents"/>
              <w:pBdr>
                <w:bottom w:val="single" w:sz="2" w:space="1" w:color="000000"/>
              </w:pBdr>
              <w:bidi w:val="0"/>
              <w:spacing w:before="0" w:after="20"/>
              <w:jc w:val="left"/>
              <w:rPr/>
            </w:pPr>
            <w:r>
              <w:rPr/>
              <w:t>  </w:t>
            </w:r>
          </w:p>
        </w:tc>
      </w:tr>
      <w:tr>
        <w:trPr/>
        <w:tc>
          <w:tcPr>
            <w:tcW w:w="3154" w:type="dxa"/>
            <w:gridSpan w:val="3"/>
            <w:tcBorders/>
            <w:vAlign w:val="center"/>
          </w:tcPr>
          <w:p>
            <w:pPr>
              <w:pStyle w:val="TableContents"/>
              <w:bidi w:val="0"/>
              <w:spacing w:before="0" w:after="283"/>
              <w:jc w:val="left"/>
              <w:rPr/>
            </w:pPr>
            <w:r>
              <w:rPr/>
              <w:t>Name:</w:t>
            </w:r>
          </w:p>
        </w:tc>
      </w:tr>
      <w:tr>
        <w:trPr/>
        <w:tc>
          <w:tcPr>
            <w:tcW w:w="3154" w:type="dxa"/>
            <w:gridSpan w:val="3"/>
            <w:tcBorders/>
            <w:vAlign w:val="center"/>
          </w:tcPr>
          <w:p>
            <w:pPr>
              <w:pStyle w:val="TableContents"/>
              <w:bidi w:val="0"/>
              <w:spacing w:before="0" w:after="283"/>
              <w:jc w:val="left"/>
              <w:rPr/>
            </w:pPr>
            <w:r>
              <w:rPr/>
              <w:t>Title:</w:t>
            </w:r>
          </w:p>
        </w:tc>
      </w:tr>
      <w:tr>
        <w:trPr/>
        <w:tc>
          <w:tcPr>
            <w:tcW w:w="315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Email: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1" w:name="toc770053_204"/>
      <w:bookmarkEnd w:id="331"/>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January 30, 2024, by and among Tectonic Therapeutic, Inc., a Delaware corporation (the “</w:t>
      </w:r>
      <w:r>
        <w:rPr>
          <w:rFonts w:ascii="Times New Roman" w:hAnsi="Times New Roman"/>
          <w:sz w:val="20"/>
          <w:u w:val="single"/>
        </w:rPr>
        <w:t>Company</w:t>
      </w:r>
      <w:r>
        <w:rPr>
          <w:rFonts w:ascii="Times New Roman" w:hAnsi="Times New Roman"/>
          <w:sz w:val="20"/>
        </w:rPr>
        <w:t>”), AVROBIO, Inc., a Delaware corporation (“</w:t>
      </w:r>
      <w:r>
        <w:rPr>
          <w:rFonts w:ascii="Times New Roman" w:hAnsi="Times New Roman"/>
          <w:sz w:val="20"/>
          <w:u w:val="single"/>
        </w:rPr>
        <w:t>Aspen</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the Company. Capitalized terms used herein but not otherwise defined shall have the respective meanings ascribed to such terms in the Merger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Aspen, the Company and Alpine Merger Subsidiary, Inc., a Delaware corporation and a wholly owned subsidiary of Aspen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Aspen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and Company Convertible Notes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Aspen to enter into the Merger Agreement, Aspen has required that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Aspen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the Voting Agreement of the Company, dated as of March 31, 2021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or the investment adviser of a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(vi) pursuant to a qualified domestic order, (vii) to any charitable organization, or (viii) by effecting a “net exercise” of a Company Option or a “net settlement” of a Company Restricted Stock Unit in which the Company holds back shares of Company Common Stock otherwise issuable (but not the sale of already-owned shares of Company Common Stock) either to pay the exercise price upon the exercise of a Company Option or settlement of a Company Restricted Stock Unit or to satisfy the Stockholder’s tax withholding obligation upon the exercise of a Company Option or settlement of a Company Restricted Stock Unit, in each case as permitted pursuant to the terms of any Company Employee Plan and (ix) with respect to any Stockholder that is an entity, to any Affiliate of such Stockholder or to one or more partners or members of such Stockholder; </w:t>
      </w:r>
      <w:r>
        <w:rPr>
          <w:rFonts w:ascii="Times New Roman" w:hAnsi="Times New Roman"/>
          <w:sz w:val="20"/>
          <w:u w:val="single"/>
        </w:rPr>
        <w:t>provided</w:t>
      </w:r>
      <w:r>
        <w:rPr>
          <w:rFonts w:ascii="Times New Roman" w:hAnsi="Times New Roman"/>
          <w:sz w:val="20"/>
        </w:rPr>
        <w:t xml:space="preserve">, that in the cases of clauses (i)-(vi), (x) such Transferred Shares shall continue to be bound by this Agreement and (y) the applicable direct transferee (if any) of such Transferred Shares shall have executed and delivered to Aspen and the Company a support agreement substantially identical to this Agreement upon consummation of the Transfer or (vii)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 to consent with respect to, all Shares held by the Stockholder (A) to adopt and approve the Merger Agreement, (B) to approve the Contemplated Transactions, (C) to approve an amendment to the Company’ certificate of incorporation to effect the Company Authorized Share Increase, (D) to the extent the Stockholder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Further, to the extent the Stockholder holds any Company SAFEs, the Stockholder hereby understands that such Company SAFEs shall convert into shares of Company Common Stock in accordance with Section 2.5(g) of the Merger Agreement at the same price per share at which the shares of Company Common Stock is sold pursuant to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Notwithstanding anything in this Agreement to the contrary, the Stockholder is entering into this Agreement solely in the Stockholder’s capacity as the beneficial owner of its Shares and not in the Stockholder’s capacity as a director or officer of the Company,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the Company,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From and after the date hereof until the Expiration Date, the Stockholder will not, and will not permit any entity under such Stockholder’s control to, take any action that the Company is prohibited from taking pursuant to Section 5.4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Aspen and the Company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the Company Board has (or may be alleged to have) to the Company or to the other Company stockholders;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 The 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free and clear of any and all Encumbrances (except for any Encumbrance that may be imposed pursuant to this Agreement, the Voting Agreement, the Investors’ Rights Agreement of the Company, dated as of March 31, 2021 (the “</w:t>
      </w:r>
      <w:r>
        <w:rPr>
          <w:rFonts w:ascii="Times New Roman" w:hAnsi="Times New Roman"/>
          <w:sz w:val="20"/>
          <w:u w:val="single"/>
        </w:rPr>
        <w:t>Investors’ Rights Agreement</w:t>
      </w:r>
      <w:r>
        <w:rPr>
          <w:rFonts w:ascii="Times New Roman" w:hAnsi="Times New Roman"/>
          <w:sz w:val="20"/>
        </w:rPr>
        <w:t xml:space="preserve">”), or any lock-up agreement entered into by and between the Stockholder, the Company and Aspen); and (ii) the Stockholder does not beneficially own any securities of the Company other than the shares of Company Capital Stock and rights to purchase shares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Stockholder that is an entity, the Stockholder is duly organized, validly existing and in good standing under the laws of the jurisdiction of its formation and is qualified to conduct its business in those jurisdictions necessary to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 </w:t>
      </w:r>
    </w:p>
    <w:p>
      <w:pPr>
        <w:pStyle w:val="TextBody"/>
        <w:bidi w:val="0"/>
        <w:spacing w:before="120" w:after="0"/>
        <w:jc w:val="left"/>
        <w:rPr>
          <w:rFonts w:ascii="Times New Roman" w:hAnsi="Times New Roman"/>
          <w:sz w:val="20"/>
        </w:rPr>
      </w:pPr>
      <w:r>
        <w:rPr>
          <w:rFonts w:ascii="Times New Roman" w:hAnsi="Times New Roman"/>
          <w:sz w:val="20"/>
        </w:rPr>
        <w:t xml:space="preserve">(g)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Each Stockholder, by this Agreement, and with respect to such Stockholder’s Shares, severally and not jointly, hereby agrees to terminate, subject to the occurrence of, and effective immediately prior to, the Effective Time, each of (a) the agreements set forth on Appendix B hereto and (b) any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time this Agreement is terminated upon the written agreement of the Stockholder, the Company and Aspen and (c) the Effective Time (the “</w:t>
      </w:r>
      <w:r>
        <w:rPr>
          <w:rFonts w:ascii="Times New Roman" w:hAnsi="Times New Roman"/>
          <w:b/>
          <w:i/>
          <w:sz w:val="20"/>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(i)</w:t>
      </w:r>
      <w:r>
        <w:rPr>
          <w:rFonts w:ascii="Times New Roman" w:hAnsi="Times New Roman"/>
          <w:sz w:val="20"/>
          <w:u w:val="single"/>
        </w:rPr>
        <w:t> Section 13</w:t>
      </w:r>
      <w:r>
        <w:rPr>
          <w:rFonts w:ascii="Times New Roman" w:hAnsi="Times New Roman"/>
          <w:sz w:val="20"/>
        </w:rPr>
        <w:t xml:space="preserv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survive the termination of this Agreement, and (ii) the termination of this Agreement shall not relieve any party hereto from any liability for fraud or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Further Assurances</w:t>
      </w:r>
      <w:r>
        <w:rPr>
          <w:rFonts w:ascii="Times New Roman" w:hAnsi="Times New Roman"/>
          <w:sz w:val="20"/>
        </w:rPr>
        <w:t xml:space="preserve">.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13(c)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13(k)</w:t>
      </w:r>
      <w:r>
        <w:rPr>
          <w:rFonts w:ascii="Times New Roman" w:hAnsi="Times New Roman"/>
          <w:sz w:val="20"/>
        </w:rPr>
        <w:t xml:space="preserve"> of this Agreement and (vi)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hAnsi="Times New Roman"/>
          <w:sz w:val="20"/>
          <w:u w:val="single"/>
        </w:rPr>
        <w:t>Section 13(d)</w:t>
      </w:r>
      <w:r>
        <w:rPr>
          <w:rFonts w:ascii="Times New Roman" w:hAnsi="Times New Roman"/>
          <w:sz w:val="20"/>
        </w:rPr>
        <w:t xml:space="preserve"> is void.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3.5 of the Investors’ Rights Agreement.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hAnsi="Times New Roman"/>
          <w:sz w:val="20"/>
          <w:u w:val="single"/>
        </w:rPr>
        <w:t>Section 13(i)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No Ownership Interest. Nothing contained in this Agreement shall be deemed to vest in the Company any direct or indirect ownership or incidence of ownership of or with respect to the Shares. All rights, ownership and economic benefits of and relating to the Shares shall remain vested in and below to the Stockholder, and the Company shall have no authority to direct the Stockholder in the voting or disposition of any Shares, expect as specifically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(l) Non-Survival of Representations and Warranties. None of the representations and warranties in this Agreement shall survive the Effective Time.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2180" w:type="dxa"/>
        <w:jc w:val="left"/>
        <w:tblInd w:w="0" w:type="dxa"/>
        <w:tblLayout w:type="fixed"/>
        <w:tblCellMar>
          <w:top w:w="0" w:type="dxa"/>
          <w:left w:w="0" w:type="dxa"/>
          <w:bottom w:w="0" w:type="dxa"/>
          <w:right w:w="0" w:type="dxa"/>
        </w:tblCellMar>
      </w:tblPr>
      <w:tblGrid>
        <w:gridCol w:w="2180"/>
      </w:tblGrid>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COMPANY:</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Tectonic Therapeutic, Inc.</w:t>
            </w:r>
          </w:p>
        </w:tc>
      </w:tr>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pBdr>
                <w:bottom w:val="single" w:sz="2" w:space="1" w:color="000000"/>
              </w:pBdr>
              <w:bidi w:val="0"/>
              <w:spacing w:before="0" w:after="20"/>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ASPEN:</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AVROBIO, Inc.</w:t>
            </w:r>
          </w:p>
        </w:tc>
      </w:tr>
      <w:tr>
        <w:trPr/>
        <w:tc>
          <w:tcPr>
            <w:tcW w:w="218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pBdr>
                <w:bottom w:val="single" w:sz="2" w:space="1" w:color="000000"/>
              </w:pBdr>
              <w:bidi w:val="0"/>
              <w:spacing w:before="0" w:after="20"/>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155" w:type="dxa"/>
        <w:jc w:val="left"/>
        <w:tblInd w:w="0" w:type="dxa"/>
        <w:tblLayout w:type="fixed"/>
        <w:tblCellMar>
          <w:top w:w="0" w:type="dxa"/>
          <w:left w:w="0" w:type="dxa"/>
          <w:bottom w:w="0" w:type="dxa"/>
          <w:right w:w="0" w:type="dxa"/>
        </w:tblCellMar>
      </w:tblPr>
      <w:tblGrid>
        <w:gridCol w:w="3155"/>
      </w:tblGrid>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283"/>
              <w:jc w:val="left"/>
              <w:rPr>
                <w:sz w:val="4"/>
                <w:szCs w:val="4"/>
              </w:rPr>
            </w:pPr>
            <w:r>
              <w:rPr>
                <w:sz w:val="4"/>
                <w:szCs w:val="4"/>
              </w:rPr>
            </w:r>
          </w:p>
        </w:tc>
      </w:tr>
      <w:tr>
        <w:trPr/>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B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Agreement, dated as of March 31, 2021, by and among Tectonic Therapeutic, Inc., the Stockholder, and the other parties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Right of First Refusal and Co-Sale Agreement, dated as of March 31, 2021, by and among Tectonic Therapeutic, Inc., the Stockholder, and the other parties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Rights Agreement, dated as of March 31, 2021, by and among Tectonic Therapeutic, Inc., the Stockholder, and the other parties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2" w:name="toc770053_205"/>
      <w:bookmarkEnd w:id="332"/>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AVROBIO, Inc., a Delaware corporation (“</w:t>
      </w:r>
      <w:r>
        <w:rPr>
          <w:rFonts w:ascii="Times New Roman" w:hAnsi="Times New Roman"/>
          <w:sz w:val="20"/>
          <w:u w:val="single"/>
        </w:rPr>
        <w:t>Aspen</w:t>
      </w:r>
      <w:r>
        <w:rPr>
          <w:rFonts w:ascii="Times New Roman" w:hAnsi="Times New Roman"/>
          <w:sz w:val="20"/>
        </w:rPr>
        <w:t>”), is entering into an Agreement and Plan of Merger, dated as of January 30, 2024 (as the same may be amended from time to time, the “</w:t>
      </w:r>
      <w:r>
        <w:rPr>
          <w:rFonts w:ascii="Times New Roman" w:hAnsi="Times New Roman"/>
          <w:sz w:val="20"/>
          <w:u w:val="single"/>
        </w:rPr>
        <w:t>Merger Agreement</w:t>
      </w:r>
      <w:r>
        <w:rPr>
          <w:rFonts w:ascii="Times New Roman" w:hAnsi="Times New Roman"/>
          <w:sz w:val="20"/>
        </w:rPr>
        <w:t>”) with Alpine Merger Subsidiary, Inc., a Delaware corporation and a wholly owned subsidiary of Aspen, and Tectonic Therapeutic,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Aspen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Aspen,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common stock, $0.0001 par value per share, of Aspen (“</w:t>
      </w:r>
      <w:r>
        <w:rPr>
          <w:rFonts w:ascii="Times New Roman" w:hAnsi="Times New Roman"/>
          <w:sz w:val="20"/>
          <w:u w:val="single"/>
        </w:rPr>
        <w:t>Aspen Common Stock</w:t>
      </w:r>
      <w:r>
        <w:rPr>
          <w:rFonts w:ascii="Times New Roman" w:hAnsi="Times New Roman"/>
          <w:sz w:val="20"/>
        </w:rPr>
        <w:t>”) or any securities convertible into or exercisable or exchangeable for shares of Aspen Common Stock (including without limitation, (a) shares of Aspen Common Stock or such other securities of Aspen that may be deemed to be owned of record or beneficially (including holding as a custodian) by the undersigned in accordance with the rules and regulations of the SEC, (b) securities of Aspen which may be issued upon exercise of an option to purchase shares of Aspen Common Stock or warrant to purchase shares of Aspen Common Stock or settlement of a restricted stock unit or restricted stock award and (c) Aspen Common Stock or such other securities to be issued to the undersigned in connection with the Merger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Aspen Common Stock or other securities, in cash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Aspen Common Stock or any security convertible into or exercisable or exchangeable for shares of Aspen Common Stock (other than such rights set forth in the Merger Agreement or the Subscription Agreement); or </w:t>
      </w:r>
    </w:p>
    <w:p>
      <w:pPr>
        <w:pStyle w:val="TextBody"/>
        <w:bidi w:val="0"/>
        <w:spacing w:before="120" w:after="0"/>
        <w:jc w:val="left"/>
        <w:rPr>
          <w:rFonts w:ascii="Times New Roman" w:hAnsi="Times New Roman"/>
          <w:sz w:val="20"/>
        </w:rPr>
      </w:pPr>
      <w:r>
        <w:rPr>
          <w:rFonts w:ascii="Times New Roman" w:hAnsi="Times New Roman"/>
          <w:sz w:val="20"/>
        </w:rPr>
        <w:t xml:space="preserve">(4)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 xml:space="preserve">(1) (A) to any person related to the undersigned (or related to an ultimate beneficial owner of the undersigned) by blood or adoption who is an immediate family member of the undersigned, or by marriage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domestic partnership (a “</w:t>
      </w:r>
      <w:r>
        <w:rPr>
          <w:rFonts w:ascii="Times New Roman" w:hAnsi="Times New Roman"/>
          <w:sz w:val="20"/>
          <w:u w:val="single"/>
        </w:rPr>
        <w:t>Family Member</w:t>
      </w:r>
      <w:r>
        <w:rPr>
          <w:rFonts w:ascii="Times New Roman" w:hAnsi="Times New Roman"/>
          <w:sz w:val="20"/>
        </w:rPr>
        <w:t xml:space="preserve">”), or to a trust formed for the direct or indirect benefit of the undersigned or any of the undersigned’s Family Members, (B) to the undersigned’s estate, following the death of the undersigned, by will, intestacy or other operation of Law, (C) as a bona fide gift to a charitable organization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 partnership, limited liability company or other business entity</w:t>
      </w:r>
      <w:r>
        <w:rPr>
          <w:rFonts w:ascii="Times New Roman" w:hAnsi="Times New Roman"/>
          <w:sz w:val="20"/>
        </w:rPr>
        <w:t>, (A) to another corporation, partnership, limited liability company or other business entity that is a direct or indirect affiliate (as defined under Rule 12b-2 of the Securities Exchange Act of 1934, as amended (the “</w:t>
      </w:r>
      <w:r>
        <w:rPr>
          <w:rFonts w:ascii="Times New Roman" w:hAnsi="Times New Roman"/>
          <w:sz w:val="20"/>
          <w:u w:val="single"/>
        </w:rPr>
        <w:t>Exchange Act</w:t>
      </w:r>
      <w:r>
        <w:rPr>
          <w:rFonts w:ascii="Times New Roman" w:hAnsi="Times New Roman"/>
          <w:sz w:val="20"/>
        </w:rPr>
        <w:t xml:space="preserve">”)) of the undersigned, including investment funds or other business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to a charitable organization or a charitable contribution or otherwise to a trust or other entity for the direct or indirect benefit of a Family Member of a beneficial owner (as defined in Rule 13d-3 of the Exchange Act) of the Undersigned’s Shares or (D) transfers or dispositions not involving a change in beneficial ownership;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1(A), 1(E) or 2(A)) and each donee, heir, beneficiary or other transferee or distributee shall sign and deliver to Aspen a lock-up agreement in substantially the form of this Lock-Up Agreement with respect to the shares of Aspen Common Stock or such other securities that have been so transferred or distributed;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Aspen Common Stock (including a net or cashless exercise of an option to purchase shares of Aspen Common Stock), and any related transfer of shares of Aspen Common Stock to Aspen for the purpose of paying the exercise price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Aspen Common Stock issued in connection with such exercise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Aspen in connection with the net settlement of any restricted stock unit or other equity award that represents the right to receive in the future shares of Aspen Common Stock, settled in shares of Aspen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Aspen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establishment of a trading plan pursuant to Rule 10b5-1 under the Exchange Act for the transfer of shares of Aspen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Aspen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transfers or sales by the undersigned of shares of Aspen Common Stock purchased by the undersigned on the open market or in a public offering by Aspen, in each case following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transfers pursuant to a bona-fide third party tender offer, merger, consolidation or other similar transaction made to all holders of Aspen’s capital stock involving a change of control of Aspen (including entering into any lock-up, voting or similar agreement pursuant to which the undersigned may agree to transfer, sell, tender or otherwise dispose of shares of Aspen Common Stock (or any security convertible into or exercisable for Aspen Common Stock), or vote any shares of Aspen Common Stock in favor of any such transaction or taking any other action in connection with any such transaction),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transfers by the undersigned of shares of Aspen Common Stock to Aspen in connection with the termination of employment or other termination of the undersigned and pursuant to agreements in effect as of the Effective Time whereby Aspen has the option to repurchase such shares or securities;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240" w:after="0"/>
        <w:jc w:val="left"/>
        <w:rPr>
          <w:rFonts w:ascii="Times New Roman" w:hAnsi="Times New Roman"/>
          <w:sz w:val="20"/>
        </w:rPr>
      </w:pPr>
      <w:r>
        <w:rPr>
          <w:rFonts w:ascii="Times New Roman" w:hAnsi="Times New Roman"/>
          <w:sz w:val="20"/>
        </w:rPr>
        <w:t xml:space="preserve">(i) transfers or sales by the undersigned of shares of Aspen Common Stock issued pursuant to the Merger Agreement in respect of shares of the Company purchased from the Company in the Concurrent Investment immediately prior to the Specified Time; or </w:t>
      </w:r>
    </w:p>
    <w:p>
      <w:pPr>
        <w:pStyle w:val="TextBody"/>
        <w:bidi w:val="0"/>
        <w:spacing w:before="120" w:after="0"/>
        <w:jc w:val="left"/>
        <w:rPr>
          <w:rFonts w:ascii="Times New Roman" w:hAnsi="Times New Roman"/>
          <w:sz w:val="20"/>
        </w:rPr>
      </w:pPr>
      <w:r>
        <w:rPr>
          <w:rFonts w:ascii="Times New Roman" w:hAnsi="Times New Roman"/>
          <w:sz w:val="20"/>
        </w:rPr>
        <w:t xml:space="preserve">(j) sales or other transfers with the prior written consent of Aspen.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as the case may be) under Section 16 of the Exchange Act or other public announcement shall be made voluntarily reporting a reduction in beneficial ownership of shares of Aspen Common Stock or in beneficial ownership of any securities convertible into or exercisable or exchangeable for Aspen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Aspen Common Stock in connection with such transfer or distribution, shall be required under applicable federal and state securities laws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Aspen’s voting securities if, after such transfer, Aspen’s stockholders as of immediately prior to such transfer do not hold a majority of the outstanding voting securities of Aspen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Aspen. In furtherance of the foregoing, the undersigned agrees that Aspen and any duly appointed transfer agent for the registration or transfer of the securities described herein are hereby authorized to decline to make any transfer of securities if such transfer would constitute a violation or breach of this Lock-Up Agreement. Aspen may cause the legend set forth below, or a legend substantially equivalent thereto, to be placed upon any certificate(s) or other documents, ledgers or instruments evidencing the undersigned’s ownership of Aspen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Lock-Up Agreement represents a contractual agreement between the parties hereto, and to the extent any term of this Lock-Up Agreement (as amended, supplemented, restated or otherwise modified from time to time) directly conflicts with the terms of Aspen’s bylaws, as amended, the terms of this Lock-Up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terminate automatically, and the undersigned shall automatically be released from all restrictions and obligations under this Lock-Up Agreement upon the earlier of the (i) the expiration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Restricted Period and (ii) if the Merger Agreement is terminated for any reason, upon the date of such termination. The undersigned understands that Aspen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herein, any and all remedies herein expressly conferred upon Aspen and the Company will be deemed cumulative with and not exclusive of any other remedy conferred hereby, or by Law or equity, and the exercise by Aspen and/or the Company of any one remedy will not preclude the exercise of any other remedy. The undersigned agrees that irreparable damage for which monetary damages, even if available, would not be an adequate remedy, would occur to Aspen and the Company in the event that any provision of this Lock-Up Agreement was not performed in accordance with its specific terms (including failing to take such actions as are required of it hereunder to consummate this Agreement) or were otherwise breached. It is accordingly agreed that Aspen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Aspen and the Company are entitled at Law or in equity, and the undersigned waives any bond, surety or other security that might be required of Aspen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Aspen’s securities that are subject to a substantially similar agreement entered into by such holder, other than the undersigned, is permitted by Aspen to sell or otherwise transfer or dispose of shares of Aspen Common Stock for value other than as permitted by this or a substantially similar agreement entered into by such holder (whether in one or multiple releases or waivers), the same percentage of shares of Aspen Common Stock held by the undersigned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Aspen to an equity holder or equity holders to sell or otherwise transfer or dispose of all or a portion of such equity holder’s shares of Aspen Common Stock that, when combined with all such other such permissions and early releases granted to such equity holder, represents an amount which exceeds 1% of the number of shares of Aspen Common Stock originally subject to a substantially similar agreement. In the event of any Pro-Rata Release, Aspen shall promptly (and in any event within three (3) business days of such release) inform the undersigned of the terms of such Pro-Rata Release.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Aspen shall reasonably cooperate with the undersigned to facilitate the timely preparation and delivery of certificates representing the Undersigned Shares without the restrictive legend above or the withdrawal of any stop transfer instructions by virtue of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counterparts, each of which shall be deemed an original and all of which shall constitute one and the same instrument. The exchange of a fully executed Lock-Up Agreement (in counterparts or otherwise) by all parties by electronic transmission in PDF format shall be sufficient to bind the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259" w:type="dxa"/>
        <w:jc w:val="left"/>
        <w:tblInd w:w="0" w:type="dxa"/>
        <w:tblLayout w:type="fixed"/>
        <w:tblCellMar>
          <w:top w:w="0" w:type="dxa"/>
          <w:left w:w="0" w:type="dxa"/>
          <w:bottom w:w="0" w:type="dxa"/>
          <w:right w:w="0" w:type="dxa"/>
        </w:tblCellMar>
      </w:tblPr>
      <w:tblGrid>
        <w:gridCol w:w="2630"/>
        <w:gridCol w:w="60"/>
        <w:gridCol w:w="928"/>
        <w:gridCol w:w="135"/>
        <w:gridCol w:w="1506"/>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pPr>
            <w:r>
              <w:rPr/>
              <w:t>Very truly yours,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629"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right"/>
              <w:rPr/>
            </w:pPr>
            <w:r>
              <w:rPr/>
              <w:t>Print Name of Stockholder:</w:t>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pPr>
            <w:r>
              <w:rPr/>
              <w:t>Signature (for individuals):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9" w:type="dxa"/>
            <w:gridSpan w:val="3"/>
            <w:tcBorders/>
            <w:vAlign w:val="center"/>
          </w:tcPr>
          <w:p>
            <w:pPr>
              <w:pStyle w:val="TableContents"/>
              <w:bidi w:val="0"/>
              <w:spacing w:before="0" w:after="283"/>
              <w:jc w:val="left"/>
              <w:rPr/>
            </w:pPr>
            <w:r>
              <w:rPr/>
              <w:t>Signature (for entities):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By: </w:t>
            </w:r>
          </w:p>
        </w:tc>
        <w:tc>
          <w:tcPr>
            <w:tcW w:w="135" w:type="dxa"/>
            <w:tcBorders/>
            <w:vAlign w:val="center"/>
          </w:tcPr>
          <w:p>
            <w:pPr>
              <w:pStyle w:val="TableContents"/>
              <w:bidi w:val="0"/>
              <w:spacing w:before="0" w:after="283"/>
              <w:jc w:val="left"/>
              <w:rPr/>
            </w:pPr>
            <w:r>
              <w:rPr/>
              <w:t> </w:t>
            </w:r>
          </w:p>
        </w:tc>
        <w:tc>
          <w:tcPr>
            <w:tcW w:w="1506" w:type="dxa"/>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left"/>
              <w:rPr/>
            </w:pPr>
            <w:r>
              <w:rPr/>
              <w:t>Name:</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2590" w:type="dxa"/>
        <w:jc w:val="left"/>
        <w:tblInd w:w="0" w:type="dxa"/>
        <w:tblLayout w:type="fixed"/>
        <w:tblCellMar>
          <w:top w:w="0" w:type="dxa"/>
          <w:left w:w="0" w:type="dxa"/>
          <w:bottom w:w="0" w:type="dxa"/>
          <w:right w:w="0" w:type="dxa"/>
        </w:tblCellMar>
      </w:tblPr>
      <w:tblGrid>
        <w:gridCol w:w="665"/>
        <w:gridCol w:w="60"/>
        <w:gridCol w:w="186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259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AVROBIO,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Erik Ostrowski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pPr>
            <w:r>
              <w:rPr/>
              <w:t>Interim CEO, CFO</w:t>
            </w:r>
          </w:p>
        </w:tc>
      </w:tr>
      <w:tr>
        <w:trPr/>
        <w:tc>
          <w:tcPr>
            <w:tcW w:w="2590"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Tectonic Therapeutic,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3" w:name="toc770053_206"/>
      <w:bookmarkEnd w:id="333"/>
      <w:r>
        <w:rPr>
          <w:rFonts w:ascii="Times New Roman" w:hAnsi="Times New Roman"/>
          <w:b/>
          <w:sz w:val="20"/>
        </w:rPr>
        <w:t xml:space="preserve">Annex F </w:t>
      </w:r>
    </w:p>
    <w:p>
      <w:pPr>
        <w:pStyle w:val="TextBody"/>
        <w:bidi w:val="0"/>
        <w:spacing w:before="240" w:after="0"/>
        <w:jc w:val="right"/>
        <w:rPr>
          <w:rFonts w:ascii="Times New Roman" w:hAnsi="Times New Roman"/>
          <w:b/>
          <w:i/>
          <w:sz w:val="20"/>
        </w:rPr>
      </w:pPr>
      <w:r>
        <w:rPr>
          <w:rFonts w:ascii="Times New Roman" w:hAnsi="Times New Roman"/>
          <w:b/>
          <w:i/>
          <w:sz w:val="20"/>
        </w:rPr>
        <w:t xml:space="preserve">FINAL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CONTINGENT VALUE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[_____], 2024, is entered into by and among AVROBIO, Inc., a Delaware corporation (the “</w:t>
      </w:r>
      <w:r>
        <w:rPr>
          <w:rFonts w:ascii="Times New Roman" w:hAnsi="Times New Roman"/>
          <w:b/>
          <w:sz w:val="20"/>
        </w:rPr>
        <w:t>Company</w:t>
      </w:r>
      <w:r>
        <w:rPr>
          <w:rFonts w:ascii="Times New Roman" w:hAnsi="Times New Roman"/>
          <w:sz w:val="20"/>
        </w:rPr>
        <w:t>”) and [_____], a [_____] corporation (“</w:t>
      </w:r>
      <w:r>
        <w:rPr>
          <w:rFonts w:ascii="Times New Roman" w:hAnsi="Times New Roman"/>
          <w:b/>
          <w:sz w:val="20"/>
        </w:rPr>
        <w:t>Rights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Alpine Merger Subsidiary, Inc., a Delaware corporation and wholly-owned subsidiary of the Company (“</w:t>
      </w:r>
      <w:r>
        <w:rPr>
          <w:rFonts w:ascii="Times New Roman" w:hAnsi="Times New Roman"/>
          <w:b/>
          <w:sz w:val="20"/>
        </w:rPr>
        <w:t>Merger Sub</w:t>
      </w:r>
      <w:r>
        <w:rPr>
          <w:rFonts w:ascii="Times New Roman" w:hAnsi="Times New Roman"/>
          <w:sz w:val="20"/>
        </w:rPr>
        <w:t>”), and Tectonic Therapeutic, Inc., a Delaware corporation (“</w:t>
      </w:r>
      <w:r>
        <w:rPr>
          <w:rFonts w:ascii="Times New Roman" w:hAnsi="Times New Roman"/>
          <w:b/>
          <w:sz w:val="20"/>
        </w:rPr>
        <w:t>Tyrol</w:t>
      </w:r>
      <w:r>
        <w:rPr>
          <w:rFonts w:ascii="Times New Roman" w:hAnsi="Times New Roman"/>
          <w:sz w:val="20"/>
        </w:rPr>
        <w:t>”), have entered into an Agreement and Plan of Merger and Reorganization, dated as of January 30, 2024 (the “</w:t>
      </w:r>
      <w:r>
        <w:rPr>
          <w:rFonts w:ascii="Times New Roman" w:hAnsi="Times New Roman"/>
          <w:b/>
          <w:sz w:val="20"/>
        </w:rPr>
        <w:t>Merger Agreement</w:t>
      </w:r>
      <w:r>
        <w:rPr>
          <w:rFonts w:ascii="Times New Roman" w:hAnsi="Times New Roman"/>
          <w:sz w:val="20"/>
        </w:rPr>
        <w:t xml:space="preserve">”), pursuant to which Merger Sub will merge with and into Tyrol, with Tyrol surviving the Merger as a wholly-owned subsidiary of the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provide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24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30% of the outstanding CVRs, as reflected on the CVR Register. </w:t>
      </w:r>
    </w:p>
    <w:p>
      <w:pPr>
        <w:pStyle w:val="TextBody"/>
        <w:bidi w:val="0"/>
        <w:spacing w:before="240" w:after="0"/>
        <w:jc w:val="left"/>
        <w:rPr/>
      </w:pPr>
      <w:r>
        <w:rPr/>
        <w:t>“</w:t>
      </w:r>
      <w:r>
        <w:rPr>
          <w:rFonts w:ascii="Times New Roman" w:hAnsi="Times New Roman"/>
          <w:b/>
          <w:sz w:val="20"/>
        </w:rPr>
        <w:t>Assignee</w:t>
      </w:r>
      <w:r>
        <w:rPr>
          <w:rFonts w:ascii="Times New Roman" w:hAnsi="Times New Roman"/>
          <w:sz w:val="20"/>
        </w:rPr>
        <w:t xml:space="preserve">” has the meaning set forth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Calendar Quarter</w:t>
      </w:r>
      <w:r>
        <w:rPr>
          <w:rFonts w:ascii="Times New Roman" w:hAnsi="Times New Roman"/>
          <w:sz w:val="20"/>
        </w:rPr>
        <w:t xml:space="preserve">” means the successive periods of three (3) consecutive calendar months ending on March 31, June 30, September 30 or December 31, for so long as this Agreement is in effect; </w:t>
      </w:r>
      <w:r>
        <w:rPr>
          <w:rFonts w:ascii="Times New Roman" w:hAnsi="Times New Roman"/>
          <w:i/>
          <w:sz w:val="20"/>
        </w:rPr>
        <w:t>provided</w:t>
      </w:r>
      <w:r>
        <w:rPr>
          <w:rFonts w:ascii="Times New Roman" w:hAnsi="Times New Roman"/>
          <w:sz w:val="20"/>
        </w:rPr>
        <w:t xml:space="preserve">, however that (a) the first Calendar Quarter shall commence on the date of this Agreement and shall end on the first such occurrence of a March 31, June 30, September 30 or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 </w:t>
      </w:r>
    </w:p>
    <w:p>
      <w:pPr>
        <w:pStyle w:val="TextBody"/>
        <w:bidi w:val="0"/>
        <w:spacing w:before="240" w:after="0"/>
        <w:jc w:val="left"/>
        <w:rPr/>
      </w:pPr>
      <w:r>
        <w:rPr/>
        <w:t>“</w:t>
      </w:r>
      <w:r>
        <w:rPr>
          <w:rFonts w:ascii="Times New Roman" w:hAnsi="Times New Roman"/>
          <w:b/>
          <w:sz w:val="20"/>
        </w:rPr>
        <w:t>Commercially Reasonable Efforts</w:t>
      </w:r>
      <w:r>
        <w:rPr>
          <w:rFonts w:ascii="Times New Roman" w:hAnsi="Times New Roman"/>
          <w:sz w:val="20"/>
        </w:rPr>
        <w:t xml:space="preserve">” means with respect to the disposition of the Company Pre-Closing Assets, carrying out those obligations and tasks in good faith following receipt of a bona fide indication of interest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proposal from a third party (verbal (provided that any such verbal offer must be subsequently delivered in writing, which the Company shall request) or written) (“</w:t>
      </w:r>
      <w:r>
        <w:rPr>
          <w:rFonts w:ascii="Times New Roman" w:hAnsi="Times New Roman"/>
          <w:b/>
          <w:sz w:val="20"/>
        </w:rPr>
        <w:t>Inbound Interest</w:t>
      </w:r>
      <w:r>
        <w:rPr>
          <w:rFonts w:ascii="Times New Roman" w:hAnsi="Times New Roman"/>
          <w:sz w:val="20"/>
        </w:rPr>
        <w:t xml:space="preserve">”) delivered or otherwise made known to an executive officer or business development officer of the Company, taking into account all commercial and other relevant factors that the Company, exercising good faith, would normally take into account with respect to a disposition of assets; provided that Commercially Reasonable Efforts shall not require the Company to initiate any bona fide sale process or other proactive efforts to identify potential counterparties with respect to any Company Pre-Closing Assets.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$0.0001 par value, of the Company. </w:t>
      </w:r>
    </w:p>
    <w:p>
      <w:pPr>
        <w:pStyle w:val="TextBody"/>
        <w:bidi w:val="0"/>
        <w:spacing w:before="240" w:after="0"/>
        <w:jc w:val="left"/>
        <w:rPr/>
      </w:pPr>
      <w:r>
        <w:rPr/>
        <w:t>“</w:t>
      </w:r>
      <w:r>
        <w:rPr>
          <w:rFonts w:ascii="Times New Roman" w:hAnsi="Times New Roman"/>
          <w:b/>
          <w:sz w:val="20"/>
        </w:rPr>
        <w:t>Company Pre-Closing Assets</w:t>
      </w:r>
      <w:r>
        <w:rPr>
          <w:rFonts w:ascii="Times New Roman" w:hAnsi="Times New Roman"/>
          <w:sz w:val="20"/>
        </w:rPr>
        <w:t xml:space="preserve">” means those assets of the Company, to the extent existing as of immediately prior to the Closing, relating to (a) the Company’s plato manufacturing platform, (b) the Company’s AVR-RD-01 (Fabry), AVR-RD-02 (Gaucher), and/or AVR-RD-03 (Pompe) research and development programs, and (c) the Company’s Intellectual Property set forth in Section 4.12(a) of the Aspen Disclosure Schedule. </w:t>
      </w:r>
    </w:p>
    <w:p>
      <w:pPr>
        <w:pStyle w:val="TextBody"/>
        <w:bidi w:val="0"/>
        <w:spacing w:before="24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Payments pursuant to the Merger Agreement and this Agreement. </w:t>
      </w:r>
    </w:p>
    <w:p>
      <w:pPr>
        <w:pStyle w:val="TextBody"/>
        <w:bidi w:val="0"/>
        <w:spacing w:before="240" w:after="0"/>
        <w:jc w:val="left"/>
        <w:rPr/>
      </w:pPr>
      <w:r>
        <w:rPr/>
        <w:t>“</w:t>
      </w:r>
      <w:r>
        <w:rPr>
          <w:rFonts w:ascii="Times New Roman" w:hAnsi="Times New Roman"/>
          <w:b/>
          <w:sz w:val="20"/>
        </w:rPr>
        <w:t>CVR Payment</w:t>
      </w:r>
      <w:r>
        <w:rPr>
          <w:rFonts w:ascii="Times New Roman" w:hAnsi="Times New Roman"/>
          <w:sz w:val="20"/>
        </w:rPr>
        <w:t xml:space="preserve">” means a cash payment equal to eighty percent (80%) of the Net Proceeds received by the Company in a given Calendar Quarter during the CVR Term, with the remaining twenty percent (20%) being retained by the Company.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with respect to each CVR Payment and each Holder, an amount equal to such CVR Payment divided by the total number of CVRs and then multiplied by the total number of CVRs held by such Holder as reflected on the CVR Register. </w:t>
      </w:r>
    </w:p>
    <w:p>
      <w:pPr>
        <w:pStyle w:val="TextBody"/>
        <w:bidi w:val="0"/>
        <w:spacing w:before="240" w:after="0"/>
        <w:jc w:val="left"/>
        <w:rPr/>
      </w:pPr>
      <w:r>
        <w:rPr/>
        <w:t>“</w:t>
      </w:r>
      <w:r>
        <w:rPr>
          <w:rFonts w:ascii="Times New Roman" w:hAnsi="Times New Roman"/>
          <w:b/>
          <w:sz w:val="20"/>
        </w:rPr>
        <w:t>CVR Payment Period</w:t>
      </w:r>
      <w:r>
        <w:rPr>
          <w:rFonts w:ascii="Times New Roman" w:hAnsi="Times New Roman"/>
          <w:sz w:val="20"/>
        </w:rPr>
        <w:t xml:space="preserve">” means a period equal to a Calendar Quarter ending at any time after the effective date of a Disposition Agreement. </w:t>
      </w:r>
    </w:p>
    <w:p>
      <w:pPr>
        <w:pStyle w:val="TextBody"/>
        <w:bidi w:val="0"/>
        <w:spacing w:before="240" w:after="0"/>
        <w:jc w:val="left"/>
        <w:rPr/>
      </w:pPr>
      <w:r>
        <w:rPr/>
        <w:t>“</w:t>
      </w:r>
      <w:r>
        <w:rPr>
          <w:rFonts w:ascii="Times New Roman" w:hAnsi="Times New Roman"/>
          <w:b/>
          <w:sz w:val="20"/>
        </w:rPr>
        <w:t>CVR Payment Statement</w:t>
      </w:r>
      <w:r>
        <w:rPr>
          <w:rFonts w:ascii="Times New Roman" w:hAnsi="Times New Roman"/>
          <w:sz w:val="20"/>
        </w:rPr>
        <w:t xml:space="preserve">” means, for a given CVR Payment Period during the CVR Term, a written statement of the Company, signed on behalf of the Company, setting forth in reasonable detail the calculation of the applicable CVR Payment for such CVR Payment Period. </w:t>
      </w:r>
    </w:p>
    <w:p>
      <w:pPr>
        <w:pStyle w:val="TextBody"/>
        <w:bidi w:val="0"/>
        <w:spacing w:before="240" w:after="0"/>
        <w:jc w:val="left"/>
        <w:rPr/>
      </w:pPr>
      <w:r>
        <w:rPr/>
        <w:t>“</w:t>
      </w:r>
      <w:r>
        <w:rPr>
          <w:rFonts w:ascii="Times New Roman" w:hAnsi="Times New Roman"/>
          <w:b/>
          <w:sz w:val="20"/>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the period beginning on the Closing and ending upon the tenth (10th) anniversary of this Agreement. </w:t>
      </w:r>
    </w:p>
    <w:p>
      <w:pPr>
        <w:pStyle w:val="TextBody"/>
        <w:bidi w:val="0"/>
        <w:spacing w:before="240" w:after="0"/>
        <w:jc w:val="left"/>
        <w:rPr/>
      </w:pPr>
      <w:r>
        <w:rPr/>
        <w:t>“</w:t>
      </w:r>
      <w:r>
        <w:rPr>
          <w:rFonts w:ascii="Times New Roman" w:hAnsi="Times New Roman"/>
          <w:b/>
          <w:sz w:val="20"/>
        </w:rPr>
        <w:t>Disposition</w:t>
      </w:r>
      <w:r>
        <w:rPr>
          <w:rFonts w:ascii="Times New Roman" w:hAnsi="Times New Roman"/>
          <w:sz w:val="20"/>
        </w:rPr>
        <w:t>” or “</w:t>
      </w:r>
      <w:r>
        <w:rPr>
          <w:rFonts w:ascii="Times New Roman" w:hAnsi="Times New Roman"/>
          <w:b/>
          <w:sz w:val="20"/>
        </w:rPr>
        <w:t>Dispose</w:t>
      </w:r>
      <w:r>
        <w:rPr>
          <w:rFonts w:ascii="Times New Roman" w:hAnsi="Times New Roman"/>
          <w:sz w:val="20"/>
        </w:rPr>
        <w:t xml:space="preserve">” means the direct or indirect sale, license, assignment, transfer, conveyance, grant of any option or other disposition of any Company Pre-Closing Asset by the Company or its Affiliates (including any such sale or disposition of equity securities in any Subsidiary established by the Company or its Affiliates to hold any right, title or interest in or to any Company Pre-Closing Asset), in each case, during the Disposition Period. </w:t>
      </w:r>
    </w:p>
    <w:p>
      <w:pPr>
        <w:pStyle w:val="TextBody"/>
        <w:bidi w:val="0"/>
        <w:spacing w:before="240" w:after="0"/>
        <w:jc w:val="left"/>
        <w:rPr/>
      </w:pPr>
      <w:r>
        <w:rPr/>
        <w:t>“</w:t>
      </w:r>
      <w:r>
        <w:rPr>
          <w:rFonts w:ascii="Times New Roman" w:hAnsi="Times New Roman"/>
          <w:b/>
          <w:sz w:val="20"/>
        </w:rPr>
        <w:t>Disposition Agreement</w:t>
      </w:r>
      <w:r>
        <w:rPr>
          <w:rFonts w:ascii="Times New Roman" w:hAnsi="Times New Roman"/>
          <w:sz w:val="20"/>
        </w:rPr>
        <w:t xml:space="preserve">” means a definitive written agreement providing for a transaction or series of transactions between the Company or its Affiliates and any Person who is not an Affiliate of the Company regarding a Disposition of the Company Pre-Closing Assets. </w:t>
      </w:r>
    </w:p>
    <w:p>
      <w:pPr>
        <w:pStyle w:val="TextBody"/>
        <w:bidi w:val="0"/>
        <w:spacing w:before="240" w:after="0"/>
        <w:jc w:val="left"/>
        <w:rPr/>
      </w:pPr>
      <w:r>
        <w:rPr/>
        <w:t>“</w:t>
      </w:r>
      <w:r>
        <w:rPr>
          <w:rFonts w:ascii="Times New Roman" w:hAnsi="Times New Roman"/>
          <w:b/>
          <w:sz w:val="20"/>
        </w:rPr>
        <w:t>Disposition Period</w:t>
      </w:r>
      <w:r>
        <w:rPr>
          <w:rFonts w:ascii="Times New Roman" w:hAnsi="Times New Roman"/>
          <w:sz w:val="20"/>
        </w:rPr>
        <w:t xml:space="preserve">” means the period beginning on the execution date of the Merger Agreement and ending on the date that is eighteen (18) months after the Closing Date.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all cash consideration and the value of any marketable consideration actually received by the Company or any of its Affiliates during the CVR Term with respect to a Disposition, solely as such consideration relates to a Company Pre-Closing Asset. The value of any marketable securities (whether debt or equity) or other non-cash property constituting Gross Proceeds shall be determined as follows: (i) if a value was ascribed to any such securities or property in connection with such Disposition, such value so ascribed or (ii) if no value was ascribed, then (A) the value of securities for which there is an established public market shall be equal to the volume weighted average of their closing market prices for the thirty (30) trading days ending the day prior to the date of payment to, or receipt by the Company or its relevant Affiliate, and (B) the value of securities that have no established public market and the value of consideration that consists of other non-cash property, shall be the fair market value thereof as of the date of payment to, or receipt by, the Company or its relevant Affiliate.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Loss</w:t>
      </w:r>
      <w:r>
        <w:rPr>
          <w:rFonts w:ascii="Times New Roman" w:hAnsi="Times New Roman"/>
          <w:sz w:val="20"/>
        </w:rPr>
        <w:t xml:space="preserve">” has the meaning set forth in </w:t>
      </w:r>
      <w:r>
        <w:rPr>
          <w:rFonts w:ascii="Times New Roman" w:hAnsi="Times New Roman"/>
          <w:sz w:val="20"/>
          <w:u w:val="single"/>
        </w:rPr>
        <w:t>Section 3.2(g)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for any CVR Payment Period, Gross Proceeds minus Permitted Deductions, all as calculated, to the extent in accordance with GAAP, in a manner consistent with the Company’s accounting practices in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has the meaning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transfer, stamp or sales taxes) imposed on Gross Proceeds and payable by Tyrol, the Company or any of their respective Affiliates (regardless of whether the due date for such Taxes arises during or after the Disposition Period) and, without duplication, any income or other similar Taxes payable by Tyrol, the Company or any of their respective Affiliates that would not have been incurred by Tyrol, the Company or any of their respective Affiliates but for the Gross Proceeds; provided that, for purposes of calculating income Taxes incurred by Tyrol, the Company or any of their respective Affiliates in respect of the Gross Proceeds, any such income Taxes shall be computed (i) assuming that the only items of gross income of Tyrol, the Company and their subsidiaries are the applicable items of Gross Proceeds (for the avoidance of doubt, assuming that such items of Gross Proceeds are taxable in the hands of Tyrol, the Company or their subsidiaries, as applicable, no later than the taxable year that includes the corresponding CVR Payment Amount), (ii) assuming that the only items of expenses, losses, credits or other deductions of Tyrol, the Company and their subsidiaries are those items of expense, loss, credit and deduction (including net operating loss carryforwards or other Tax attributes) of the Company or its Affiliates existing as of immediately prior to the Closing for U.S. federal income tax purposes and applicable state and local income tax purposes that are actually usable by Tyrol, the Company or their subsidiaries, as applicable, in the tax year of receipt of the applicable items of Gross Proceeds, to the extent such net operating loss carryforwards and other items are permitted by Law to be, and are, taken as a deduction in such taxable year (for the sake of clarity, (1) taking into account any limits on the usability of such attributes, including under Section 382 of the Code as determined by the Company’s tax advisers, including, but not limited to, as a result of the transactions contemplated by the Merger Agreement and (2) excluding any net operating losses or other Tax attributes generated by Tyrol, the Company or any of their respective Affiliates after the Closing, including by reason of any acquisition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(iii) all such items of Gross Proceeds are taxed in the hands of Tyrol, the Company or their subsidiaries, as applicable, at the highest applicable marginal income or other similar U.S. federal, state, local and non-U.S. tax rate; </w:t>
      </w:r>
    </w:p>
    <w:p>
      <w:pPr>
        <w:pStyle w:val="TextBody"/>
        <w:bidi w:val="0"/>
        <w:spacing w:before="120" w:after="0"/>
        <w:jc w:val="left"/>
        <w:rPr>
          <w:rFonts w:ascii="Times New Roman" w:hAnsi="Times New Roman"/>
          <w:sz w:val="20"/>
        </w:rPr>
      </w:pPr>
      <w:r>
        <w:rPr>
          <w:rFonts w:ascii="Times New Roman" w:hAnsi="Times New Roman"/>
          <w:sz w:val="20"/>
        </w:rPr>
        <w:t xml:space="preserve">(b) any reasonable and documented out-of-pocket costs and expenses incurred by the Company or any of its Affiliates in respect to its performance of this Agreement following the Closing, including any costs related to the prosecution, maintenance or enforcement by the Company or any of its Subsidiaries of intellectual property rights (but excluding any costs related to a breach of this Agreement, including costs incurred in litigation in respect of the same); </w:t>
      </w:r>
    </w:p>
    <w:p>
      <w:pPr>
        <w:pStyle w:val="TextBody"/>
        <w:bidi w:val="0"/>
        <w:spacing w:before="120" w:after="0"/>
        <w:jc w:val="left"/>
        <w:rPr>
          <w:rFonts w:ascii="Times New Roman" w:hAnsi="Times New Roman"/>
          <w:sz w:val="20"/>
        </w:rPr>
      </w:pPr>
      <w:r>
        <w:rPr>
          <w:rFonts w:ascii="Times New Roman" w:hAnsi="Times New Roman"/>
          <w:sz w:val="20"/>
        </w:rPr>
        <w:t xml:space="preserve">(c) any reasonable and documented out-of-pocket expenses incurred or accrued by the Company or any of its Affiliates in connection with the negotiation, entry into and closing of any Disposition of any Company Pre-Closing Asset,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240" w:after="0"/>
        <w:jc w:val="left"/>
        <w:rPr>
          <w:rFonts w:ascii="Times New Roman" w:hAnsi="Times New Roman"/>
          <w:sz w:val="20"/>
        </w:rPr>
      </w:pPr>
      <w:r>
        <w:rPr>
          <w:rFonts w:ascii="Times New Roman" w:hAnsi="Times New Roman"/>
          <w:sz w:val="20"/>
        </w:rPr>
        <w:t xml:space="preserve">(d) (i) any Losses actually incurred, and actually paid or actually payable, or reasonably expected to be incurred and subsequently actually paid by the Company or any of its Subsidiaries arising out of any third-party claims, demands, actions, or other proceedings related to or in connection with any Disposition or any Company Pre-Closing Assets and, without duplication, (ii) an amount that would reasonably be payable under any obligations of the Company or any of its Subsidiaries in respect of contingent or indemnification obligations provided for in any Disposition Agreement; provided that any amounts deducted pursuant to this clause (d) shall be held back by the Company in a separate account for the benefit of the Holders and to the extent such amounts have not been paid in respect of such third-party proceedings or such contingent or indemnification obligations (as applicable) upon the final resolution of such third-party proceedings or the lapse in survival of such contingent or indemnification obligations (provided that in the case of contingent or indemnification obligations that continue indefinitely pursuant to their terms, such lapse of survival shall be deemed to have occurred three (3) years after the commencement of such obligations) (as applicable), in each case prior to the end of the CVR Term, then such amounts shall be paid over to the Rights Agent within fifteen (15) Business Days of such final resolution or such lapse (as applicable) for further distribution to the Holders; and </w:t>
      </w:r>
    </w:p>
    <w:p>
      <w:pPr>
        <w:pStyle w:val="TextBody"/>
        <w:bidi w:val="0"/>
        <w:spacing w:before="120" w:after="0"/>
        <w:jc w:val="left"/>
        <w:rPr>
          <w:rFonts w:ascii="Times New Roman" w:hAnsi="Times New Roman"/>
          <w:sz w:val="20"/>
        </w:rPr>
      </w:pPr>
      <w:r>
        <w:rPr>
          <w:rFonts w:ascii="Times New Roman" w:hAnsi="Times New Roman"/>
          <w:sz w:val="20"/>
        </w:rPr>
        <w:t xml:space="preserve">(e) any proceeds in consideration for a Disposition pursuant to a Disposition Agreement included in the final determination of Aspen Net Cash in accordance with the Merger Agreement.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2.1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CVRs represent the rights of Holders to receive CVR Payments pursuant to this Agreement. The initial Holders will be the holders of issued and outstanding shares of Common Stock as of immediately prior to the Effective Time (the “</w:t>
      </w:r>
      <w:r>
        <w:rPr>
          <w:rFonts w:ascii="Times New Roman" w:hAnsi="Times New Roman"/>
          <w:b/>
          <w:sz w:val="20"/>
        </w:rPr>
        <w:t>Specified Time</w:t>
      </w:r>
      <w:r>
        <w:rPr>
          <w:rFonts w:ascii="Times New Roman" w:hAnsi="Times New Roman"/>
          <w:sz w:val="20"/>
        </w:rPr>
        <w:t xml:space="preserve">”) (including, for the avoidance of doubt, those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issued upon settlement of Aspen Restricted Stock Units pursuant to Section 6.7 of the Merger Agreement) (the “</w:t>
      </w:r>
      <w:r>
        <w:rPr>
          <w:rFonts w:ascii="Times New Roman" w:hAnsi="Times New Roman"/>
          <w:b/>
          <w:sz w:val="20"/>
        </w:rPr>
        <w:t>Eligible Holders</w:t>
      </w:r>
      <w:r>
        <w:rPr>
          <w:rFonts w:ascii="Times New Roman" w:hAnsi="Times New Roman"/>
          <w:sz w:val="20"/>
        </w:rPr>
        <w:t>” and such shares, the “</w:t>
      </w:r>
      <w:r>
        <w:rPr>
          <w:rFonts w:ascii="Times New Roman" w:hAnsi="Times New Roman"/>
          <w:b/>
          <w:sz w:val="20"/>
        </w:rPr>
        <w:t>Eligible Shares</w:t>
      </w:r>
      <w:r>
        <w:rPr>
          <w:rFonts w:ascii="Times New Roman" w:hAnsi="Times New Roman"/>
          <w:sz w:val="20"/>
        </w:rPr>
        <w:t xml:space="preserve">”). One CVR will be issued with respect to each Eligible Share.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no implied terms and conditions),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in a Permitted Transfer shall be null and void ab initio.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Eligible Shares held by DTC on behalf of the street holders of the Eligible Shares held by such Eligible Holders as of the Specified Time.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Eligible Shares by sending one lump-sum payment or issuance to DTC. The Rights Agent will have no responsibilities whatsoever with regard to the distribution of payments or Eligible Shares by DTC to such 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and any other requested documentation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and invalid. All costs and expenses related to any transfer or assignment of the CVRs (including the cost of any transfer tax) will be the responsibility of the transferor. </w:t>
      </w:r>
    </w:p>
    <w:p>
      <w:pPr>
        <w:pStyle w:val="TextBody"/>
        <w:bidi w:val="0"/>
        <w:spacing w:before="12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will provide written instructions to the Rights Agent for the distribution of CVRs to Eligible Holders as of the Specified Time. Subject to the terms and conditions of this Agreement and the Company’s prompt confirmation of the Effective Time, the Rights Agent shall effect the distribution of the CVRs, less any applicable tax withholding, to each Eligible Holder as of the Specified Time by the mailing of a statement of holding reflecting such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forty-five (45) days following the end of each Calendar Quarter during the CVR Term, commencing with the first CVR Payment Period in which the Company or its Affiliates receives Gross Proceeds, the Company shall deliver to the Rights Agent a CVR Payment Statement for the such CVR Payment Period. Subject to the last sentence of this Section 2.4(a), concurrent with the delivery of each CVR Payment Statement, on the terms and conditions of this Agreement, the Company shall pay the Rights Agent in U.S. dollars an amount equal to the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hAnsi="Times New Roman"/>
          <w:sz w:val="20"/>
          <w:u w:val="single"/>
        </w:rPr>
        <w:t>Section 2.4(a)</w:t>
      </w:r>
      <w:r>
        <w:rPr>
          <w:rFonts w:ascii="Times New Roman" w:hAnsi="Times New Roman"/>
          <w:sz w:val="20"/>
        </w:rPr>
        <w:t xml:space="preserve">, send each Holder at its registered address a copy of such statement. For the avoidance of doubt the Company shall have no further liability in respect of the relevant CVR Payment upon delivery of such CVR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2.4(a)</w:t>
      </w:r>
      <w:r>
        <w:rPr>
          <w:rFonts w:ascii="Times New Roman" w:hAnsi="Times New Roman"/>
          <w:sz w:val="20"/>
        </w:rPr>
        <w:t xml:space="preserve">. Notwithstanding anything to the contrary herein, no CVR Payment shall become due and payable to any Holder until such time as the then-outstanding and undistributed Net Proceeds exceeds $350,000 in the aggregate. </w:t>
      </w:r>
    </w:p>
    <w:p>
      <w:pPr>
        <w:pStyle w:val="TextBody"/>
        <w:bidi w:val="0"/>
        <w:spacing w:before="120" w:after="0"/>
        <w:jc w:val="left"/>
        <w:rPr>
          <w:rFonts w:ascii="Times New Roman" w:hAnsi="Times New Roman"/>
          <w:sz w:val="20"/>
        </w:rPr>
      </w:pPr>
      <w:r>
        <w:rPr>
          <w:rFonts w:ascii="Times New Roman" w:hAnsi="Times New Roman"/>
          <w:sz w:val="20"/>
        </w:rPr>
        <w:t>(b) The Rights Agent shall solicit from each Holder, and each Holder covenants and agrees to provide to the Rights Agent, an IRS Form W-9 or appropriate IRS Form W-8, as applicable, at such time or times, including immediately prior to the first CVR Payment, as is necessary to permit any payment under this Agreement to be made without U.S. federal backup withholding. That notwithstanding, the Company, Tyrol and any of their respective Affiliates (each a “</w:t>
      </w:r>
      <w:r>
        <w:rPr>
          <w:rFonts w:ascii="Times New Roman" w:hAnsi="Times New Roman"/>
          <w:b/>
          <w:sz w:val="20"/>
        </w:rPr>
        <w:t>Withholding Agent</w:t>
      </w:r>
      <w:r>
        <w:rPr>
          <w:rFonts w:ascii="Times New Roman" w:hAnsi="Times New Roman"/>
          <w:sz w:val="20"/>
        </w:rPr>
        <w:t xml:space="preserve">”) shall be entitled to deduct and withhold and hereby authorizes the Rights Agent to deduct and withhold, any Tax or similar governmental charge or levy, that is required to be deducted or withheld under applicable Law from any amounts payable pursuant to this Agreement. To the extent the amounts are so withheld by a Withholding Agent and paid over to the appropriate Governmental Authority, such withheld amounts shall be treated for all purposes of this Agreement as having been paid to the Person in respect of whom such deduction and withholding was made. The Company will use commercially reasonable efforts to provide withholding and reporting instructions in writing (email being sufficient) to the Rights Agent from time to time as relevant, and upon request of the Rights Agent. The Rights Agent shall have no responsibilities with respect to Tax withholding, reporting or payment except as set forth herein or as specifically instructed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(d) If any CVR Payment (or portion thereof) remains unclaimed by a Holder two (2) years after the applicable Calendar Quarter end (or immediately prior to such earlier date on which such CVR Payment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and when issued, the CVRs will not have any voting or dividend rights, and interest will not accrue on any amounts payable in respect of CVRs to any Holder. </w:t>
      </w:r>
    </w:p>
    <w:p>
      <w:pPr>
        <w:pStyle w:val="TextBody"/>
        <w:bidi w:val="0"/>
        <w:spacing w:before="120" w:after="0"/>
        <w:jc w:val="left"/>
        <w:rPr>
          <w:rFonts w:ascii="Times New Roman" w:hAnsi="Times New Roman"/>
          <w:sz w:val="20"/>
        </w:rPr>
      </w:pPr>
      <w:r>
        <w:rPr>
          <w:rFonts w:ascii="Times New Roman" w:hAnsi="Times New Roman"/>
          <w:sz w:val="20"/>
        </w:rPr>
        <w:t xml:space="preserve">(b) If and when issued,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2.7 </w:t>
      </w:r>
      <w:r>
        <w:rPr>
          <w:rFonts w:ascii="Times New Roman" w:hAnsi="Times New Roman"/>
          <w:b/>
          <w:sz w:val="20"/>
          <w:u w:val="single"/>
        </w:rPr>
        <w:t>Intended Tax Treatment</w:t>
      </w:r>
      <w:r>
        <w:rPr>
          <w:rFonts w:ascii="Times New Roman" w:hAnsi="Times New Roman"/>
          <w:sz w:val="20"/>
        </w:rPr>
        <w:t>. Except to the extent otherwise required by applicable Law, for U.S. federal income tax (and applicable state and local income tax purposes), the parties agree to treat the issuance of the CVRs as not constituting a current distribution and all CVR Payments for all Tax purposes as distributions of money governed by Section 301 of the Code, which will constitute a dividend to the extent payable out of the Company and its Affiliates’ “earnings and profits” (pursuant to Section 316 of the Code) in the taxable year when the CVR Payment is made (the “</w:t>
      </w:r>
      <w:r>
        <w:rPr>
          <w:rFonts w:ascii="Times New Roman" w:hAnsi="Times New Roman"/>
          <w:b/>
          <w:sz w:val="20"/>
        </w:rPr>
        <w:t>Intended Tax Treatment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Legal Proceedings at Law or otherwise or to make any demand upon the Company or Tyrol.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may rely and will be protected and held harmless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fraud or willful misconduct (each as determined by a final non-appealable judgment of a court of competent jurisdiction) on its part, not incur any liability and shall be held harmless by the Company for or in respect of any action taken, suffered or omitted to be taken by it under the provisions of this Agreement in reliance upon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fraud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provided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w:t>
      </w:r>
      <w:r>
        <w:rPr>
          <w:rFonts w:ascii="Times New Roman" w:hAnsi="Times New Roman"/>
          <w:sz w:val="20"/>
          <w:u w:val="single"/>
        </w:rPr>
        <w:t>Section 3.2(g)</w:t>
      </w:r>
      <w:r>
        <w:rPr>
          <w:rFonts w:ascii="Times New Roman" w:hAnsi="Times New Roman"/>
          <w:sz w:val="20"/>
        </w:rPr>
        <w:t xml:space="preserve">, if the Company is found by a court of competent jurisdiction to be liable to the Rights Agent or the Holders, as applicable in such suit. </w:t>
      </w:r>
    </w:p>
    <w:p>
      <w:pPr>
        <w:pStyle w:val="TextBody"/>
        <w:bidi w:val="0"/>
        <w:spacing w:before="12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shares of Common Stock or any other Person for interest or earnings on any moneys held by the Rights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Tyrol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Tyrol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Tyrol resulting from any such act, default, neglect or misconduct, absent gross negligence, fraud, bad faith or willful misconduct (each as determined by a final non-appealable judgment of a court of competent jurisdiction) in the selection and continued employment thereof. </w:t>
      </w:r>
    </w:p>
    <w:p>
      <w:pPr>
        <w:pStyle w:val="TextBody"/>
        <w:bidi w:val="0"/>
        <w:spacing w:before="120" w:after="0"/>
        <w:jc w:val="left"/>
        <w:rPr>
          <w:rFonts w:ascii="Times New Roman" w:hAnsi="Times New Roman"/>
          <w:sz w:val="20"/>
        </w:rPr>
      </w:pPr>
      <w:r>
        <w:rPr>
          <w:rFonts w:ascii="Times New Roman" w:hAnsi="Times New Roman"/>
          <w:sz w:val="20"/>
        </w:rPr>
        <w:t xml:space="preserve">(o)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Legal Proceedings at Law or otherwise or to make any demand upon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2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 or this Agreement, including without limitation obligations under applicable regulation or Law. </w:t>
      </w:r>
    </w:p>
    <w:p>
      <w:pPr>
        <w:pStyle w:val="TextBody"/>
        <w:bidi w:val="0"/>
        <w:spacing w:before="120" w:after="0"/>
        <w:jc w:val="left"/>
        <w:rPr>
          <w:rFonts w:ascii="Times New Roman" w:hAnsi="Times New Roman"/>
          <w:sz w:val="20"/>
        </w:rPr>
      </w:pPr>
      <w:r>
        <w:rPr>
          <w:rFonts w:ascii="Times New Roman" w:hAnsi="Times New Roman"/>
          <w:sz w:val="20"/>
        </w:rPr>
        <w:t xml:space="preserve">(s)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CVRs and the termination of this Agreement and the resignation, replacement or removal of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(t)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(email being sufficient). </w:t>
      </w:r>
    </w:p>
    <w:p>
      <w:pPr>
        <w:pStyle w:val="TextBody"/>
        <w:bidi w:val="0"/>
        <w:spacing w:before="120" w:after="0"/>
        <w:jc w:val="left"/>
        <w:rPr>
          <w:rFonts w:ascii="Times New Roman" w:hAnsi="Times New Roman"/>
          <w:sz w:val="20"/>
        </w:rPr>
      </w:pPr>
      <w:r>
        <w:rPr>
          <w:rFonts w:ascii="Times New Roman" w:hAnsi="Times New Roman"/>
          <w:sz w:val="20"/>
        </w:rPr>
        <w:t xml:space="preserve">(u) The Rights Agent will have no liability and shall be held harmless by the Company in respect of the validity of this Agreement and the execution and delivery hereof (except the due execution and delivery hereof by the Rights Agent and the enforceability of this Agreement against the Rights Agent assuming the due execution and delivery hereof by the Company), nor shall it be responsible for any breach by the Company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u w:val="single"/>
        </w:rPr>
        <w:t xml:space="preserve">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Acting Holders, the Company will not appoint as a successor Rights Agent any Person that is not a stock transfer agent of national reputation or the corporate trust department of a commercial bank.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Efforts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Disposition Period, the Company shall, and shall cause its Subsidiaries to, use Commercially Reasonable Efforts to effect Dispositions with respect to the Company Pre-Closing Assets to a third party that has delivered Inbound Interest delivered or otherwise made known to an executive officer or business development officer of the Company with respect to a Company Pre-Closing Asset after the Closing to the Company, its Subsidiaries or their Representatives in evaluating or potentially engaging in a Disposition.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4.2(a)</w:t>
            </w:r>
            <w:r>
              <w:rPr>
                <w:rFonts w:ascii="Times New Roman" w:hAnsi="Times New Roman"/>
                <w:sz w:val="20"/>
              </w:rPr>
              <w:t xml:space="preserve"> and the other contractual obligations of the Company expressly set forth in this Agreement, (i) the Holders acknowledge that the Company has a fiduciary obligation to operate its business in the best interests of its stockholders, and any potential obligation to pay CVR Payments will not create any express or implied obligation to operate its business in any particular manner in order to maximize such CVR Payments, (ii) except as expressly set forth in this Agreement,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Holders are not relying on any representation of the Company or any other Person with regard to any Disposition or other action involving the Company Pre-Closing Assets following the Closing, and neither the Company nor any other Person has provided, or can provide, any assurance to the Holders that any CVR Payments will in fact be earned and paid, and (iii) none of the Company or any of its Subsidiaries, officers or directors shall have any obligation or liability whatsoever to any Person relating to or in connection with any action, or failure to act, with respect to any Disposition.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Additional Covenants</w:t>
      </w:r>
      <w:r>
        <w:rPr>
          <w:rFonts w:ascii="Times New Roman" w:hAnsi="Times New Roman"/>
          <w:sz w:val="20"/>
        </w:rPr>
        <w:t xml:space="preserve">. During the Disposition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limiting any other provisions of this </w:t>
            </w:r>
            <w:r>
              <w:rPr>
                <w:rFonts w:ascii="Times New Roman" w:hAnsi="Times New Roman"/>
                <w:sz w:val="20"/>
                <w:u w:val="single"/>
              </w:rPr>
              <w:t>Section 4.3</w:t>
            </w:r>
            <w:r>
              <w:rPr>
                <w:rFonts w:ascii="Times New Roman" w:hAnsi="Times New Roman"/>
                <w:sz w:val="20"/>
              </w:rPr>
              <w:t xml:space="preserve">, neither the Company nor any of its Affiliates shall take any action in bad faith with respect to, or with the primary purpose of avoiding, the payment of the CVR Payment Amount, including by making any dividend, distribution or other transfer of Net Proceeds in a manner materially adverse to the Company’s obligations in respect of Net Proceeds pursuant to this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(b)</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 shall, and shall cause its subsidiaries to, use commercially reasonable efforts to continue to preserve and maintain the Company Pre-Closing Assets, including all Intellectual Property relating thereto but, and shall use commercially reasonable efforts to comply with such maintenance obligations as required by any license or related term set forth in any Disposition Agreement. Notwithstanding the foregoing, with respect to such efforts to preserve and maintain Intellectual Property relating to the Company Pre-Closing Assets, (A) the Company shall not be required to incur aggregate out-of-pocket costs and expenses in excess of $200,000 (the “</w:t>
            </w:r>
            <w:r>
              <w:rPr>
                <w:rFonts w:ascii="Times New Roman" w:hAnsi="Times New Roman"/>
                <w:b/>
                <w:sz w:val="20"/>
              </w:rPr>
              <w:t>IP Expense Fund</w:t>
            </w:r>
            <w:r>
              <w:rPr>
                <w:rFonts w:ascii="Times New Roman" w:hAnsi="Times New Roman"/>
                <w:sz w:val="20"/>
              </w:rPr>
              <w:t xml:space="preserve">”) and (B) the Company shall prioritize the application of the IP Expense Fund in accordance with the provisions of Schedule 1 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grant any lien, security interest, pledge or similar interest in any Company Pre-Closing Assets or any Net Proceeds other than (A) pursuant to the terms of a Disposition Agreement or (B) any such interest generally granted with respect to all assets of the Company and not specific to any of the Company Pre-Closing Assets, and which do not prohibit the ability of the Company to complete a Disposition and, in connection therewith, to deliver title to the Company Pre-Closing Assets to the purchaser thereof, free and clear of such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promptly inform the director(s) on the Company board of directors who then hold CVRs if and after Inbound Interest is delivered or otherwise made known to an executive officer or business development officer of the Company, and shall keep such director(s) reasonably and promptly informed regarding material developments in the negotiation of Disposition Agreements. </w:t>
            </w:r>
          </w:p>
        </w:tc>
      </w:tr>
    </w:tbl>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Audits</w:t>
      </w:r>
      <w:r>
        <w:rPr>
          <w:rFonts w:ascii="Times New Roman" w:hAnsi="Times New Roman"/>
          <w:sz w:val="20"/>
        </w:rPr>
        <w:t xml:space="preserve">. Until the expiration of this Agreement and for a period of one (1) year thereafter, the Company shall keep complete and accurate 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hAnsi="Times New Roman"/>
          <w:sz w:val="20"/>
          <w:u w:val="single"/>
        </w:rPr>
        <w:t>Section 4.5</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twenty percent (20%)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No Conflict</w:t>
      </w:r>
      <w:r>
        <w:rPr>
          <w:rFonts w:ascii="Times New Roman" w:hAnsi="Times New Roman"/>
          <w:sz w:val="20"/>
        </w:rPr>
        <w:t xml:space="preserve">. The Company will not enter into any agreement with any Person that is, or otherwise take any actions or inactions, in conflict with this Agreement in any material respect or materially and adversely affect the performance of its obligations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6.1</w:t>
      </w:r>
      <w:r>
        <w:rPr>
          <w:rFonts w:ascii="Times New Roman" w:hAnsi="Times New Roman"/>
          <w:sz w:val="20"/>
        </w:rPr>
        <w:t>, to evidence the succession of another person to the Company and the assumption of any such successor of the covenants of the Company outlined herein in a transaction contemplated by</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(ii) in order to give effect to the provisions of </w:t>
      </w:r>
      <w:r>
        <w:rPr>
          <w:rFonts w:ascii="Times New Roman" w:hAnsi="Times New Roman"/>
          <w:sz w:val="20"/>
          <w:u w:val="single"/>
        </w:rPr>
        <w:t>Section 2.7</w:t>
      </w:r>
      <w:r>
        <w:rPr>
          <w:rFonts w:ascii="Times New Roman" w:hAnsi="Times New Roman"/>
          <w:sz w:val="20"/>
        </w:rPr>
        <w:t xml:space="preserve"> or (iii)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(ix) to effect any other amendment to this Agreement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the Company will (or will cause the Rights Agent to) notify the Holders in general terms of the substance of such amendment in accordance with</w:t>
      </w:r>
      <w:r>
        <w:rPr>
          <w:rFonts w:ascii="Times New Roman" w:hAnsi="Times New Roman"/>
          <w:sz w:val="20"/>
          <w:u w:val="single"/>
        </w:rPr>
        <w:t xml:space="preserve"> 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Section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The Company May Not Consolidate, Etc</w:t>
      </w:r>
      <w:r>
        <w:rPr>
          <w:rFonts w:ascii="Times New Roman" w:hAnsi="Times New Roman"/>
          <w:sz w:val="20"/>
        </w:rPr>
        <w:t xml:space="preserve">. During the CVR Term, the Company shall not consolidate with or merge into any other Person or convey, transfer or lease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the properties and assets of the Company substantially as an entirety (the “</w:t>
      </w:r>
      <w:r>
        <w:rPr>
          <w:rFonts w:ascii="Times New Roman" w:hAnsi="Times New Roman"/>
          <w:b/>
          <w:sz w:val="20"/>
        </w:rPr>
        <w:t>Surviving Person</w:t>
      </w:r>
      <w:r>
        <w:rPr>
          <w:rFonts w:ascii="Times New Roman" w:hAnsi="Times New Roman"/>
          <w:sz w:val="20"/>
        </w:rPr>
        <w:t xml:space="preserve">”) shall expressly assume payment of amounts on all CVRs (when and as due hereunder) and the performance of every duty and covenant of this Agreement on the part of the Company to be performed or observed; and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and that all conditions precedent herein provided for relating to such transaction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Successor Substituted</w:t>
      </w:r>
      <w:r>
        <w:rPr>
          <w:rFonts w:ascii="Times New Roman" w:hAnsi="Times New Roman"/>
          <w:sz w:val="20"/>
        </w:rPr>
        <w:t xml:space="preserve">. 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6.3</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when sent, fees prepaid, via a reputable international overnight courier service in the case of delivery in person, by FedEx or other internationally recognized overnight courier service or (b) when sent,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 </w:t>
      </w:r>
    </w:p>
    <w:p>
      <w:pPr>
        <w:pStyle w:val="TextBody"/>
        <w:bidi w:val="0"/>
        <w:spacing w:before="0" w:after="0"/>
        <w:jc w:val="left"/>
        <w:rPr>
          <w:rFonts w:ascii="Times New Roman" w:hAnsi="Times New Roman"/>
          <w:sz w:val="20"/>
        </w:rPr>
      </w:pPr>
      <w:r>
        <w:rPr>
          <w:rFonts w:ascii="Times New Roman" w:hAnsi="Times New Roman"/>
          <w:sz w:val="20"/>
        </w:rPr>
        <w:t xml:space="preserve">Email: [_____]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 Miguel Vega; Marc Recht; Michael Rohr </w:t>
      </w:r>
    </w:p>
    <w:p>
      <w:pPr>
        <w:pStyle w:val="TextBody"/>
        <w:bidi w:val="0"/>
        <w:spacing w:before="0" w:after="0"/>
        <w:jc w:val="left"/>
        <w:rPr>
          <w:rFonts w:ascii="Times New Roman" w:hAnsi="Times New Roman"/>
          <w:sz w:val="20"/>
        </w:rPr>
      </w:pPr>
      <w:r>
        <w:rPr>
          <w:rFonts w:ascii="Times New Roman" w:hAnsi="Times New Roman"/>
          <w:sz w:val="20"/>
        </w:rPr>
        <w:t xml:space="preserve">E-mail:   mvega@cooley.com; mrecht@cooley.com; mrohr@cooley.com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7.6 </w:t>
      </w:r>
      <w:r>
        <w:rPr>
          <w:rFonts w:ascii="Times New Roman" w:hAnsi="Times New Roman"/>
          <w:b/>
          <w:sz w:val="20"/>
          <w:u w:val="single"/>
        </w:rPr>
        <w:t>Benefits of Agreement; Action by Acting Holders</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The Holders shall be intended third-party beneficiaries of the provisions of this Agreement; provided that, except for the rights of the Rights Agent set forth herein, the Acting Holders will have the sole right, on behalf of all Holders, by virtue of or under any provision of this Agreement, to institute any action or Legal Proceeding at Law or in equity with respect to this Agreement or otherwise to enforce the Holders’ rights hereunder,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hAnsi="Times New Roman"/>
          <w:sz w:val="20"/>
          <w:u w:val="single"/>
        </w:rPr>
        <w:t>Section 7.8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Section 7.9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hAnsi="Times New Roman"/>
          <w:sz w:val="20"/>
          <w:u w:val="single"/>
        </w:rPr>
        <w:t>Section 2.4</w:t>
      </w:r>
      <w:r>
        <w:rPr>
          <w:rFonts w:ascii="Times New Roman" w:hAnsi="Times New Roman"/>
          <w:sz w:val="20"/>
        </w:rPr>
        <w:t xml:space="preserve"> to the extent earned prior to the termination of this Agreement, and the provisions applicable thereto will survive the expiration or termination of this Agreement until such CVR Payments have been made, if applicable. Upon termination or expiry of this Agreement pursuant to this </w:t>
      </w:r>
      <w:r>
        <w:rPr>
          <w:rFonts w:ascii="Times New Roman" w:hAnsi="Times New Roman"/>
          <w:sz w:val="20"/>
          <w:u w:val="single"/>
        </w:rPr>
        <w:t>Section 7.12</w:t>
      </w:r>
      <w:r>
        <w:rPr>
          <w:rFonts w:ascii="Times New Roman" w:hAnsi="Times New Roman"/>
          <w:sz w:val="20"/>
        </w:rPr>
        <w:t xml:space="preserve">, all CVRs issued hereunder shall be automatically cancelled and forfeited by the Holders without any consideration or payment therefor.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held by the Rights Agent,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(as determined by a final non appealable judgment of a court of competent jurisdiction) on its part, have no responsibility or liability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diminution of the Funds that may result from any deposit made by it in accordance with this paragraph, including any losses resulting from a default by any bank, financial institution or other third party. The Rights Agent may from time to time receive interest, dividends or other earnings in connection with such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12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1774" w:type="dxa"/>
        <w:jc w:val="left"/>
        <w:tblInd w:w="0" w:type="dxa"/>
        <w:tblLayout w:type="fixed"/>
        <w:tblCellMar>
          <w:top w:w="0" w:type="dxa"/>
          <w:left w:w="0" w:type="dxa"/>
          <w:bottom w:w="0" w:type="dxa"/>
          <w:right w:w="0" w:type="dxa"/>
        </w:tblCellMar>
      </w:tblPr>
      <w:tblGrid>
        <w:gridCol w:w="793"/>
        <w:gridCol w:w="148"/>
        <w:gridCol w:w="833"/>
      </w:tblGrid>
      <w:tr>
        <w:trPr/>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pPr>
            <w:r>
              <w:rPr/>
              <w:t>AVROBIO, INC.</w:t>
            </w:r>
          </w:p>
        </w:tc>
      </w:tr>
      <w:tr>
        <w:trPr/>
        <w:tc>
          <w:tcPr>
            <w:tcW w:w="793" w:type="dxa"/>
            <w:tcBorders/>
            <w:vAlign w:val="center"/>
          </w:tcPr>
          <w:p>
            <w:pPr>
              <w:pStyle w:val="TableContents"/>
              <w:bidi w:val="0"/>
              <w:spacing w:before="0" w:after="283"/>
              <w:jc w:val="left"/>
              <w:rPr>
                <w:sz w:val="4"/>
                <w:szCs w:val="4"/>
              </w:rPr>
            </w:pPr>
            <w:r>
              <w:rPr>
                <w:sz w:val="4"/>
                <w:szCs w:val="4"/>
              </w:rPr>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vAlign w:val="center"/>
          </w:tcPr>
          <w:p>
            <w:pPr>
              <w:pStyle w:val="TableContents"/>
              <w:bidi w:val="0"/>
              <w:spacing w:before="0" w:after="283"/>
              <w:jc w:val="left"/>
              <w:rPr/>
            </w:pPr>
            <w:r>
              <w:rPr/>
              <w:t>By:</w:t>
            </w:r>
          </w:p>
        </w:tc>
        <w:tc>
          <w:tcPr>
            <w:tcW w:w="148" w:type="dxa"/>
            <w:tcBorders/>
            <w:vAlign w:val="center"/>
          </w:tcPr>
          <w:p>
            <w:pPr>
              <w:pStyle w:val="TableContents"/>
              <w:bidi w:val="0"/>
              <w:spacing w:before="0" w:after="283"/>
              <w:jc w:val="left"/>
              <w:rPr/>
            </w:pPr>
            <w:r>
              <w:rPr/>
              <w:t> </w:t>
            </w:r>
          </w:p>
        </w:tc>
        <w:tc>
          <w:tcPr>
            <w:tcW w:w="833" w:type="dxa"/>
            <w:tcBorders/>
            <w:vAlign w:val="center"/>
          </w:tcPr>
          <w:p>
            <w:pPr>
              <w:pStyle w:val="TableContents"/>
              <w:pBdr>
                <w:bottom w:val="single" w:sz="2" w:space="1" w:color="000000"/>
              </w:pBdr>
              <w:bidi w:val="0"/>
              <w:spacing w:before="0" w:after="20"/>
              <w:jc w:val="left"/>
              <w:rPr/>
            </w:pPr>
            <w:r>
              <w:rPr/>
              <w:t>  </w:t>
            </w:r>
          </w:p>
        </w:tc>
      </w:tr>
      <w:tr>
        <w:trPr/>
        <w:tc>
          <w:tcPr>
            <w:tcW w:w="1774" w:type="dxa"/>
            <w:gridSpan w:val="3"/>
            <w:tcBorders/>
            <w:vAlign w:val="center"/>
          </w:tcPr>
          <w:p>
            <w:pPr>
              <w:pStyle w:val="TableContents"/>
              <w:bidi w:val="0"/>
              <w:spacing w:before="0" w:after="283"/>
              <w:jc w:val="left"/>
              <w:rPr/>
            </w:pPr>
            <w:r>
              <w:rPr/>
              <w:t>Name:</w:t>
            </w:r>
          </w:p>
        </w:tc>
      </w:tr>
      <w:tr>
        <w:trPr/>
        <w:tc>
          <w:tcPr>
            <w:tcW w:w="1774" w:type="dxa"/>
            <w:gridSpan w:val="3"/>
            <w:tcBorders/>
            <w:vAlign w:val="center"/>
          </w:tcPr>
          <w:p>
            <w:pPr>
              <w:pStyle w:val="TableContents"/>
              <w:bidi w:val="0"/>
              <w:spacing w:before="0" w:after="283"/>
              <w:jc w:val="left"/>
              <w:rPr/>
            </w:pPr>
            <w:r>
              <w:rPr/>
              <w:t>Title:</w:t>
            </w:r>
          </w:p>
        </w:tc>
      </w:tr>
      <w:tr>
        <w:trPr/>
        <w:tc>
          <w:tcPr>
            <w:tcW w:w="1774" w:type="dxa"/>
            <w:gridSpan w:val="3"/>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pPr>
            <w:r>
              <w:rPr/>
              <w:t>[_____]</w:t>
            </w:r>
          </w:p>
        </w:tc>
      </w:tr>
      <w:tr>
        <w:trPr/>
        <w:tc>
          <w:tcPr>
            <w:tcW w:w="793" w:type="dxa"/>
            <w:tcBorders/>
            <w:vAlign w:val="center"/>
          </w:tcPr>
          <w:p>
            <w:pPr>
              <w:pStyle w:val="TableContents"/>
              <w:bidi w:val="0"/>
              <w:spacing w:before="0" w:after="283"/>
              <w:jc w:val="left"/>
              <w:rPr>
                <w:sz w:val="4"/>
                <w:szCs w:val="4"/>
              </w:rPr>
            </w:pPr>
            <w:r>
              <w:rPr>
                <w:sz w:val="4"/>
                <w:szCs w:val="4"/>
              </w:rPr>
            </w:r>
          </w:p>
        </w:tc>
        <w:tc>
          <w:tcPr>
            <w:tcW w:w="981"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vAlign w:val="center"/>
          </w:tcPr>
          <w:p>
            <w:pPr>
              <w:pStyle w:val="TableContents"/>
              <w:bidi w:val="0"/>
              <w:spacing w:before="0" w:after="283"/>
              <w:jc w:val="left"/>
              <w:rPr/>
            </w:pPr>
            <w:r>
              <w:rPr/>
              <w:t>By:</w:t>
            </w:r>
          </w:p>
        </w:tc>
        <w:tc>
          <w:tcPr>
            <w:tcW w:w="148" w:type="dxa"/>
            <w:tcBorders/>
            <w:vAlign w:val="center"/>
          </w:tcPr>
          <w:p>
            <w:pPr>
              <w:pStyle w:val="TableContents"/>
              <w:bidi w:val="0"/>
              <w:spacing w:before="0" w:after="283"/>
              <w:jc w:val="left"/>
              <w:rPr/>
            </w:pPr>
            <w:r>
              <w:rPr/>
              <w:t> </w:t>
            </w:r>
          </w:p>
        </w:tc>
        <w:tc>
          <w:tcPr>
            <w:tcW w:w="833" w:type="dxa"/>
            <w:tcBorders/>
            <w:vAlign w:val="center"/>
          </w:tcPr>
          <w:p>
            <w:pPr>
              <w:pStyle w:val="TableContents"/>
              <w:pBdr>
                <w:bottom w:val="single" w:sz="2" w:space="1" w:color="000000"/>
              </w:pBdr>
              <w:bidi w:val="0"/>
              <w:spacing w:before="0" w:after="20"/>
              <w:jc w:val="left"/>
              <w:rPr/>
            </w:pPr>
            <w:r>
              <w:rPr/>
              <w:t>  </w:t>
            </w:r>
          </w:p>
        </w:tc>
      </w:tr>
      <w:tr>
        <w:trPr/>
        <w:tc>
          <w:tcPr>
            <w:tcW w:w="1774" w:type="dxa"/>
            <w:gridSpan w:val="3"/>
            <w:tcBorders/>
            <w:vAlign w:val="center"/>
          </w:tcPr>
          <w:p>
            <w:pPr>
              <w:pStyle w:val="TableContents"/>
              <w:bidi w:val="0"/>
              <w:spacing w:before="0" w:after="283"/>
              <w:jc w:val="left"/>
              <w:rPr/>
            </w:pPr>
            <w:r>
              <w:rPr/>
              <w:t>Name:</w:t>
            </w:r>
          </w:p>
        </w:tc>
      </w:tr>
      <w:tr>
        <w:trPr/>
        <w:tc>
          <w:tcPr>
            <w:tcW w:w="1774" w:type="dxa"/>
            <w:gridSpan w:val="3"/>
            <w:tcBorders/>
            <w:vAlign w:val="center"/>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Rights Agent Fee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IP Expense Fund Prioritization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4" w:name="toc770053_207"/>
      <w:bookmarkEnd w:id="334"/>
      <w:r>
        <w:rPr>
          <w:rFonts w:ascii="Times New Roman" w:hAnsi="Times New Roman"/>
          <w:b/>
          <w:sz w:val="20"/>
        </w:rPr>
        <w:t xml:space="preserve">Annex G </w:t>
      </w:r>
    </w:p>
    <w:p>
      <w:pPr>
        <w:pStyle w:val="TextBody"/>
        <w:bidi w:val="0"/>
        <w:spacing w:before="36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the following paragraph after the first paragraph of Article IV thereof to provide the following: </w:t>
      </w:r>
    </w:p>
    <w:p>
      <w:pPr>
        <w:pStyle w:val="TextBody"/>
        <w:bidi w:val="0"/>
        <w:spacing w:before="240" w:after="0"/>
        <w:jc w:val="left"/>
        <w:rPr>
          <w:rFonts w:ascii="Times New Roman" w:hAnsi="Times New Roman"/>
          <w:sz w:val="20"/>
        </w:rPr>
      </w:pPr>
      <w:r>
        <w:rPr>
          <w:rFonts w:ascii="Times New Roman" w:hAnsi="Times New Roman"/>
          <w:sz w:val="20"/>
        </w:rPr>
        <w:t xml:space="preserve">Upon this Certificate of Amendment becoming effective (the “Effective Time”) pursuant to the DGCL, each [    ]1 shares of the Common Stock issued and outstanding and held of record by each stockholder of the Corporation or issued and held by the Corporation in treasury immediately prior to the Effective Time shall automatically without further action on the part of the Corporation or any holder of such Common Stock, be combined into one (1) validly issued, fully paid and nonassessable share of Common Stock, subject to the treatment of fractional share interests as described below (the “Reverse Stock Split”). No fractional shares shall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Each holder of record of a certificate or certificates representing one or more shares of Common Stock pre-Reverse Stock Split shall be entitled to receive as soon as practicable following the Effective Time, upon surrender of such certificate or certificates, a certificate or certificates representing the whole number of shares of Common Stock post-Reverse Stock Split to which such holder shall be entitled pursuant to the Reverse Stock Split as well as cash in lieu of any fractional shares of Common Stock to which such holder may be entitled.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(as well as the right to receive cash in lieu of fractional shares of Common Stock after the Effective Time of the Reverse Stock Split upon the surrender thereof).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360" w:after="0"/>
        <w:jc w:val="center"/>
        <w:rPr>
          <w:rFonts w:ascii="Times New Roman" w:hAnsi="Times New Roman"/>
          <w:i/>
          <w:sz w:val="20"/>
        </w:rPr>
      </w:pPr>
      <w:r>
        <w:rPr>
          <w:rFonts w:ascii="Times New Roman" w:hAnsi="Times New Roman"/>
          <w:i/>
          <w:sz w:val="20"/>
        </w:rPr>
        <w:t xml:space="preserve">[Signature Page Follows]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1 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Shall be a whole number equal to or greater than three (3) and equal to or less than thirty (30),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of directors and stockholders in accordance with Section 242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day of     , 2024.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80"/>
        <w:gridCol w:w="60"/>
        <w:gridCol w:w="770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r>
      <w:tr>
        <w:trPr/>
        <w:tc>
          <w:tcPr>
            <w:tcW w:w="8140" w:type="dxa"/>
            <w:gridSpan w:val="3"/>
            <w:tcBorders/>
            <w:vAlign w:val="center"/>
          </w:tcPr>
          <w:p>
            <w:pPr>
              <w:pStyle w:val="TableContents"/>
              <w:bidi w:val="0"/>
              <w:spacing w:before="0" w:after="283"/>
              <w:jc w:val="left"/>
              <w:rPr/>
            </w:pPr>
            <w:r>
              <w:rPr/>
              <w:t>AVROBIO,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776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Erik Ostrowski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President, Interim Chief Executive Officer,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5" w:name="toc770053_208"/>
      <w:bookmarkEnd w:id="335"/>
      <w:r>
        <w:rPr>
          <w:rFonts w:ascii="Times New Roman" w:hAnsi="Times New Roman"/>
          <w:b/>
          <w:sz w:val="20"/>
        </w:rPr>
        <w:t xml:space="preserve">Annex H </w:t>
      </w:r>
    </w:p>
    <w:p>
      <w:pPr>
        <w:pStyle w:val="TextBody"/>
        <w:bidi w:val="0"/>
        <w:spacing w:before="36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AVROBIO, INC. </w:t>
      </w:r>
    </w:p>
    <w:p>
      <w:pPr>
        <w:pStyle w:val="TextBody"/>
        <w:bidi w:val="0"/>
        <w:spacing w:before="240" w:after="0"/>
        <w:jc w:val="left"/>
        <w:rPr>
          <w:rFonts w:ascii="Times New Roman" w:hAnsi="Times New Roman"/>
          <w:sz w:val="20"/>
        </w:rPr>
      </w:pPr>
      <w:r>
        <w:rPr>
          <w:rFonts w:ascii="Times New Roman" w:hAnsi="Times New Roman"/>
          <w:sz w:val="20"/>
        </w:rPr>
        <w:t xml:space="preserve">AVROBIO, Inc. (the “Corporation”), a corporation organized and existing under the laws of the State of Delaware,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That the Fourth Amended and Restated Certificate of Incorporation of the Corporation that was filed with the Secretary of State of Delaware on June 25, 2018 (the “Amended and Restated Certificate”) is hereby amended to add a new Article X thereto to read in its entirety as follows: </w:t>
      </w:r>
    </w:p>
    <w:p>
      <w:pPr>
        <w:pStyle w:val="TextBody"/>
        <w:bidi w:val="0"/>
        <w:spacing w:before="36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An Officer of the Corporation shall not be personally liable to the Corporation or its stockholders for monetary damages for breach of his or her fiduciary duty as an Officer,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in any action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have the meaning set forth in Section 102(b)(7) of the DGCL.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this Article X by either of (i) the stockholders of the Corporation or (ii) an amendment to the DGCL, or the adoption of any provision of this Certificate inconsistent with this Article X, shall not adversely affect any right or protection existing at the time of such amendment, repeal, modification or adoption with respect to any acts or omissions occurring before such amendment, repeal, modification or adoption of a person serving as an Officer at the time of such amendment, repeal, modification or adoption.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2.  That the foregoing amendment was duly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Certificate of Amendment to the Amended and Restated Certificate of Incorporation has been executed by a duly authorized officer of this Corporation on this     day of    , 2024. </w:t>
      </w:r>
    </w:p>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380"/>
        <w:gridCol w:w="60"/>
        <w:gridCol w:w="770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r>
      <w:tr>
        <w:trPr/>
        <w:tc>
          <w:tcPr>
            <w:tcW w:w="8140" w:type="dxa"/>
            <w:gridSpan w:val="3"/>
            <w:tcBorders/>
            <w:vAlign w:val="center"/>
          </w:tcPr>
          <w:p>
            <w:pPr>
              <w:pStyle w:val="TableContents"/>
              <w:bidi w:val="0"/>
              <w:spacing w:before="0" w:after="283"/>
              <w:jc w:val="left"/>
              <w:rPr/>
            </w:pPr>
            <w:r>
              <w:rPr/>
              <w:t>AVROBIO,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776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Erik Ostrowski</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283"/>
              <w:jc w:val="left"/>
              <w:rPr/>
            </w:pPr>
            <w:r>
              <w:rPr/>
              <w:t>President, Interim Chief Executive Officer,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6" w:name="toc770053_209"/>
      <w:bookmarkEnd w:id="336"/>
      <w:r>
        <w:rPr>
          <w:rFonts w:ascii="Times New Roman" w:hAnsi="Times New Roman"/>
          <w:b/>
          <w:sz w:val="20"/>
        </w:rPr>
        <w:t xml:space="preserve">Annex I </w:t>
      </w:r>
    </w:p>
    <w:p>
      <w:pPr>
        <w:pStyle w:val="TextBody"/>
        <w:bidi w:val="0"/>
        <w:spacing w:before="480" w:after="0"/>
        <w:jc w:val="center"/>
        <w:rPr>
          <w:rFonts w:ascii="Times New Roman" w:hAnsi="Times New Roman"/>
          <w:b/>
          <w:sz w:val="20"/>
        </w:rPr>
      </w:pPr>
      <w:r>
        <w:rPr>
          <w:rFonts w:ascii="Times New Roman" w:hAnsi="Times New Roman"/>
          <w:b/>
          <w:sz w:val="20"/>
        </w:rPr>
        <w:t xml:space="preserve">ANNEX I FORM OF 2024 EQUITY INCENTIVE PLAN </w:t>
      </w:r>
    </w:p>
    <w:p>
      <w:pPr>
        <w:pStyle w:val="TextBody"/>
        <w:bidi w:val="0"/>
        <w:spacing w:before="240" w:after="0"/>
        <w:jc w:val="center"/>
        <w:rPr>
          <w:rFonts w:ascii="Times New Roman" w:hAnsi="Times New Roman"/>
          <w:b/>
          <w:sz w:val="20"/>
        </w:rPr>
      </w:pPr>
      <w:r>
        <w:rPr>
          <w:rFonts w:ascii="Times New Roman" w:hAnsi="Times New Roman"/>
          <w:b/>
          <w:sz w:val="20"/>
        </w:rPr>
        <w:t>T</w:t>
      </w:r>
      <w:r>
        <w:rPr>
          <w:rFonts w:ascii="Times New Roman" w:hAnsi="Times New Roman"/>
          <w:b/>
          <w:sz w:val="20"/>
          <w:u w:val="single"/>
        </w:rPr>
        <w:t>ECTONIC</w:t>
      </w:r>
      <w:r>
        <w:rPr>
          <w:rFonts w:ascii="Times New Roman" w:hAnsi="Times New Roman"/>
          <w:b/>
          <w:sz w:val="20"/>
        </w:rPr>
        <w:t xml:space="preserve"> T</w:t>
      </w:r>
      <w:r>
        <w:rPr>
          <w:rFonts w:ascii="Times New Roman" w:hAnsi="Times New Roman"/>
          <w:b/>
          <w:sz w:val="20"/>
          <w:u w:val="single"/>
        </w:rPr>
        <w:t>HERAPEUTIC</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2024 E</w:t>
      </w:r>
      <w:r>
        <w:rPr>
          <w:rFonts w:ascii="Times New Roman" w:hAnsi="Times New Roman"/>
          <w:b/>
          <w:sz w:val="20"/>
          <w:u w:val="single"/>
        </w:rPr>
        <w:t>QUITY</w:t>
      </w:r>
      <w:r>
        <w:rPr>
          <w:rFonts w:ascii="Times New Roman" w:hAnsi="Times New Roman"/>
          <w:b/>
          <w:sz w:val="20"/>
        </w:rPr>
        <w:t xml:space="preserve"> I</w:t>
      </w:r>
      <w:r>
        <w:rPr>
          <w:rFonts w:ascii="Times New Roman" w:hAnsi="Times New Roman"/>
          <w:b/>
          <w:sz w:val="20"/>
          <w:u w:val="single"/>
        </w:rPr>
        <w:t>NCENTIVE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[ ],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[ ], 2024 </w:t>
      </w:r>
    </w:p>
    <w:p>
      <w:pPr>
        <w:pStyle w:val="TextBody"/>
        <w:bidi w:val="0"/>
        <w:spacing w:before="0" w:after="0"/>
        <w:jc w:val="left"/>
        <w:rPr/>
      </w:pPr>
      <w:r>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left"/>
              <w:rPr>
                <w:b/>
              </w:rPr>
            </w:pPr>
            <w:r>
              <w:rPr>
                <w:b/>
              </w:rPr>
              <w:t>1.</w:t>
            </w:r>
          </w:p>
        </w:tc>
        <w:tc>
          <w:tcPr>
            <w:tcW w:w="1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ENERAL</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215"/>
        <w:gridCol w:w="3185"/>
      </w:tblGrid>
      <w:tr>
        <w:trPr/>
        <w:tc>
          <w:tcPr>
            <w:tcW w:w="215" w:type="dxa"/>
            <w:tcBorders/>
            <w:vAlign w:val="center"/>
          </w:tcPr>
          <w:p>
            <w:pPr>
              <w:pStyle w:val="TableContents"/>
              <w:bidi w:val="0"/>
              <w:spacing w:before="0" w:after="283"/>
              <w:jc w:val="left"/>
              <w:rPr>
                <w:b/>
              </w:rPr>
            </w:pPr>
            <w:r>
              <w:rPr>
                <w:b/>
              </w:rPr>
              <w:t>2.</w:t>
            </w:r>
          </w:p>
        </w:tc>
        <w:tc>
          <w:tcPr>
            <w:tcW w:w="31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Subject to adjustment in accordance with Section 2(c) and any adjustments as necessary to implement any Capitalization Adjustments, the aggregate number of shares of Common Stock that may be issued pursuant to Awards will not exceed a number of shares of Common Stock equal to twelve and one half percent (12.5%) of the total number of shares of the Company’s Capital Stock outstanding on a fully diluted basis determined as of immediately after the Effective Time (the “</w:t>
      </w:r>
      <w:r>
        <w:rPr>
          <w:rFonts w:ascii="Times New Roman" w:hAnsi="Times New Roman"/>
          <w:b/>
          <w:i/>
          <w:sz w:val="20"/>
        </w:rPr>
        <w:t>Initial Share Reserve</w:t>
      </w:r>
      <w:r>
        <w:rPr>
          <w:rFonts w:ascii="Times New Roman" w:hAnsi="Times New Roman"/>
          <w:sz w:val="20"/>
        </w:rPr>
        <w:t xml:space="preserve">”). In addition, subject to any adjustments as necessary to implement any Capitalization Adjustments, such aggregate number of shares of Common Stock will automatically increase on January 1 of each year for a period of ten years commencing on January 1, 2025 and ending on (and including) January 1, 2034, in an amount equal to five percent (5%) of the total number of shares of Common Stock outstanding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three (3) multiplied by the Initial Share Reserve.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275"/>
        <w:gridCol w:w="22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(c)</w:t>
            </w:r>
          </w:p>
        </w:tc>
        <w:tc>
          <w:tcPr>
            <w:tcW w:w="2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 Reserve Operation. </w:t>
            </w:r>
          </w:p>
        </w:tc>
      </w:tr>
    </w:tbl>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283"/>
              <w:jc w:val="left"/>
              <w:rPr>
                <w:b/>
              </w:rPr>
            </w:pPr>
            <w:r>
              <w:rPr>
                <w:b/>
              </w:rPr>
              <w:t>3.</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LIGIBILITY</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L</w:t>
            </w:r>
            <w:r>
              <w:rPr>
                <w:rFonts w:ascii="Times New Roman" w:hAnsi="Times New Roman"/>
                <w:b/>
                <w:sz w:val="20"/>
                <w:u w:val="single"/>
              </w:rPr>
              <w:t>IMITATIONS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b/>
              </w:rPr>
            </w:pPr>
            <w:r>
              <w:rPr>
                <w:b/>
              </w:rPr>
              <w:t>4.</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 such shares have been held by the Participant for any minimum period necessary to avoid adverse accounting treatment as a result of such delivery;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940" w:type="dxa"/>
        <w:jc w:val="left"/>
        <w:tblInd w:w="0" w:type="dxa"/>
        <w:tblLayout w:type="fixed"/>
        <w:tblCellMar>
          <w:top w:w="0" w:type="dxa"/>
          <w:left w:w="0" w:type="dxa"/>
          <w:bottom w:w="0" w:type="dxa"/>
          <w:right w:w="0" w:type="dxa"/>
        </w:tblCellMar>
      </w:tblPr>
      <w:tblGrid>
        <w:gridCol w:w="215"/>
        <w:gridCol w:w="6725"/>
      </w:tblGrid>
      <w:tr>
        <w:trPr/>
        <w:tc>
          <w:tcPr>
            <w:tcW w:w="215" w:type="dxa"/>
            <w:tcBorders/>
            <w:vAlign w:val="center"/>
          </w:tcPr>
          <w:p>
            <w:pPr>
              <w:pStyle w:val="TableContents"/>
              <w:bidi w:val="0"/>
              <w:spacing w:before="0" w:after="283"/>
              <w:jc w:val="left"/>
              <w:rPr>
                <w:b/>
              </w:rPr>
            </w:pPr>
            <w:r>
              <w:rPr>
                <w:b/>
              </w:rPr>
              <w:t>5.</w:t>
            </w:r>
          </w:p>
        </w:tc>
        <w:tc>
          <w:tcPr>
            <w:tcW w:w="6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WARDS</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T</w:t>
            </w:r>
            <w:r>
              <w:rPr>
                <w:rFonts w:ascii="Times New Roman" w:hAnsi="Times New Roman"/>
                <w:b/>
                <w:sz w:val="20"/>
                <w:u w:val="single"/>
              </w:rPr>
              <w:t>HAN</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A</w:t>
            </w:r>
            <w:r>
              <w:rPr>
                <w:rFonts w:ascii="Times New Roman" w:hAnsi="Times New Roman"/>
                <w:b/>
                <w:sz w:val="20"/>
                <w:u w:val="single"/>
              </w:rPr>
              <w:t>PPRECIATION</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(i) Form of Award.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283"/>
              <w:jc w:val="left"/>
              <w:rPr>
                <w:b/>
              </w:rPr>
            </w:pPr>
            <w:r>
              <w:rPr>
                <w:b/>
              </w:rPr>
              <w:t>6.</w:t>
            </w:r>
          </w:p>
        </w:tc>
        <w:tc>
          <w:tcPr>
            <w:tcW w:w="8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DJUSTMENTS</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O</w:t>
            </w:r>
            <w:r>
              <w:rPr>
                <w:rFonts w:ascii="Times New Roman" w:hAnsi="Times New Roman"/>
                <w:b/>
                <w:sz w:val="20"/>
                <w:u w:val="single"/>
              </w:rPr>
              <w:t>THER</w:t>
            </w:r>
            <w:r>
              <w:rPr>
                <w:rFonts w:ascii="Times New Roman" w:hAnsi="Times New Roman"/>
                <w:b/>
                <w:sz w:val="20"/>
              </w:rPr>
              <w:t xml:space="preserve"> C</w:t>
            </w:r>
            <w:r>
              <w:rPr>
                <w:rFonts w:ascii="Times New Roman" w:hAnsi="Times New Roman"/>
                <w:b/>
                <w:sz w:val="20"/>
                <w:u w:val="single"/>
              </w:rPr>
              <w:t>ORPORATE</w:t>
            </w:r>
            <w:r>
              <w:rPr>
                <w:rFonts w:ascii="Times New Roman" w:hAnsi="Times New Roman"/>
                <w:b/>
                <w:sz w:val="20"/>
              </w:rPr>
              <w:t xml:space="preserve"> E</w:t>
            </w:r>
            <w:r>
              <w:rPr>
                <w:rFonts w:ascii="Times New Roman" w:hAnsi="Times New Roman"/>
                <w:b/>
                <w:sz w:val="20"/>
                <w:u w:val="single"/>
              </w:rPr>
              <w:t>VENTS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7.</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DMINISTRATION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275"/>
        <w:gridCol w:w="22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(c)</w:t>
            </w:r>
          </w:p>
        </w:tc>
        <w:tc>
          <w:tcPr>
            <w:tcW w:w="2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Delegation to Committee. </w:t>
            </w:r>
          </w:p>
        </w:tc>
      </w:tr>
    </w:tbl>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15"/>
        <w:gridCol w:w="2015"/>
      </w:tblGrid>
      <w:tr>
        <w:trPr/>
        <w:tc>
          <w:tcPr>
            <w:tcW w:w="215" w:type="dxa"/>
            <w:tcBorders/>
            <w:vAlign w:val="center"/>
          </w:tcPr>
          <w:p>
            <w:pPr>
              <w:pStyle w:val="TableContents"/>
              <w:bidi w:val="0"/>
              <w:spacing w:before="0" w:after="283"/>
              <w:jc w:val="left"/>
              <w:rPr>
                <w:b/>
              </w:rPr>
            </w:pPr>
            <w:r>
              <w:rPr>
                <w:b/>
              </w:rPr>
              <w:t>8.</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pay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283"/>
              <w:jc w:val="left"/>
              <w:rPr>
                <w:b/>
              </w:rPr>
            </w:pPr>
            <w:r>
              <w:rPr>
                <w:b/>
              </w:rPr>
              <w:t>9.</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ISCELLANEOUS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C</w:t>
      </w:r>
      <w:r>
        <w:rPr>
          <w:rFonts w:ascii="Times New Roman" w:hAnsi="Times New Roman"/>
          <w:b/>
          <w:sz w:val="20"/>
          <w:u w:val="single"/>
        </w:rPr>
        <w:t>HOICE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L</w:t>
      </w:r>
      <w:r>
        <w:rPr>
          <w:rFonts w:ascii="Times New Roman" w:hAnsi="Times New Roman"/>
          <w:b/>
          <w:sz w:val="20"/>
          <w:u w:val="single"/>
        </w:rPr>
        <w:t>AW</w:t>
      </w:r>
      <w:r>
        <w:rPr>
          <w:rFonts w:ascii="Times New Roman" w:hAnsi="Times New Roman"/>
          <w:b/>
          <w:sz w:val="20"/>
        </w:rPr>
        <w:t xml:space="preserve">.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35"/>
        <w:gridCol w:w="3140"/>
      </w:tblGrid>
      <w:tr>
        <w:trPr/>
        <w:tc>
          <w:tcPr>
            <w:tcW w:w="335" w:type="dxa"/>
            <w:tcBorders/>
            <w:vAlign w:val="center"/>
          </w:tcPr>
          <w:p>
            <w:pPr>
              <w:pStyle w:val="TableContents"/>
              <w:bidi w:val="0"/>
              <w:spacing w:before="0" w:after="283"/>
              <w:jc w:val="left"/>
              <w:rPr>
                <w:b/>
              </w:rPr>
            </w:pPr>
            <w:r>
              <w:rPr>
                <w:b/>
              </w:rPr>
              <w:t>10.</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400" w:type="dxa"/>
        <w:jc w:val="left"/>
        <w:tblInd w:w="0" w:type="dxa"/>
        <w:tblLayout w:type="fixed"/>
        <w:tblCellMar>
          <w:top w:w="0" w:type="dxa"/>
          <w:left w:w="0" w:type="dxa"/>
          <w:bottom w:w="0" w:type="dxa"/>
          <w:right w:w="0" w:type="dxa"/>
        </w:tblCellMar>
      </w:tblPr>
      <w:tblGrid>
        <w:gridCol w:w="335"/>
        <w:gridCol w:w="6065"/>
      </w:tblGrid>
      <w:tr>
        <w:trPr/>
        <w:tc>
          <w:tcPr>
            <w:tcW w:w="335" w:type="dxa"/>
            <w:tcBorders/>
            <w:vAlign w:val="center"/>
          </w:tcPr>
          <w:p>
            <w:pPr>
              <w:pStyle w:val="TableContents"/>
              <w:bidi w:val="0"/>
              <w:spacing w:before="0" w:after="283"/>
              <w:jc w:val="left"/>
              <w:rPr>
                <w:b/>
              </w:rPr>
            </w:pPr>
            <w:r>
              <w:rPr>
                <w:b/>
              </w:rPr>
              <w:t>11.</w:t>
            </w:r>
          </w:p>
        </w:tc>
        <w:tc>
          <w:tcPr>
            <w:tcW w:w="60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DDITIONAL</w:t>
            </w:r>
            <w:r>
              <w:rPr>
                <w:rFonts w:ascii="Times New Roman" w:hAnsi="Times New Roman"/>
                <w:b/>
                <w:sz w:val="20"/>
              </w:rPr>
              <w:t xml:space="preserve"> R</w:t>
            </w:r>
            <w:r>
              <w:rPr>
                <w:rFonts w:ascii="Times New Roman" w:hAnsi="Times New Roman"/>
                <w:b/>
                <w:sz w:val="20"/>
                <w:u w:val="single"/>
              </w:rPr>
              <w:t>ULES</w:t>
            </w:r>
            <w:r>
              <w:rPr>
                <w:rFonts w:ascii="Times New Roman" w:hAnsi="Times New Roman"/>
                <w:b/>
                <w:sz w:val="20"/>
              </w:rPr>
              <w:t xml:space="preserve"> </w:t>
            </w:r>
            <w:r>
              <w:rPr>
                <w:rFonts w:ascii="Times New Roman" w:hAnsi="Times New Roman"/>
                <w:b/>
                <w:sz w:val="20"/>
                <w:u w:val="single"/>
              </w:rPr>
              <w:t>FOR</w:t>
            </w:r>
            <w:r>
              <w:rPr>
                <w:rFonts w:ascii="Times New Roman" w:hAnsi="Times New Roman"/>
                <w:b/>
                <w:sz w:val="20"/>
              </w:rPr>
              <w:t xml:space="preserve"> A</w:t>
            </w:r>
            <w:r>
              <w:rPr>
                <w:rFonts w:ascii="Times New Roman" w:hAnsi="Times New Roman"/>
                <w:b/>
                <w:sz w:val="20"/>
                <w:u w:val="single"/>
              </w:rPr>
              <w:t>WARDS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S</w:t>
            </w:r>
            <w:r>
              <w:rPr>
                <w:rFonts w:ascii="Times New Roman" w:hAnsi="Times New Roman"/>
                <w:b/>
                <w:sz w:val="20"/>
                <w:u w:val="single"/>
              </w:rPr>
              <w:t>ECTION</w:t>
            </w:r>
            <w:r>
              <w:rPr>
                <w:rFonts w:ascii="Times New Roman" w:hAnsi="Times New Roman"/>
                <w:b/>
                <w:sz w:val="20"/>
              </w:rPr>
              <w:t xml:space="preserve">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12.</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EVERABILITY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b/>
              </w:rPr>
            </w:pPr>
            <w:r>
              <w:rPr>
                <w:b/>
              </w:rPr>
              <w:t>13.</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14.</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 Stock</w:t>
      </w:r>
      <w:r>
        <w:rPr>
          <w:rFonts w:ascii="Times New Roman" w:hAnsi="Times New Roman"/>
          <w:sz w:val="20"/>
        </w:rPr>
        <w:t xml:space="preserve">” means each and every class of common stock of the Company, regardless of the number of votes per share.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has the meaning ascribed to such term in any written agreement between a Participant and the Company or any Affiliate of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Tectonic Therapeutic, Inc.,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Merger Agreement, provided that this Plan is approved by the Company’s stockholders prior to such date.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Merger Agreement</w:t>
      </w:r>
      <w:r>
        <w:rPr>
          <w:rFonts w:ascii="Times New Roman" w:hAnsi="Times New Roman"/>
          <w:sz w:val="20"/>
        </w:rPr>
        <w:t>” means that certain Agreement and Plan of Merger and Reorganization, dated as of January 30, 2024, among AVROBIO, Inc. a Delaware corporation (“</w:t>
      </w:r>
      <w:r>
        <w:rPr>
          <w:rFonts w:ascii="Times New Roman" w:hAnsi="Times New Roman"/>
          <w:b/>
          <w:i/>
          <w:sz w:val="20"/>
        </w:rPr>
        <w:t>Aspen</w:t>
      </w:r>
      <w:r>
        <w:rPr>
          <w:rFonts w:ascii="Times New Roman" w:hAnsi="Times New Roman"/>
          <w:sz w:val="20"/>
        </w:rPr>
        <w:t xml:space="preserve">”), Alpine Merger Subsidiary, Inc., a Delaware corporation and wholly owned subsidiary of Aspen, and the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Tectonic Therapeutic, Inc. 2024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7" w:name="toc770053_210"/>
      <w:bookmarkEnd w:id="337"/>
      <w:r>
        <w:rPr>
          <w:rFonts w:ascii="Times New Roman" w:hAnsi="Times New Roman"/>
          <w:b/>
          <w:sz w:val="20"/>
        </w:rPr>
        <w:t xml:space="preserve">Annex J </w:t>
      </w:r>
    </w:p>
    <w:p>
      <w:pPr>
        <w:pStyle w:val="TextBody"/>
        <w:bidi w:val="0"/>
        <w:spacing w:before="480" w:after="0"/>
        <w:jc w:val="center"/>
        <w:rPr>
          <w:rFonts w:ascii="Times New Roman" w:hAnsi="Times New Roman"/>
          <w:b/>
          <w:sz w:val="20"/>
        </w:rPr>
      </w:pPr>
      <w:r>
        <w:rPr>
          <w:rFonts w:ascii="Times New Roman" w:hAnsi="Times New Roman"/>
          <w:b/>
          <w:sz w:val="20"/>
        </w:rPr>
        <w:t xml:space="preserve">ANNEX J FORM OF 2024 ESPP </w:t>
      </w:r>
    </w:p>
    <w:p>
      <w:pPr>
        <w:pStyle w:val="TextBody"/>
        <w:bidi w:val="0"/>
        <w:spacing w:before="240" w:after="0"/>
        <w:jc w:val="center"/>
        <w:rPr>
          <w:rFonts w:ascii="Times New Roman" w:hAnsi="Times New Roman"/>
          <w:b/>
          <w:sz w:val="20"/>
        </w:rPr>
      </w:pPr>
      <w:r>
        <w:rPr>
          <w:rFonts w:ascii="Times New Roman" w:hAnsi="Times New Roman"/>
          <w:b/>
          <w:sz w:val="20"/>
        </w:rPr>
        <w:t>T</w:t>
      </w:r>
      <w:r>
        <w:rPr>
          <w:rFonts w:ascii="Times New Roman" w:hAnsi="Times New Roman"/>
          <w:b/>
          <w:sz w:val="20"/>
          <w:u w:val="single"/>
        </w:rPr>
        <w:t>ECTONIC</w:t>
      </w:r>
      <w:r>
        <w:rPr>
          <w:rFonts w:ascii="Times New Roman" w:hAnsi="Times New Roman"/>
          <w:b/>
          <w:sz w:val="20"/>
        </w:rPr>
        <w:t xml:space="preserve"> T</w:t>
      </w:r>
      <w:r>
        <w:rPr>
          <w:rFonts w:ascii="Times New Roman" w:hAnsi="Times New Roman"/>
          <w:b/>
          <w:sz w:val="20"/>
          <w:u w:val="single"/>
        </w:rPr>
        <w:t>HERAPEUTIC</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2024 E</w:t>
      </w:r>
      <w:r>
        <w:rPr>
          <w:rFonts w:ascii="Times New Roman" w:hAnsi="Times New Roman"/>
          <w:b/>
          <w:sz w:val="20"/>
          <w:u w:val="single"/>
        </w:rPr>
        <w:t>MPLOYEE</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DOPTED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B</w:t>
      </w:r>
      <w:r>
        <w:rPr>
          <w:rFonts w:ascii="Times New Roman" w:hAnsi="Times New Roman"/>
          <w:b/>
          <w:sz w:val="20"/>
          <w:u w:val="single"/>
        </w:rPr>
        <w:t>OARD</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xml:space="preserve">: [ ], 2024 </w:t>
      </w:r>
    </w:p>
    <w:p>
      <w:pPr>
        <w:pStyle w:val="TextBody"/>
        <w:bidi w:val="0"/>
        <w:spacing w:before="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PPROVED</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 xml:space="preserve">: [ ], 2024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b/>
              </w:rPr>
            </w:pPr>
            <w:r>
              <w:rPr>
                <w:b/>
              </w:rPr>
              <w:t>1.</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ENERAL</w:t>
            </w:r>
            <w:r>
              <w:rPr>
                <w:rFonts w:ascii="Times New Roman" w:hAnsi="Times New Roman"/>
                <w:b/>
                <w:sz w:val="20"/>
              </w:rPr>
              <w:t>; P</w:t>
            </w:r>
            <w:r>
              <w:rPr>
                <w:rFonts w:ascii="Times New Roman" w:hAnsi="Times New Roman"/>
                <w:b/>
                <w:sz w:val="20"/>
                <w:u w:val="single"/>
              </w:rPr>
              <w:t>URPOSE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b/>
              </w:rPr>
            </w:pPr>
            <w:r>
              <w:rPr>
                <w:b/>
              </w:rPr>
              <w:t>2.</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DMINISTRATION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215"/>
        <w:gridCol w:w="5195"/>
      </w:tblGrid>
      <w:tr>
        <w:trPr/>
        <w:tc>
          <w:tcPr>
            <w:tcW w:w="215" w:type="dxa"/>
            <w:tcBorders/>
            <w:vAlign w:val="center"/>
          </w:tcPr>
          <w:p>
            <w:pPr>
              <w:pStyle w:val="TableContents"/>
              <w:bidi w:val="0"/>
              <w:spacing w:before="0" w:after="283"/>
              <w:jc w:val="left"/>
              <w:rPr>
                <w:b/>
              </w:rPr>
            </w:pPr>
            <w:r>
              <w:rPr>
                <w:b/>
              </w:rPr>
              <w:t>3.</w:t>
            </w:r>
          </w:p>
        </w:tc>
        <w:tc>
          <w:tcPr>
            <w:tcW w:w="5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w:t>
            </w:r>
            <w:r>
              <w:rPr>
                <w:rFonts w:ascii="Times New Roman" w:hAnsi="Times New Roman"/>
                <w:b/>
                <w:sz w:val="20"/>
                <w:u w:val="single"/>
              </w:rPr>
              <w:t>HARES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 Subject to the provisions of Section 11(a) relating to Capitalization Adjustments, the maximum number of shares of Common Stock that may be issued under the Plan will not exceed a number of shares of Common Stock equal to one percent (1%) of the total number of shares of Common Stock issued and outstanding determined as of immediately after the Effective Time (the “</w:t>
      </w:r>
      <w:r>
        <w:rPr>
          <w:rFonts w:ascii="Times New Roman" w:hAnsi="Times New Roman"/>
          <w:b/>
          <w:i/>
          <w:sz w:val="20"/>
        </w:rPr>
        <w:t>Initial Share Reserve</w:t>
      </w:r>
      <w:r>
        <w:rPr>
          <w:rFonts w:ascii="Times New Roman" w:hAnsi="Times New Roman"/>
          <w:sz w:val="20"/>
        </w:rPr>
        <w:t xml:space="preserve">”), plus the number of shares of Common Stock that are automatically added on January 1st of each year for a period of up to ten years, commencing on January 1, 2025 and ending on (and including) January 1, 2034, in an amount equal to the lesser of (x) one percent (1%) of the total number of shares of Common Stock outstanding on December 31st of the preceding calendar year, and (y) a number of shares equal to three times the Initial Share Reserve.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reserved under this Section 3(a) may be used to satisfy purchases of Common Stock under the 423 Component and any remaining portion of such maximum number of shares may be used to satisfy purchases of Common Stock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b/>
              </w:rPr>
            </w:pPr>
            <w:r>
              <w:rPr>
                <w:b/>
              </w:rPr>
              <w:t>4.</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w:t>
            </w:r>
            <w:r>
              <w:rPr>
                <w:rFonts w:ascii="Times New Roman" w:hAnsi="Times New Roman"/>
                <w:b/>
                <w:sz w:val="20"/>
                <w:u w:val="single"/>
              </w:rPr>
              <w:t>RANT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O</w:t>
            </w:r>
            <w:r>
              <w:rPr>
                <w:rFonts w:ascii="Times New Roman" w:hAnsi="Times New Roman"/>
                <w:b/>
                <w:sz w:val="20"/>
                <w:u w:val="single"/>
              </w:rPr>
              <w:t>FFERING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the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215"/>
        <w:gridCol w:w="1385"/>
      </w:tblGrid>
      <w:tr>
        <w:trPr/>
        <w:tc>
          <w:tcPr>
            <w:tcW w:w="215" w:type="dxa"/>
            <w:tcBorders/>
            <w:vAlign w:val="center"/>
          </w:tcPr>
          <w:p>
            <w:pPr>
              <w:pStyle w:val="TableContents"/>
              <w:bidi w:val="0"/>
              <w:spacing w:before="0" w:after="283"/>
              <w:jc w:val="left"/>
              <w:rPr>
                <w:b/>
              </w:rPr>
            </w:pPr>
            <w:r>
              <w:rPr>
                <w:b/>
              </w:rPr>
              <w:t>5.</w:t>
            </w:r>
          </w:p>
        </w:tc>
        <w:tc>
          <w:tcPr>
            <w:tcW w:w="13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LIGIBILITY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15"/>
        <w:gridCol w:w="3770"/>
      </w:tblGrid>
      <w:tr>
        <w:trPr/>
        <w:tc>
          <w:tcPr>
            <w:tcW w:w="215" w:type="dxa"/>
            <w:tcBorders/>
            <w:vAlign w:val="center"/>
          </w:tcPr>
          <w:p>
            <w:pPr>
              <w:pStyle w:val="TableContents"/>
              <w:bidi w:val="0"/>
              <w:spacing w:before="0" w:after="283"/>
              <w:jc w:val="left"/>
              <w:rPr>
                <w:b/>
              </w:rPr>
            </w:pPr>
            <w:r>
              <w:rPr>
                <w:b/>
              </w:rPr>
              <w:t>6.</w:t>
            </w:r>
          </w:p>
        </w:tc>
        <w:tc>
          <w:tcPr>
            <w:tcW w:w="3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URCHASE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P</w:t>
            </w:r>
            <w:r>
              <w:rPr>
                <w:rFonts w:ascii="Times New Roman" w:hAnsi="Times New Roman"/>
                <w:b/>
                <w:sz w:val="20"/>
                <w:u w:val="single"/>
              </w:rPr>
              <w:t>URCHASE</w:t>
            </w:r>
            <w:r>
              <w:rPr>
                <w:rFonts w:ascii="Times New Roman" w:hAnsi="Times New Roman"/>
                <w:b/>
                <w:sz w:val="20"/>
              </w:rPr>
              <w:t xml:space="preserve"> P</w:t>
            </w:r>
            <w:r>
              <w:rPr>
                <w:rFonts w:ascii="Times New Roman" w:hAnsi="Times New Roman"/>
                <w:b/>
                <w:sz w:val="20"/>
                <w:u w:val="single"/>
              </w:rPr>
              <w:t>RICE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Date (or such later date as the Board determines for a particular Offering) and ends on the date stated in the Offering, which date will be no later than the end of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15"/>
        <w:gridCol w:w="4745"/>
      </w:tblGrid>
      <w:tr>
        <w:trPr/>
        <w:tc>
          <w:tcPr>
            <w:tcW w:w="215" w:type="dxa"/>
            <w:tcBorders/>
            <w:vAlign w:val="center"/>
          </w:tcPr>
          <w:p>
            <w:pPr>
              <w:pStyle w:val="TableContents"/>
              <w:bidi w:val="0"/>
              <w:spacing w:before="0" w:after="283"/>
              <w:jc w:val="left"/>
              <w:rPr>
                <w:b/>
              </w:rPr>
            </w:pPr>
            <w:r>
              <w:rPr>
                <w:b/>
              </w:rPr>
              <w:t>7.</w:t>
            </w:r>
          </w:p>
        </w:tc>
        <w:tc>
          <w:tcPr>
            <w:tcW w:w="4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ARTICIPATION</w:t>
            </w:r>
            <w:r>
              <w:rPr>
                <w:rFonts w:ascii="Times New Roman" w:hAnsi="Times New Roman"/>
                <w:b/>
                <w:sz w:val="20"/>
              </w:rPr>
              <w:t>; W</w:t>
            </w:r>
            <w:r>
              <w:rPr>
                <w:rFonts w:ascii="Times New Roman" w:hAnsi="Times New Roman"/>
                <w:b/>
                <w:sz w:val="20"/>
                <w:u w:val="single"/>
              </w:rPr>
              <w:t>ITHDRAWAL</w:t>
            </w:r>
            <w:r>
              <w:rPr>
                <w:rFonts w:ascii="Times New Roman" w:hAnsi="Times New Roman"/>
                <w:b/>
                <w:sz w:val="20"/>
              </w:rPr>
              <w:t>; T</w:t>
            </w:r>
            <w:r>
              <w:rPr>
                <w:rFonts w:ascii="Times New Roman" w:hAnsi="Times New Roman"/>
                <w:b/>
                <w:sz w:val="20"/>
                <w:u w:val="single"/>
              </w:rPr>
              <w:t>ERMINATION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eligible to participate.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215"/>
        <w:gridCol w:w="3320"/>
      </w:tblGrid>
      <w:tr>
        <w:trPr/>
        <w:tc>
          <w:tcPr>
            <w:tcW w:w="215" w:type="dxa"/>
            <w:tcBorders/>
            <w:vAlign w:val="center"/>
          </w:tcPr>
          <w:p>
            <w:pPr>
              <w:pStyle w:val="TableContents"/>
              <w:bidi w:val="0"/>
              <w:spacing w:before="0" w:after="283"/>
              <w:jc w:val="left"/>
              <w:rPr>
                <w:b/>
              </w:rPr>
            </w:pPr>
            <w:r>
              <w:rPr>
                <w:b/>
              </w:rPr>
              <w:t>8.</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XERCISE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b/>
              </w:rPr>
            </w:pPr>
            <w:r>
              <w:rPr>
                <w:b/>
              </w:rPr>
              <w:t>9.</w:t>
            </w:r>
          </w:p>
        </w:tc>
        <w:tc>
          <w:tcPr>
            <w:tcW w:w="3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OVENANTS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335"/>
        <w:gridCol w:w="3200"/>
      </w:tblGrid>
      <w:tr>
        <w:trPr/>
        <w:tc>
          <w:tcPr>
            <w:tcW w:w="335" w:type="dxa"/>
            <w:tcBorders/>
            <w:vAlign w:val="center"/>
          </w:tcPr>
          <w:p>
            <w:pPr>
              <w:pStyle w:val="TableContents"/>
              <w:bidi w:val="0"/>
              <w:spacing w:before="0" w:after="283"/>
              <w:jc w:val="left"/>
              <w:rPr>
                <w:b/>
              </w:rPr>
            </w:pPr>
            <w:r>
              <w:rPr>
                <w:b/>
              </w:rPr>
              <w:t>10.</w:t>
            </w:r>
          </w:p>
        </w:tc>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ESIGNATION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B</w:t>
            </w:r>
            <w:r>
              <w:rPr>
                <w:rFonts w:ascii="Times New Roman" w:hAnsi="Times New Roman"/>
                <w:b/>
                <w:sz w:val="20"/>
                <w:u w:val="single"/>
              </w:rPr>
              <w:t>ENEFICIARY</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335"/>
        <w:gridCol w:w="7985"/>
      </w:tblGrid>
      <w:tr>
        <w:trPr/>
        <w:tc>
          <w:tcPr>
            <w:tcW w:w="335" w:type="dxa"/>
            <w:tcBorders/>
            <w:vAlign w:val="center"/>
          </w:tcPr>
          <w:p>
            <w:pPr>
              <w:pStyle w:val="TableContents"/>
              <w:bidi w:val="0"/>
              <w:spacing w:before="0" w:after="283"/>
              <w:jc w:val="left"/>
              <w:rPr>
                <w:b/>
              </w:rPr>
            </w:pPr>
            <w:r>
              <w:rPr>
                <w:b/>
              </w:rPr>
              <w:t>11.</w:t>
            </w:r>
          </w:p>
        </w:tc>
        <w:tc>
          <w:tcPr>
            <w:tcW w:w="7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DJUSTMENTS</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C</w:t>
            </w:r>
            <w:r>
              <w:rPr>
                <w:rFonts w:ascii="Times New Roman" w:hAnsi="Times New Roman"/>
                <w:b/>
                <w:sz w:val="20"/>
                <w:u w:val="single"/>
              </w:rPr>
              <w:t>HANGES</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C</w:t>
            </w:r>
            <w:r>
              <w:rPr>
                <w:rFonts w:ascii="Times New Roman" w:hAnsi="Times New Roman"/>
                <w:b/>
                <w:sz w:val="20"/>
                <w:u w:val="single"/>
              </w:rPr>
              <w:t>OMMON</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C</w:t>
            </w:r>
            <w:r>
              <w:rPr>
                <w:rFonts w:ascii="Times New Roman" w:hAnsi="Times New Roman"/>
                <w:b/>
                <w:sz w:val="20"/>
                <w:u w:val="single"/>
              </w:rPr>
              <w:t>ORPORATE</w:t>
            </w:r>
            <w:r>
              <w:rPr>
                <w:rFonts w:ascii="Times New Roman" w:hAnsi="Times New Roman"/>
                <w:b/>
                <w:sz w:val="20"/>
              </w:rPr>
              <w:t xml:space="preserve"> T</w:t>
            </w:r>
            <w:r>
              <w:rPr>
                <w:rFonts w:ascii="Times New Roman" w:hAnsi="Times New Roman"/>
                <w:b/>
                <w:sz w:val="20"/>
                <w:u w:val="single"/>
              </w:rPr>
              <w:t>RANSACTIONS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205" w:type="dxa"/>
        <w:jc w:val="left"/>
        <w:tblInd w:w="0" w:type="dxa"/>
        <w:tblLayout w:type="fixed"/>
        <w:tblCellMar>
          <w:top w:w="0" w:type="dxa"/>
          <w:left w:w="0" w:type="dxa"/>
          <w:bottom w:w="0" w:type="dxa"/>
          <w:right w:w="0" w:type="dxa"/>
        </w:tblCellMar>
      </w:tblPr>
      <w:tblGrid>
        <w:gridCol w:w="335"/>
        <w:gridCol w:w="5870"/>
      </w:tblGrid>
      <w:tr>
        <w:trPr/>
        <w:tc>
          <w:tcPr>
            <w:tcW w:w="335" w:type="dxa"/>
            <w:tcBorders/>
            <w:vAlign w:val="center"/>
          </w:tcPr>
          <w:p>
            <w:pPr>
              <w:pStyle w:val="TableContents"/>
              <w:bidi w:val="0"/>
              <w:spacing w:before="0" w:after="283"/>
              <w:jc w:val="left"/>
              <w:rPr>
                <w:b/>
              </w:rPr>
            </w:pPr>
            <w:r>
              <w:rPr>
                <w:b/>
              </w:rPr>
              <w:t>12.</w:t>
            </w:r>
          </w:p>
        </w:tc>
        <w:tc>
          <w:tcPr>
            <w:tcW w:w="5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MENDMENT</w:t>
            </w:r>
            <w:r>
              <w:rPr>
                <w:rFonts w:ascii="Times New Roman" w:hAnsi="Times New Roman"/>
                <w:b/>
                <w:sz w:val="20"/>
              </w:rPr>
              <w:t>, 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OR</w:t>
            </w:r>
            <w:r>
              <w:rPr>
                <w:rFonts w:ascii="Times New Roman" w:hAnsi="Times New Roman"/>
                <w:b/>
                <w:sz w:val="20"/>
              </w:rPr>
              <w:t xml:space="preserve"> S</w:t>
            </w:r>
            <w:r>
              <w:rPr>
                <w:rFonts w:ascii="Times New Roman" w:hAnsi="Times New Roman"/>
                <w:b/>
                <w:sz w:val="20"/>
                <w:u w:val="single"/>
              </w:rPr>
              <w:t>USPENSION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335"/>
        <w:gridCol w:w="4205"/>
      </w:tblGrid>
      <w:tr>
        <w:trPr/>
        <w:tc>
          <w:tcPr>
            <w:tcW w:w="335" w:type="dxa"/>
            <w:tcBorders/>
            <w:vAlign w:val="center"/>
          </w:tcPr>
          <w:p>
            <w:pPr>
              <w:pStyle w:val="TableContents"/>
              <w:bidi w:val="0"/>
              <w:spacing w:before="0" w:after="283"/>
              <w:jc w:val="left"/>
              <w:rPr>
                <w:b/>
              </w:rPr>
            </w:pPr>
            <w:r>
              <w:rPr>
                <w:b/>
              </w:rPr>
              <w:t>13.</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AX</w:t>
            </w:r>
            <w:r>
              <w:rPr>
                <w:rFonts w:ascii="Times New Roman" w:hAnsi="Times New Roman"/>
                <w:b/>
                <w:sz w:val="20"/>
              </w:rPr>
              <w:t xml:space="preserve"> Q</w:t>
            </w:r>
            <w:r>
              <w:rPr>
                <w:rFonts w:ascii="Times New Roman" w:hAnsi="Times New Roman"/>
                <w:b/>
                <w:sz w:val="20"/>
                <w:u w:val="single"/>
              </w:rPr>
              <w:t>UALIFICATION</w:t>
            </w:r>
            <w:r>
              <w:rPr>
                <w:rFonts w:ascii="Times New Roman" w:hAnsi="Times New Roman"/>
                <w:b/>
                <w:sz w:val="20"/>
              </w:rPr>
              <w:t>; T</w:t>
            </w:r>
            <w:r>
              <w:rPr>
                <w:rFonts w:ascii="Times New Roman" w:hAnsi="Times New Roman"/>
                <w:b/>
                <w:sz w:val="20"/>
                <w:u w:val="single"/>
              </w:rPr>
              <w:t>AX</w:t>
            </w:r>
            <w:r>
              <w:rPr>
                <w:rFonts w:ascii="Times New Roman" w:hAnsi="Times New Roman"/>
                <w:b/>
                <w:sz w:val="20"/>
              </w:rPr>
              <w:t xml:space="preserve"> W</w:t>
            </w:r>
            <w:r>
              <w:rPr>
                <w:rFonts w:ascii="Times New Roman" w:hAnsi="Times New Roman"/>
                <w:b/>
                <w:sz w:val="20"/>
                <w:u w:val="single"/>
              </w:rPr>
              <w:t>ITHHOLDING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335"/>
        <w:gridCol w:w="2720"/>
      </w:tblGrid>
      <w:tr>
        <w:trPr/>
        <w:tc>
          <w:tcPr>
            <w:tcW w:w="335" w:type="dxa"/>
            <w:tcBorders/>
            <w:vAlign w:val="center"/>
          </w:tcPr>
          <w:p>
            <w:pPr>
              <w:pStyle w:val="TableContents"/>
              <w:bidi w:val="0"/>
              <w:spacing w:before="0" w:after="283"/>
              <w:jc w:val="left"/>
              <w:rPr>
                <w:b/>
              </w:rPr>
            </w:pPr>
            <w:r>
              <w:rPr>
                <w:b/>
              </w:rPr>
              <w:t>14.</w:t>
            </w:r>
          </w:p>
        </w:tc>
        <w:tc>
          <w:tcPr>
            <w:tcW w:w="2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FFECTIVE</w:t>
            </w:r>
            <w:r>
              <w:rPr>
                <w:rFonts w:ascii="Times New Roman" w:hAnsi="Times New Roman"/>
                <w:b/>
                <w:sz w:val="20"/>
              </w:rPr>
              <w:t xml:space="preserve"> D</w:t>
            </w:r>
            <w:r>
              <w:rPr>
                <w:rFonts w:ascii="Times New Roman" w:hAnsi="Times New Roman"/>
                <w:b/>
                <w:sz w:val="20"/>
                <w:u w:val="single"/>
              </w:rPr>
              <w:t>ATE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335"/>
        <w:gridCol w:w="3050"/>
      </w:tblGrid>
      <w:tr>
        <w:trPr/>
        <w:tc>
          <w:tcPr>
            <w:tcW w:w="335" w:type="dxa"/>
            <w:tcBorders/>
            <w:vAlign w:val="center"/>
          </w:tcPr>
          <w:p>
            <w:pPr>
              <w:pStyle w:val="TableContents"/>
              <w:bidi w:val="0"/>
              <w:spacing w:before="0" w:after="283"/>
              <w:jc w:val="left"/>
              <w:rPr>
                <w:b/>
              </w:rPr>
            </w:pPr>
            <w:r>
              <w:rPr>
                <w:b/>
              </w:rPr>
              <w:t>15.</w:t>
            </w:r>
          </w:p>
        </w:tc>
        <w:tc>
          <w:tcPr>
            <w:tcW w:w="30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ISCELLANEOUS</w:t>
            </w:r>
            <w:r>
              <w:rPr>
                <w:rFonts w:ascii="Times New Roman" w:hAnsi="Times New Roman"/>
                <w:b/>
                <w:sz w:val="20"/>
              </w:rPr>
              <w:t xml:space="preserve"> P</w:t>
            </w:r>
            <w:r>
              <w:rPr>
                <w:rFonts w:ascii="Times New Roman" w:hAnsi="Times New Roman"/>
                <w:b/>
                <w:sz w:val="20"/>
                <w:u w:val="single"/>
              </w:rPr>
              <w:t>ROVISIONS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b/>
              </w:rPr>
            </w:pPr>
            <w:r>
              <w:rPr>
                <w:b/>
              </w:rPr>
              <w:t>16.</w:t>
            </w:r>
          </w:p>
        </w:tc>
        <w:tc>
          <w:tcPr>
            <w:tcW w:w="1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the date of the closing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Effective Time</w:t>
      </w:r>
      <w:r>
        <w:rPr>
          <w:rFonts w:ascii="Times New Roman" w:hAnsi="Times New Roman"/>
          <w:sz w:val="20"/>
        </w:rPr>
        <w:t xml:space="preserve">” has the meaning set forth in the Merger Agreement.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Merger Agreement</w:t>
      </w:r>
      <w:r>
        <w:rPr>
          <w:rFonts w:ascii="Times New Roman" w:hAnsi="Times New Roman"/>
          <w:sz w:val="20"/>
        </w:rPr>
        <w:t>” means that certain Agreement and Plan of Merger and Reorganization, dated as of January 30, 2024, among AVROBIO, Inc. a Delaware corporation (“</w:t>
      </w:r>
      <w:r>
        <w:rPr>
          <w:rFonts w:ascii="Times New Roman" w:hAnsi="Times New Roman"/>
          <w:b/>
          <w:i/>
          <w:sz w:val="20"/>
        </w:rPr>
        <w:t>Aspen</w:t>
      </w:r>
      <w:r>
        <w:rPr>
          <w:rFonts w:ascii="Times New Roman" w:hAnsi="Times New Roman"/>
          <w:sz w:val="20"/>
        </w:rPr>
        <w:t xml:space="preserve">”), Alpine Merger Subsidiary, Inc., a Delaware corporation and wholly owned subsidiary of Aspen, and the Tectonic Therapeutic, Inc, a Delaware corporation.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Non-423 Component</w:t>
      </w:r>
      <w:r>
        <w:rPr>
          <w:rFonts w:ascii="Times New Roman" w:hAnsi="Times New Roman"/>
          <w:sz w:val="20"/>
        </w:rPr>
        <w:t xml:space="preserve">”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Tectonic Therapeutic, Inc. 2024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38" w:name="toc770053_211"/>
      <w:bookmarkEnd w:id="338"/>
      <w:r>
        <w:rPr>
          <w:rFonts w:ascii="Times New Roman" w:hAnsi="Times New Roman"/>
          <w:b/>
          <w:sz w:val="20"/>
        </w:rPr>
        <w:t xml:space="preserve">Annex K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(a)</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(3)</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75"/>
        <w:gridCol w:w="290"/>
        <w:gridCol w:w="10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(d),(e), and (g) of this section, shall apply as nearly as is practicable.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290"/>
        <w:gridCol w:w="37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3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(e)</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(g)</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(h)</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(j)</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(k)</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(l)</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Narrow" w:hAnsi="Arial Narrow"/>
          <w:b/>
          <w:sz w:val="20"/>
        </w:rPr>
      </w:pPr>
      <w:bookmarkStart w:id="339" w:name="toc770053_212"/>
      <w:bookmarkEnd w:id="339"/>
      <w:r>
        <w:rPr>
          <w:rFonts w:ascii="Arial Narrow" w:hAnsi="Arial Narrow"/>
          <w:b/>
          <w:sz w:val="20"/>
        </w:rPr>
        <w:t xml:space="preserve">Annex L </w:t>
      </w:r>
    </w:p>
    <w:p>
      <w:pPr>
        <w:pStyle w:val="TextBody"/>
        <w:bidi w:val="0"/>
        <w:spacing w:before="240" w:after="0"/>
        <w:jc w:val="right"/>
        <w:rPr>
          <w:rFonts w:ascii="Arial Narrow" w:hAnsi="Arial Narrow"/>
          <w:b/>
          <w:sz w:val="16"/>
        </w:rPr>
      </w:pPr>
      <w:r>
        <w:rPr>
          <w:rFonts w:ascii="Arial Narrow" w:hAnsi="Arial Narrow"/>
          <w:b/>
          <w:sz w:val="16"/>
        </w:rPr>
        <w:t xml:space="preserve">YOUR VOTE IS IMPORTANT! PLEASE VOTE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8"/>
        <w:gridCol w:w="120"/>
        <w:gridCol w:w="468"/>
        <w:gridCol w:w="120"/>
        <w:gridCol w:w="7879"/>
      </w:tblGrid>
      <w:tr>
        <w:trPr/>
        <w:tc>
          <w:tcPr>
            <w:tcW w:w="16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79" w:type="dxa"/>
            <w:tcBorders/>
            <w:vAlign w:val="center"/>
          </w:tcPr>
          <w:p>
            <w:pPr>
              <w:pStyle w:val="TableContents"/>
              <w:bidi w:val="0"/>
              <w:spacing w:before="0" w:after="283"/>
              <w:jc w:val="left"/>
              <w:rPr>
                <w:sz w:val="4"/>
                <w:szCs w:val="4"/>
              </w:rPr>
            </w:pPr>
            <w:r>
              <w:rPr>
                <w:sz w:val="4"/>
                <w:szCs w:val="4"/>
              </w:rPr>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68"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7879"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rFonts w:ascii="Arial Narrow" w:hAnsi="Arial Narrow"/>
                <w:b/>
              </w:rPr>
            </w:pPr>
            <w:r>
              <w:rPr>
                <w:rFonts w:ascii="Arial Narrow" w:hAnsi="Arial Narrow"/>
                <w:b/>
              </w:rPr>
              <w:t>INTERNET</w:t>
            </w:r>
          </w:p>
        </w:tc>
      </w:tr>
      <w:tr>
        <w:trPr/>
        <w:tc>
          <w:tcPr>
            <w:tcW w:w="1618" w:type="dxa"/>
            <w:vMerge w:val="restart"/>
            <w:tcBorders/>
            <w:vAlign w:val="center"/>
          </w:tcPr>
          <w:p>
            <w:pPr>
              <w:pStyle w:val="TableContents"/>
              <w:bidi w:val="0"/>
              <w:spacing w:before="0" w:after="0"/>
              <w:jc w:val="left"/>
              <w:rPr/>
            </w:pPr>
            <w:r>
              <w:rPr/>
              <w:drawing>
                <wp:inline distT="0" distB="0" distL="0" distR="0">
                  <wp:extent cx="181610" cy="41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81610" cy="41275"/>
                          </a:xfrm>
                          <a:prstGeom prst="rect">
                            <a:avLst/>
                          </a:prstGeom>
                        </pic:spPr>
                      </pic:pic>
                    </a:graphicData>
                  </a:graphic>
                </wp:inline>
              </w:drawing>
            </w:r>
            <w:r>
              <w:rPr/>
              <w:t xml:space="preserve"> </w:t>
            </w:r>
          </w:p>
          <w:p>
            <w:pPr>
              <w:pStyle w:val="TableContents"/>
              <w:bidi w:val="0"/>
              <w:spacing w:before="0" w:after="20"/>
              <w:jc w:val="left"/>
              <w:rPr>
                <w:rFonts w:ascii="Arial Narrow" w:hAnsi="Arial Narrow"/>
                <w:sz w:val="12"/>
              </w:rPr>
            </w:pPr>
            <w:r>
              <w:rPr>
                <w:rFonts w:ascii="Arial Narrow" w:hAnsi="Arial Narrow"/>
                <w:sz w:val="12"/>
              </w:rPr>
              <w:t>P.O. BOX 8016, CARY, NC 27512-9903</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283"/>
              <w:jc w:val="left"/>
              <w:rPr>
                <w:rFonts w:ascii="Arial Narrow" w:hAnsi="Arial Narrow"/>
              </w:rPr>
            </w:pPr>
            <w:r>
              <w:rPr>
                <w:rFonts w:ascii="Arial Narrow" w:hAnsi="Arial Narrow"/>
              </w:rPr>
              <w:t xml:space="preserve">Go To: </w:t>
            </w:r>
            <w:r>
              <w:rPr>
                <w:rFonts w:ascii="Arial Narrow" w:hAnsi="Arial Narrow"/>
                <w:b/>
              </w:rPr>
              <w:t xml:space="preserve">www.proxypush.com/AVRO </w:t>
            </w:r>
          </w:p>
        </w:tc>
      </w:tr>
      <w:tr>
        <w:trPr/>
        <w:tc>
          <w:tcPr>
            <w:tcW w:w="1618" w:type="dxa"/>
            <w:vMerge w:val="continue"/>
            <w:tcBorders/>
            <w:vAlign w:val="center"/>
          </w:tcPr>
          <w:p>
            <w:pPr>
              <w:pStyle w:val="Normal"/>
              <w:bidi w:val="0"/>
              <w:jc w:val="left"/>
              <w:rPr/>
            </w:pPr>
            <w:r>
              <w:rPr/>
            </w:r>
          </w:p>
        </w:tc>
        <w:tc>
          <w:tcPr>
            <w:tcW w:w="120" w:type="dxa"/>
            <w:vMerge w:val="restart"/>
            <w:tcBorders>
              <w:left w:val="single" w:sz="6" w:space="0" w:color="000000"/>
            </w:tcBorders>
            <w:tcMar>
              <w:left w:w="28" w:type="dxa"/>
            </w:tcMar>
            <w:vAlign w:val="center"/>
          </w:tcPr>
          <w:p>
            <w:pPr>
              <w:pStyle w:val="TableContents"/>
              <w:bidi w:val="0"/>
              <w:spacing w:before="0" w:after="283"/>
              <w:jc w:val="left"/>
              <w:rPr/>
            </w:pPr>
            <w:r>
              <w:rPr/>
              <w:t>  </w:t>
            </w:r>
          </w:p>
        </w:tc>
        <w:tc>
          <w:tcPr>
            <w:tcW w:w="468" w:type="dxa"/>
            <w:vMerge w:val="restart"/>
            <w:tcBorders/>
            <w:vAlign w:val="center"/>
          </w:tcPr>
          <w:p>
            <w:pPr>
              <w:pStyle w:val="TableContents"/>
              <w:bidi w:val="0"/>
              <w:spacing w:before="0" w:after="283"/>
              <w:jc w:val="center"/>
              <w:rPr/>
            </w:pPr>
            <w:r>
              <w:rPr/>
              <w:drawing>
                <wp:inline distT="0" distB="0" distL="0" distR="0">
                  <wp:extent cx="247015" cy="1543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47015" cy="1543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sz w:val="16"/>
              </w:rPr>
              <w:t>Cast your vote online</w:t>
            </w:r>
          </w:p>
        </w:tc>
      </w:tr>
      <w:tr>
        <w:trPr/>
        <w:tc>
          <w:tcPr>
            <w:tcW w:w="1618" w:type="dxa"/>
            <w:vMerge w:val="continue"/>
            <w:tcBorders/>
            <w:vAlign w:val="center"/>
          </w:tcPr>
          <w:p>
            <w:pPr>
              <w:pStyle w:val="Normal"/>
              <w:bidi w:val="0"/>
              <w:jc w:val="left"/>
              <w:rPr/>
            </w:pPr>
            <w:r>
              <w:rPr/>
            </w:r>
          </w:p>
        </w:tc>
        <w:tc>
          <w:tcPr>
            <w:tcW w:w="120" w:type="dxa"/>
            <w:vMerge w:val="continue"/>
            <w:tcBorders>
              <w:left w:val="single" w:sz="6" w:space="0" w:color="000000"/>
            </w:tcBorders>
            <w:tcMar>
              <w:left w:w="28" w:type="dxa"/>
            </w:tcMar>
            <w:vAlign w:val="center"/>
          </w:tcPr>
          <w:p>
            <w:pPr>
              <w:pStyle w:val="Normal"/>
              <w:bidi w:val="0"/>
              <w:jc w:val="left"/>
              <w:rPr/>
            </w:pPr>
            <w:r>
              <w:rPr/>
            </w:r>
          </w:p>
        </w:tc>
        <w:tc>
          <w:tcPr>
            <w:tcW w:w="46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b/>
                <w:sz w:val="16"/>
              </w:rPr>
              <w:t>Have your Proxy Card ready</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8"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7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Narrow" w:hAnsi="Arial Narrow"/>
                <w:sz w:val="16"/>
              </w:rPr>
              <w:t>Follow the simple instructions to record your vote</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283"/>
              <w:jc w:val="left"/>
              <w:rPr>
                <w:rFonts w:ascii="Arial Narrow" w:hAnsi="Arial Narrow"/>
              </w:rPr>
            </w:pPr>
            <w:r>
              <w:rPr>
                <w:rFonts w:ascii="Arial Narrow" w:hAnsi="Arial Narrow"/>
                <w:b/>
              </w:rPr>
              <w:t xml:space="preserve">PHONE </w:t>
            </w:r>
            <w:r>
              <w:rPr>
                <w:rFonts w:ascii="Arial Narrow" w:hAnsi="Arial Narrow"/>
              </w:rPr>
              <w:t xml:space="preserve">Call </w:t>
            </w:r>
            <w:r>
              <w:rPr>
                <w:rFonts w:ascii="Arial Narrow" w:hAnsi="Arial Narrow"/>
                <w:b/>
              </w:rPr>
              <w:t xml:space="preserve">1-866-430-8290 </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8" w:type="dxa"/>
            <w:vMerge w:val="restart"/>
            <w:tcBorders>
              <w:bottom w:val="single" w:sz="6" w:space="0" w:color="000000"/>
            </w:tcBorders>
            <w:tcMar>
              <w:bottom w:w="28" w:type="dxa"/>
            </w:tcMar>
            <w:vAlign w:val="center"/>
          </w:tcPr>
          <w:p>
            <w:pPr>
              <w:pStyle w:val="TableContents"/>
              <w:bidi w:val="0"/>
              <w:spacing w:before="0" w:after="283"/>
              <w:jc w:val="center"/>
              <w:rPr/>
            </w:pPr>
            <w:r>
              <w:rPr/>
              <w:drawing>
                <wp:inline distT="0" distB="0" distL="0" distR="0">
                  <wp:extent cx="111125" cy="1974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125" cy="19748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sz w:val="16"/>
              </w:rPr>
              <w:t>Use any touch-tone telephone</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468" w:type="dxa"/>
            <w:vMerge w:val="continue"/>
            <w:tcBorders>
              <w:bottom w:val="single" w:sz="6" w:space="0" w:color="000000"/>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b/>
                <w:sz w:val="16"/>
              </w:rPr>
              <w:t>Have your Proxy Card ready</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468" w:type="dxa"/>
            <w:vMerge w:val="continue"/>
            <w:tcBorders>
              <w:bottom w:val="single" w:sz="6" w:space="0" w:color="000000"/>
            </w:tcBorders>
            <w:tcMar>
              <w:bottom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7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Narrow" w:hAnsi="Arial Narrow"/>
                <w:sz w:val="16"/>
              </w:rPr>
              <w:t>Follow the simple recorded instructions</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283"/>
              <w:jc w:val="left"/>
              <w:rPr>
                <w:rFonts w:ascii="Arial Narrow" w:hAnsi="Arial Narrow"/>
                <w:b/>
              </w:rPr>
            </w:pPr>
            <w:r>
              <w:rPr>
                <w:rFonts w:ascii="Arial Narrow" w:hAnsi="Arial Narrow"/>
                <w:b/>
              </w:rPr>
              <w:t>MAIL</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8" w:type="dxa"/>
            <w:vMerge w:val="restart"/>
            <w:tcBorders>
              <w:bottom w:val="single" w:sz="6" w:space="0" w:color="000000"/>
            </w:tcBorders>
            <w:tcMar>
              <w:bottom w:w="28" w:type="dxa"/>
            </w:tcMar>
            <w:vAlign w:val="center"/>
          </w:tcPr>
          <w:p>
            <w:pPr>
              <w:pStyle w:val="TableContents"/>
              <w:bidi w:val="0"/>
              <w:spacing w:before="0" w:after="283"/>
              <w:jc w:val="center"/>
              <w:rPr/>
            </w:pPr>
            <w:r>
              <w:rPr/>
              <w:drawing>
                <wp:inline distT="0" distB="0" distL="0" distR="0">
                  <wp:extent cx="265430" cy="17335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65430" cy="1733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879" w:type="dxa"/>
            <w:tcBorders>
              <w:right w:val="single" w:sz="6" w:space="0" w:color="000000"/>
            </w:tcBorders>
            <w:tcMar>
              <w:right w:w="40" w:type="dxa"/>
            </w:tcMar>
            <w:vAlign w:val="center"/>
          </w:tcPr>
          <w:p>
            <w:pPr>
              <w:pStyle w:val="TableContents"/>
              <w:bidi w:val="0"/>
              <w:spacing w:before="0" w:after="0"/>
              <w:jc w:val="left"/>
              <w:rPr/>
            </w:pPr>
            <w:r>
              <w:rPr/>
              <w:t>•  </w:t>
            </w:r>
            <w:r>
              <w:rPr>
                <w:rFonts w:ascii="Arial Narrow" w:hAnsi="Arial Narrow"/>
                <w:sz w:val="16"/>
              </w:rPr>
              <w:t>Mark, sign and date your Proxy Card</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468" w:type="dxa"/>
            <w:vMerge w:val="continue"/>
            <w:tcBorders>
              <w:bottom w:val="single" w:sz="6" w:space="0" w:color="000000"/>
            </w:tcBorders>
            <w:tcMar>
              <w:bottom w:w="28" w:type="dxa"/>
            </w:tcMar>
            <w:vAlign w:val="center"/>
          </w:tcPr>
          <w:p>
            <w:pPr>
              <w:pStyle w:val="Normal"/>
              <w:bidi w:val="0"/>
              <w:jc w:val="left"/>
              <w:rPr/>
            </w:pPr>
            <w:r>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7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pPr>
            <w:r>
              <w:rPr/>
              <w:t>•  </w:t>
            </w:r>
            <w:r>
              <w:rPr>
                <w:rFonts w:ascii="Arial Narrow" w:hAnsi="Arial Narrow"/>
                <w:sz w:val="16"/>
              </w:rPr>
              <w:t>Fold and return your Proxy Card in the postage-paid envelope provided</w:t>
            </w:r>
          </w:p>
        </w:tc>
      </w:tr>
      <w:tr>
        <w:trPr/>
        <w:tc>
          <w:tcPr>
            <w:tcW w:w="161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68" w:type="dxa"/>
            <w:tcBorders>
              <w:bottom w:val="single" w:sz="6" w:space="0" w:color="000000"/>
            </w:tcBorders>
            <w:tcMar>
              <w:bottom w:w="28" w:type="dxa"/>
            </w:tcMar>
            <w:vAlign w:val="center"/>
          </w:tcPr>
          <w:p>
            <w:pPr>
              <w:pStyle w:val="TableContents"/>
              <w:bidi w:val="0"/>
              <w:spacing w:before="0" w:after="283"/>
              <w:jc w:val="center"/>
              <w:rPr/>
            </w:pPr>
            <w:r>
              <w:rPr/>
              <w:drawing>
                <wp:inline distT="0" distB="0" distL="0" distR="0">
                  <wp:extent cx="259715" cy="1543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59715" cy="154305"/>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879" w:type="dxa"/>
            <w:tcBorders>
              <w:bottom w:val="single" w:sz="6" w:space="0" w:color="000000"/>
              <w:right w:val="single" w:sz="6" w:space="0" w:color="000000"/>
            </w:tcBorders>
            <w:tcMar>
              <w:bottom w:w="28" w:type="dxa"/>
              <w:right w:w="40" w:type="dxa"/>
            </w:tcMar>
            <w:vAlign w:val="center"/>
          </w:tcPr>
          <w:p>
            <w:pPr>
              <w:pStyle w:val="TableContents"/>
              <w:bidi w:val="0"/>
              <w:spacing w:before="0" w:after="0"/>
              <w:jc w:val="left"/>
              <w:rPr>
                <w:rFonts w:ascii="Arial Narrow" w:hAnsi="Arial Narrow"/>
                <w:sz w:val="16"/>
              </w:rPr>
            </w:pPr>
            <w:r>
              <w:rPr>
                <w:rFonts w:ascii="Arial Narrow" w:hAnsi="Arial Narrow"/>
                <w:sz w:val="16"/>
              </w:rPr>
              <w:t>You must register by [    ], 2024 at 5:00 PM Eastern Time to attend the meeting online and/or participate at www.proxydocs.com/AVRO</w:t>
            </w:r>
          </w:p>
          <w:p>
            <w:pPr>
              <w:pStyle w:val="TableContents"/>
              <w:bidi w:val="0"/>
              <w:spacing w:before="0" w:after="20"/>
              <w:jc w:val="left"/>
              <w:rPr/>
            </w:pPr>
            <w:r>
              <w:rPr/>
              <w:t> </w:t>
            </w:r>
          </w:p>
        </w:tc>
      </w:tr>
    </w:tbl>
    <w:p>
      <w:pPr>
        <w:pStyle w:val="TextBody"/>
        <w:bidi w:val="0"/>
        <w:spacing w:before="0" w:after="0"/>
        <w:jc w:val="left"/>
        <w:rPr/>
      </w:pPr>
      <w:r>
        <w:rPr/>
        <w:t> </w:t>
      </w:r>
    </w:p>
    <w:tbl>
      <w:tblPr>
        <w:tblW w:w="5052" w:type="dxa"/>
        <w:jc w:val="left"/>
        <w:tblInd w:w="0" w:type="dxa"/>
        <w:tblLayout w:type="fixed"/>
        <w:tblCellMar>
          <w:top w:w="0" w:type="dxa"/>
          <w:left w:w="0" w:type="dxa"/>
          <w:bottom w:w="0" w:type="dxa"/>
          <w:right w:w="0" w:type="dxa"/>
        </w:tblCellMar>
      </w:tblPr>
      <w:tblGrid>
        <w:gridCol w:w="4670"/>
        <w:gridCol w:w="120"/>
        <w:gridCol w:w="262"/>
      </w:tblGrid>
      <w:tr>
        <w:trPr/>
        <w:tc>
          <w:tcPr>
            <w:tcW w:w="4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bidi w:val="0"/>
              <w:spacing w:before="0" w:after="0"/>
              <w:jc w:val="left"/>
              <w:rPr>
                <w:rFonts w:ascii="Arial Narrow" w:hAnsi="Arial Narrow"/>
                <w:b/>
                <w:sz w:val="34"/>
              </w:rPr>
            </w:pPr>
            <w:r>
              <w:rPr>
                <w:rFonts w:ascii="Arial Narrow" w:hAnsi="Arial Narrow"/>
                <w:b/>
                <w:sz w:val="34"/>
              </w:rPr>
              <w:t>AVROBIO, Inc.</w:t>
            </w:r>
          </w:p>
          <w:p>
            <w:pPr>
              <w:pStyle w:val="TableContents"/>
              <w:bidi w:val="0"/>
              <w:spacing w:before="0" w:after="0"/>
              <w:jc w:val="left"/>
              <w:rPr/>
            </w:pPr>
            <w:r>
              <w:rPr/>
              <w:t> </w:t>
            </w:r>
          </w:p>
          <w:p>
            <w:pPr>
              <w:pStyle w:val="TableContents"/>
              <w:bidi w:val="0"/>
              <w:spacing w:before="0" w:after="0"/>
              <w:jc w:val="left"/>
              <w:rPr>
                <w:rFonts w:ascii="Arial Narrow" w:hAnsi="Arial Narrow"/>
                <w:b/>
                <w:sz w:val="22"/>
              </w:rPr>
            </w:pPr>
            <w:r>
              <w:rPr>
                <w:rFonts w:ascii="Arial Narrow" w:hAnsi="Arial Narrow"/>
                <w:b/>
                <w:sz w:val="22"/>
              </w:rPr>
              <w:t>Special Meeting of Stockholders</w:t>
            </w:r>
          </w:p>
          <w:p>
            <w:pPr>
              <w:pStyle w:val="TableContents"/>
              <w:bidi w:val="0"/>
              <w:spacing w:before="0" w:after="0"/>
              <w:jc w:val="left"/>
              <w:rPr/>
            </w:pPr>
            <w:r>
              <w:rPr/>
              <w:t> </w:t>
            </w:r>
          </w:p>
          <w:p>
            <w:pPr>
              <w:pStyle w:val="TableContents"/>
              <w:bidi w:val="0"/>
              <w:spacing w:before="0" w:after="20"/>
              <w:jc w:val="left"/>
              <w:rPr>
                <w:rFonts w:ascii="Arial Narrow" w:hAnsi="Arial Narrow"/>
                <w:sz w:val="18"/>
              </w:rPr>
            </w:pPr>
            <w:r>
              <w:rPr>
                <w:rFonts w:ascii="Arial Narrow" w:hAnsi="Arial Narrow"/>
                <w:sz w:val="18"/>
              </w:rPr>
              <w:t>For stockholders of record at the close of business on [    ], 2024</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right"/>
              <w:rPr/>
            </w:pPr>
            <w:r>
              <w:rPr/>
              <w:drawing>
                <wp:inline distT="0" distB="0" distL="0" distR="0">
                  <wp:extent cx="118745" cy="28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8745" cy="28575"/>
                          </a:xfrm>
                          <a:prstGeom prst="rect">
                            <a:avLst/>
                          </a:prstGeom>
                        </pic:spPr>
                      </pic:pic>
                    </a:graphicData>
                  </a:graphic>
                </wp:inline>
              </w:drawing>
            </w:r>
            <w:r>
              <w:rPr/>
              <w:t xml:space="preserve"> </w:t>
            </w:r>
          </w:p>
        </w:tc>
      </w:tr>
    </w:tbl>
    <w:p>
      <w:pPr>
        <w:pStyle w:val="TextBody"/>
        <w:bidi w:val="0"/>
        <w:spacing w:before="360" w:after="0"/>
        <w:jc w:val="left"/>
        <w:rPr>
          <w:rFonts w:ascii="Arial Narrow" w:hAnsi="Arial Narrow"/>
          <w:sz w:val="18"/>
        </w:rPr>
      </w:pPr>
      <w:r>
        <w:rPr>
          <w:rFonts w:ascii="Arial Narrow" w:hAnsi="Arial Narrow"/>
          <w:b/>
          <w:sz w:val="18"/>
        </w:rPr>
        <w:t>TIME:  </w:t>
      </w:r>
      <w:r>
        <w:rPr>
          <w:rFonts w:ascii="Arial Narrow" w:hAnsi="Arial Narrow"/>
          <w:sz w:val="18"/>
        </w:rPr>
        <w:t xml:space="preserve">[    ], 2024 [  ][AM/PM], Eastern Time </w:t>
      </w:r>
    </w:p>
    <w:p>
      <w:pPr>
        <w:pStyle w:val="TextBody"/>
        <w:bidi w:val="0"/>
        <w:spacing w:before="0" w:after="0"/>
        <w:jc w:val="left"/>
        <w:rPr>
          <w:rFonts w:ascii="Arial Narrow" w:hAnsi="Arial Narrow"/>
          <w:sz w:val="18"/>
        </w:rPr>
      </w:pPr>
      <w:r>
        <w:rPr>
          <w:rFonts w:ascii="Arial Narrow" w:hAnsi="Arial Narrow"/>
          <w:b/>
          <w:sz w:val="18"/>
        </w:rPr>
        <w:t>PLACE: </w:t>
      </w:r>
      <w:r>
        <w:rPr>
          <w:rFonts w:ascii="Arial Narrow" w:hAnsi="Arial Narrow"/>
          <w:sz w:val="18"/>
        </w:rPr>
        <w:t xml:space="preserve">Special Meeting to be held live via the internet - please visit </w:t>
      </w:r>
    </w:p>
    <w:p>
      <w:pPr>
        <w:pStyle w:val="TextBody"/>
        <w:bidi w:val="0"/>
        <w:spacing w:before="0" w:after="0"/>
        <w:jc w:val="left"/>
        <w:rPr/>
      </w:pPr>
      <w:r>
        <w:rPr/>
        <w:t>  </w:t>
      </w:r>
      <w:r>
        <w:rPr>
          <w:rFonts w:ascii="Arial Narrow" w:hAnsi="Arial Narrow"/>
          <w:sz w:val="18"/>
        </w:rPr>
        <w:t xml:space="preserve">www.proxydocs.com/AVRO for more details </w:t>
      </w:r>
    </w:p>
    <w:p>
      <w:pPr>
        <w:pStyle w:val="TextBody"/>
        <w:bidi w:val="0"/>
        <w:spacing w:before="240" w:after="0"/>
        <w:jc w:val="center"/>
        <w:rPr>
          <w:rFonts w:ascii="Arial Narrow" w:hAnsi="Arial Narrow"/>
          <w:b/>
          <w:sz w:val="20"/>
        </w:rPr>
      </w:pPr>
      <w:r>
        <w:rPr>
          <w:rFonts w:ascii="Arial Narrow" w:hAnsi="Arial Narrow"/>
          <w:b/>
          <w:sz w:val="20"/>
        </w:rPr>
        <w:t xml:space="preserve">This proxy is being solicited on behalf of the Board of Directors </w:t>
      </w:r>
    </w:p>
    <w:p>
      <w:pPr>
        <w:pStyle w:val="TextBody"/>
        <w:bidi w:val="0"/>
        <w:spacing w:before="120" w:after="0"/>
        <w:jc w:val="left"/>
        <w:rPr>
          <w:rFonts w:ascii="Arial Narrow" w:hAnsi="Arial Narrow"/>
          <w:sz w:val="16"/>
        </w:rPr>
      </w:pPr>
      <w:r>
        <w:rPr>
          <w:rFonts w:ascii="Arial Narrow" w:hAnsi="Arial Narrow"/>
          <w:sz w:val="16"/>
        </w:rPr>
        <w:t xml:space="preserve">The undersigned hereby appoints Erik Ostrowski and Steven Avruch, and each of them (the “Named Proxies”), as the true and lawful attorneys of the undersigned, with full power of substitution and revocation, and authorizes them, and each of them, to vote all the shares of capital stock of AVROBIO, Inc. which the undersigned is entitled to vote at said meeting and any adjournment thereof upon the matters specified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240" w:after="0"/>
        <w:jc w:val="left"/>
        <w:rPr>
          <w:rFonts w:ascii="Arial Narrow" w:hAnsi="Arial Narrow"/>
          <w:sz w:val="16"/>
        </w:rPr>
      </w:pPr>
      <w:r>
        <w:rPr>
          <w:rFonts w:ascii="Arial Narrow" w:hAnsi="Arial Narrow"/>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40" w:after="0"/>
        <w:jc w:val="left"/>
        <w:rPr>
          <w:rFonts w:ascii="Arial Narrow" w:hAnsi="Arial Narrow"/>
          <w:sz w:val="16"/>
        </w:rPr>
      </w:pPr>
      <w:r>
        <w:rPr>
          <w:rFonts w:ascii="Arial Narrow" w:hAnsi="Arial Narrow"/>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960" w:after="0"/>
        <w:jc w:val="center"/>
        <w:rPr>
          <w:rFonts w:ascii="Arial Narrow" w:hAnsi="Arial Narrow"/>
          <w:sz w:val="16"/>
        </w:rPr>
      </w:pPr>
      <w:r>
        <w:rPr>
          <w:rFonts w:ascii="Arial Narrow" w:hAnsi="Arial Narrow"/>
          <w:sz w:val="16"/>
        </w:rPr>
        <w:t xml:space="preserve">PLEASE BE SURE TO SIGN AND DATE THIS PROXY CARD AND MARK ON THE REVERSE SIDE </w:t>
      </w:r>
    </w:p>
    <w:p>
      <w:pPr>
        <w:pStyle w:val="TextBody"/>
        <w:bidi w:val="0"/>
        <w:spacing w:before="0" w:after="0"/>
        <w:jc w:val="left"/>
        <w:rPr/>
      </w:pPr>
      <w:r>
        <w:rPr/>
        <w:t> </w:t>
      </w:r>
    </w:p>
    <w:p>
      <w:pPr>
        <w:pStyle w:val="TextBody"/>
        <w:bidi w:val="0"/>
        <w:spacing w:before="0" w:after="0"/>
        <w:jc w:val="center"/>
        <w:rPr>
          <w:rFonts w:ascii="Arial Narrow" w:hAnsi="Arial Narrow"/>
          <w:sz w:val="20"/>
        </w:rPr>
      </w:pPr>
      <w:r>
        <w:rPr>
          <w:rFonts w:ascii="Arial Narrow" w:hAnsi="Arial Narrow"/>
          <w:sz w:val="20"/>
        </w:rPr>
        <w:t xml:space="preserve">L-1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Arial Narrow" w:hAnsi="Arial Narrow"/>
          <w:b/>
          <w:sz w:val="36"/>
        </w:rPr>
      </w:pPr>
      <w:r>
        <w:rPr>
          <w:rFonts w:ascii="Arial Narrow" w:hAnsi="Arial Narrow"/>
          <w:b/>
          <w:sz w:val="36"/>
        </w:rPr>
        <w:t xml:space="preserve">AVROBIO, Inc. </w:t>
      </w:r>
    </w:p>
    <w:p>
      <w:pPr>
        <w:pStyle w:val="TextBody"/>
        <w:bidi w:val="0"/>
        <w:spacing w:before="0" w:after="0"/>
        <w:jc w:val="center"/>
        <w:rPr>
          <w:rFonts w:ascii="Arial Narrow" w:hAnsi="Arial Narrow"/>
          <w:b/>
          <w:sz w:val="24"/>
        </w:rPr>
      </w:pPr>
      <w:r>
        <w:rPr>
          <w:rFonts w:ascii="Arial Narrow" w:hAnsi="Arial Narrow"/>
          <w:b/>
          <w:sz w:val="24"/>
        </w:rPr>
        <w:t xml:space="preserve">Special Meeting of Stockholders </w:t>
      </w:r>
    </w:p>
    <w:p>
      <w:pPr>
        <w:pStyle w:val="TextBody"/>
        <w:bidi w:val="0"/>
        <w:spacing w:before="0" w:after="0"/>
        <w:jc w:val="left"/>
        <w:rPr/>
      </w:pPr>
      <w:r>
        <w:rPr/>
        <w:t> </w:t>
      </w:r>
    </w:p>
    <w:tbl>
      <w:tblPr>
        <w:tblW w:w="2467" w:type="dxa"/>
        <w:jc w:val="left"/>
        <w:tblInd w:w="0" w:type="dxa"/>
        <w:tblLayout w:type="fixed"/>
        <w:tblCellMar>
          <w:top w:w="0" w:type="dxa"/>
          <w:left w:w="0" w:type="dxa"/>
          <w:bottom w:w="0" w:type="dxa"/>
          <w:right w:w="0" w:type="dxa"/>
        </w:tblCellMar>
      </w:tblPr>
      <w:tblGrid>
        <w:gridCol w:w="2300"/>
        <w:gridCol w:w="60"/>
        <w:gridCol w:w="107"/>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rFonts w:ascii="Arial Narrow" w:hAnsi="Arial Narrow"/>
                <w:b/>
                <w:sz w:val="16"/>
              </w:rPr>
            </w:pPr>
            <w:r>
              <w:rPr>
                <w:rFonts w:ascii="Arial Narrow" w:hAnsi="Arial Narrow"/>
                <w:b/>
                <w:sz w:val="16"/>
              </w:rPr>
              <w:t>Please make your marks like this:</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drawing>
                <wp:inline distT="0" distB="0" distL="0" distR="0">
                  <wp:extent cx="20320" cy="2032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0320" cy="20320"/>
                          </a:xfrm>
                          <a:prstGeom prst="rect">
                            <a:avLst/>
                          </a:prstGeom>
                        </pic:spPr>
                      </pic:pic>
                    </a:graphicData>
                  </a:graphic>
                </wp:inline>
              </w:drawing>
            </w:r>
            <w:r>
              <w:rPr/>
              <w:t xml:space="preserve"> </w:t>
            </w:r>
          </w:p>
        </w:tc>
      </w:tr>
    </w:tbl>
    <w:p>
      <w:pPr>
        <w:pStyle w:val="TextBody"/>
        <w:bidi w:val="0"/>
        <w:spacing w:before="120" w:after="0"/>
        <w:jc w:val="left"/>
        <w:rPr>
          <w:rFonts w:ascii="Arial Narrow" w:hAnsi="Arial Narrow"/>
          <w:b/>
          <w:sz w:val="16"/>
        </w:rPr>
      </w:pPr>
      <w:r>
        <w:rPr>
          <w:rFonts w:ascii="Arial Narrow" w:hAnsi="Arial Narrow"/>
          <w:b/>
          <w:sz w:val="16"/>
        </w:rPr>
        <w:t xml:space="preserve">THE BOARD OF DIRECTORS RECOMMENDS A VOTE FOR EACH OF PROPOSALS 1, 2, 3, 4, 5, 6 AND 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
        <w:gridCol w:w="60"/>
        <w:gridCol w:w="5615"/>
        <w:gridCol w:w="120"/>
        <w:gridCol w:w="425"/>
        <w:gridCol w:w="120"/>
        <w:gridCol w:w="1175"/>
        <w:gridCol w:w="120"/>
        <w:gridCol w:w="875"/>
        <w:gridCol w:w="120"/>
        <w:gridCol w:w="1461"/>
      </w:tblGrid>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b/>
              </w:rPr>
            </w:pPr>
            <w:r>
              <w:rPr>
                <w:rFonts w:ascii="Arial Narrow" w:hAnsi="Arial Narrow"/>
                <w:b/>
              </w:rPr>
              <w:t>PROPOSAL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Arial Narrow" w:hAnsi="Arial Narrow"/>
                <w:b/>
              </w:rPr>
            </w:pPr>
            <w:r>
              <w:rPr>
                <w:rFonts w:ascii="Arial Narrow" w:hAnsi="Arial Narrow"/>
                <w:b/>
              </w:rPr>
              <w:t>YOUR VOTE</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rPr>
            </w:pPr>
            <w:r>
              <w:rPr>
                <w:rFonts w:ascii="Arial Narrow" w:hAnsi="Arial Narrow"/>
                <w:b/>
              </w:rPr>
              <w:t>BOARD OF</w:t>
              <w:br/>
              <w:t>DIRECTORS</w:t>
              <w:br/>
              <w:t>RECOMMENDS</w:t>
            </w:r>
          </w:p>
        </w:tc>
      </w:tr>
      <w:tr>
        <w:trPr/>
        <w:tc>
          <w:tcPr>
            <w:tcW w:w="1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pPr>
            <w:r>
              <w:rPr/>
              <w:drawing>
                <wp:inline distT="0" distB="0" distL="0" distR="0">
                  <wp:extent cx="216535" cy="24701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6535" cy="247015"/>
                          </a:xfrm>
                          <a:prstGeom prst="rect">
                            <a:avLst/>
                          </a:prstGeom>
                        </pic:spPr>
                      </pic:pic>
                    </a:graphicData>
                  </a:graphic>
                </wp:inline>
              </w:drawing>
            </w:r>
            <w:r>
              <w:rPr/>
              <w:t xml:space="preserve"> </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AGAINST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1.</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Nasdaq Stock Issuance Proposal</w:t>
            </w:r>
            <w:r>
              <w:rPr>
                <w:rFonts w:ascii="Arial Narrow" w:hAnsi="Arial Narrow"/>
                <w:sz w:val="16"/>
              </w:rPr>
              <w:t xml:space="preserve"> - To approve (i) the issuance of shares of AVROBIO common stock to Tectonic stockholders pursuant to the Merger Agreement, a copy of which is attached as Annex A to the accompanying proxy statement/prospectus, and (ii) the change of control of AVROBIO resulting from the merger, pursuant to Nasdaq Listing Rules 5635(a) and 5635(b).</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 xml:space="preserve">AGAINST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2.</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Reverse Stock Split Proposal</w:t>
            </w:r>
            <w:r>
              <w:rPr>
                <w:rFonts w:ascii="Arial Narrow" w:hAnsi="Arial Narrow"/>
                <w:sz w:val="16"/>
              </w:rPr>
              <w:t xml:space="preserve"> - To approve an amendment to AVROBIO’s charter to effect a reverse stock split of AVROBIO’s issued and outstanding common stock at a ratio in the range between 1:3 to 1:30, inclusive, with the final ratio and effectiveness of such amendment and the abandonment of such amendment to be mutually agreed by AVROBIO’s Board of Directors and Tectonic’s Board of Directors prior to the effective time or, if the Nasdaq Stock Issuance Proposal is not approved by AVROBIO stockholders, determined solely by AVROBIO’s Board of Directors, in the form attached as Annex G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0"/>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0"/>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 xml:space="preserve">AGAINST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3.</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Officer Exculpation Proposal</w:t>
            </w:r>
            <w:r>
              <w:rPr>
                <w:rFonts w:ascii="Arial Narrow" w:hAnsi="Arial Narrow"/>
                <w:sz w:val="16"/>
              </w:rPr>
              <w:t xml:space="preserve"> - To approve an amendment to AVROBIO’s charter to provide for the exculpation of officers, in the form attached as Annex H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0"/>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0"/>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0"/>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 xml:space="preserve">AGAINST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4.</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Incentive Plan Proposal</w:t>
            </w:r>
            <w:r>
              <w:rPr>
                <w:rFonts w:ascii="Arial Narrow" w:hAnsi="Arial Narrow"/>
                <w:sz w:val="16"/>
              </w:rPr>
              <w:t xml:space="preserve"> - To approve the Tectonic Therapeutic, Inc. 2024 Equity Incentive Plan, in the form attached as Annex I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0"/>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0"/>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0"/>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 xml:space="preserve">AGAINST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5.</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ESPP Proposal</w:t>
            </w:r>
            <w:r>
              <w:rPr>
                <w:rFonts w:ascii="Arial Narrow" w:hAnsi="Arial Narrow"/>
                <w:sz w:val="16"/>
              </w:rPr>
              <w:t xml:space="preserve"> - To approve the Tectonic Therapeutic, Inc. 2024 Employee Stock Purchase Plan, in the form attached as Annex J to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 xml:space="preserve">AGAINST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6.</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Executive Compensation Arrangements Proposal</w:t>
            </w:r>
            <w:r>
              <w:rPr>
                <w:rFonts w:ascii="Arial Narrow" w:hAnsi="Arial Narrow"/>
                <w:sz w:val="16"/>
              </w:rPr>
              <w:t xml:space="preserve"> - To approve, on a non-binding advisory vote basis, compensation that will or may become payable by AVROBIO to its named executive officers in connection with the merger, each as described in the accompanying proxy statement/prospectus.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r>
        <w:trPr/>
        <w:tc>
          <w:tcPr>
            <w:tcW w:w="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Arial Narrow" w:hAnsi="Arial Narrow"/>
                <w:b/>
              </w:rPr>
            </w:pPr>
            <w:r>
              <w:rPr>
                <w:rFonts w:ascii="Arial Narrow" w:hAnsi="Arial Narrow"/>
                <w:b/>
              </w:rPr>
              <w:t>FOR</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rFonts w:ascii="Arial Narrow" w:hAnsi="Arial Narrow"/>
                <w:b/>
              </w:rPr>
            </w:pPr>
            <w:r>
              <w:rPr>
                <w:rFonts w:ascii="Arial Narrow" w:hAnsi="Arial Narrow"/>
                <w:b/>
              </w:rPr>
              <w:t xml:space="preserve">AGAINST </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Arial Narrow" w:hAnsi="Arial Narrow"/>
                <w:b/>
              </w:rPr>
            </w:pPr>
            <w:r>
              <w:rPr>
                <w:rFonts w:ascii="Arial Narrow" w:hAnsi="Arial Narrow"/>
                <w:b/>
              </w:rPr>
              <w:t>ABSTAIN</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left"/>
              <w:rPr>
                <w:sz w:val="4"/>
                <w:szCs w:val="4"/>
              </w:rPr>
            </w:pPr>
            <w:r>
              <w:rPr>
                <w:sz w:val="4"/>
                <w:szCs w:val="4"/>
              </w:rPr>
            </w:r>
          </w:p>
        </w:tc>
      </w:tr>
      <w:tr>
        <w:trPr/>
        <w:tc>
          <w:tcPr>
            <w:tcW w:w="114" w:type="dxa"/>
            <w:tcBorders/>
            <w:vAlign w:val="center"/>
          </w:tcPr>
          <w:p>
            <w:pPr>
              <w:pStyle w:val="TableContents"/>
              <w:bidi w:val="0"/>
              <w:spacing w:before="0" w:after="283"/>
              <w:jc w:val="left"/>
              <w:rPr>
                <w:rFonts w:ascii="Arial Narrow" w:hAnsi="Arial Narrow"/>
                <w:sz w:val="16"/>
              </w:rPr>
            </w:pPr>
            <w:r>
              <w:rPr>
                <w:rFonts w:ascii="Arial Narrow" w:hAnsi="Arial Narrow"/>
                <w:sz w:val="16"/>
              </w:rPr>
              <w:t>7.</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283"/>
              <w:jc w:val="left"/>
              <w:rPr>
                <w:rFonts w:ascii="Arial Narrow" w:hAnsi="Arial Narrow"/>
                <w:sz w:val="16"/>
              </w:rPr>
            </w:pPr>
            <w:r>
              <w:rPr>
                <w:rFonts w:ascii="Arial Narrow" w:hAnsi="Arial Narrow"/>
                <w:b/>
                <w:sz w:val="16"/>
              </w:rPr>
              <w:t>The Adjournment Proposal</w:t>
            </w:r>
            <w:r>
              <w:rPr>
                <w:rFonts w:ascii="Arial Narrow" w:hAnsi="Arial Narrow"/>
                <w:sz w:val="16"/>
              </w:rPr>
              <w:t xml:space="preserve"> - To approve an adjournment of the AVROBIO special meeting, if necessary, to solicit additional proxies if there are not sufficient votes in favor of the Nasdaq Stock Issuance Proposal and/or the Reverse Stock Split Proposal.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461" w:type="dxa"/>
            <w:tcBorders/>
            <w:vAlign w:val="center"/>
          </w:tcPr>
          <w:p>
            <w:pPr>
              <w:pStyle w:val="TableContents"/>
              <w:bidi w:val="0"/>
              <w:spacing w:before="0" w:after="283"/>
              <w:jc w:val="center"/>
              <w:rPr>
                <w:rFonts w:ascii="Arial Narrow" w:hAnsi="Arial Narrow"/>
                <w:b/>
                <w:sz w:val="16"/>
              </w:rPr>
            </w:pPr>
            <w:r>
              <w:rPr>
                <w:rFonts w:ascii="Arial Narrow" w:hAnsi="Arial Narrow"/>
                <w:b/>
                <w:sz w:val="16"/>
              </w:rPr>
              <w:t>FOR</w:t>
            </w:r>
          </w:p>
        </w:tc>
      </w:tr>
    </w:tbl>
    <w:p>
      <w:pPr>
        <w:pStyle w:val="TextBody"/>
        <w:bidi w:val="0"/>
        <w:spacing w:before="240" w:after="0"/>
        <w:jc w:val="center"/>
        <w:rPr>
          <w:rFonts w:ascii="Arial Narrow" w:hAnsi="Arial Narrow"/>
          <w:b/>
          <w:sz w:val="18"/>
        </w:rPr>
      </w:pPr>
      <w:r>
        <w:rPr>
          <w:rFonts w:ascii="Arial Narrow" w:hAnsi="Arial Narrow"/>
          <w:b/>
          <w:sz w:val="18"/>
        </w:rPr>
        <w:t xml:space="preserve">You must register by [    ], 2024 at 5:00 PM Eastern Time to attend the meeting online and/or participate at www.proxydocs.com/AVRO </w:t>
      </w:r>
    </w:p>
    <w:p>
      <w:pPr>
        <w:pStyle w:val="TextBody"/>
        <w:bidi w:val="0"/>
        <w:spacing w:before="240" w:after="0"/>
        <w:jc w:val="left"/>
        <w:rPr>
          <w:rFonts w:ascii="Arial Narrow" w:hAnsi="Arial Narrow"/>
          <w:b/>
          <w:sz w:val="16"/>
        </w:rPr>
      </w:pPr>
      <w:r>
        <w:rPr>
          <w:rFonts w:ascii="Arial Narrow" w:hAnsi="Arial Narrow"/>
          <w:b/>
          <w:sz w:val="16"/>
        </w:rPr>
        <w:t xml:space="preserve">Upon completing your registration, you will receive further instructions via email, including your unique links that will allow you to access the meeting and also permit you to submit questions. Please be sure to follow instructions found on your Proxy Card and/or Voting Authorization Form and subsequent instructions that will be delivered to you via email. </w:t>
      </w:r>
    </w:p>
    <w:p>
      <w:pPr>
        <w:pStyle w:val="TextBody"/>
        <w:bidi w:val="0"/>
        <w:spacing w:before="240" w:after="0"/>
        <w:jc w:val="left"/>
        <w:rPr>
          <w:rFonts w:ascii="Arial Narrow" w:hAnsi="Arial Narrow"/>
          <w:sz w:val="16"/>
        </w:rPr>
      </w:pPr>
      <w:r>
        <w:rPr>
          <w:rFonts w:ascii="Arial Narrow" w:hAnsi="Arial Narrow"/>
          <w:sz w:val="16"/>
        </w:rPr>
        <w:t xml:space="preserve">Authorized Signatures - Must be completed for your instructions to be executed. </w:t>
      </w:r>
    </w:p>
    <w:p>
      <w:pPr>
        <w:pStyle w:val="TextBody"/>
        <w:bidi w:val="0"/>
        <w:spacing w:before="240" w:after="0"/>
        <w:jc w:val="left"/>
        <w:rPr>
          <w:rFonts w:ascii="Arial Narrow" w:hAnsi="Arial Narrow"/>
          <w:sz w:val="16"/>
        </w:rPr>
      </w:pPr>
      <w:r>
        <w:rPr>
          <w:rFonts w:ascii="Arial Narrow" w:hAnsi="Arial Narrow"/>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885"/>
        <w:gridCol w:w="120"/>
        <w:gridCol w:w="905"/>
        <w:gridCol w:w="120"/>
        <w:gridCol w:w="260"/>
        <w:gridCol w:w="120"/>
        <w:gridCol w:w="2120"/>
        <w:gridCol w:w="120"/>
        <w:gridCol w:w="92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885" w:type="dxa"/>
            <w:tcBorders>
              <w:top w:val="single" w:sz="6" w:space="0" w:color="000000"/>
            </w:tcBorders>
            <w:tcMar>
              <w:top w:w="28" w:type="dxa"/>
            </w:tcMar>
            <w:vAlign w:val="center"/>
          </w:tcPr>
          <w:p>
            <w:pPr>
              <w:pStyle w:val="TableContents"/>
              <w:bidi w:val="0"/>
              <w:spacing w:before="0" w:after="283"/>
              <w:jc w:val="left"/>
              <w:rPr>
                <w:rFonts w:ascii="Arial Narrow" w:hAnsi="Arial Narrow"/>
              </w:rPr>
            </w:pPr>
            <w:r>
              <w:rPr>
                <w:rFonts w:ascii="Arial Narrow" w:hAnsi="Arial Narrow"/>
              </w:rPr>
              <w:t>Signature (and Title if applicable)</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905" w:type="dxa"/>
            <w:tcBorders>
              <w:top w:val="single" w:sz="6" w:space="0" w:color="000000"/>
            </w:tcBorders>
            <w:tcMar>
              <w:top w:w="28" w:type="dxa"/>
            </w:tcMar>
            <w:vAlign w:val="center"/>
          </w:tcPr>
          <w:p>
            <w:pPr>
              <w:pStyle w:val="TableContents"/>
              <w:bidi w:val="0"/>
              <w:spacing w:before="0" w:after="283"/>
              <w:jc w:val="right"/>
              <w:rPr>
                <w:rFonts w:ascii="Arial Narrow" w:hAnsi="Arial Narrow"/>
              </w:rPr>
            </w:pPr>
            <w:r>
              <w:rPr>
                <w:rFonts w:ascii="Arial Narrow" w:hAnsi="Arial Narrow"/>
              </w:rPr>
              <w:t>Date  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120" w:type="dxa"/>
            <w:tcBorders>
              <w:top w:val="single" w:sz="6" w:space="0" w:color="000000"/>
            </w:tcBorders>
            <w:tcMar>
              <w:top w:w="28" w:type="dxa"/>
            </w:tcMar>
            <w:vAlign w:val="center"/>
          </w:tcPr>
          <w:p>
            <w:pPr>
              <w:pStyle w:val="TableContents"/>
              <w:bidi w:val="0"/>
              <w:spacing w:before="0" w:after="283"/>
              <w:jc w:val="left"/>
              <w:rPr>
                <w:rFonts w:ascii="Arial Narrow" w:hAnsi="Arial Narrow"/>
              </w:rPr>
            </w:pPr>
            <w:r>
              <w:rPr>
                <w:rFonts w:ascii="Arial Narrow" w:hAnsi="Arial Narrow"/>
              </w:rPr>
              <w:t>Signature (if held jointly)</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920" w:type="dxa"/>
            <w:tcBorders>
              <w:top w:val="single" w:sz="6" w:space="0" w:color="000000"/>
            </w:tcBorders>
            <w:tcMar>
              <w:top w:w="28" w:type="dxa"/>
            </w:tcMar>
            <w:vAlign w:val="center"/>
          </w:tcPr>
          <w:p>
            <w:pPr>
              <w:pStyle w:val="TableContents"/>
              <w:bidi w:val="0"/>
              <w:spacing w:before="0" w:after="283"/>
              <w:jc w:val="left"/>
              <w:rPr>
                <w:rFonts w:ascii="Arial Narrow" w:hAnsi="Arial Narrow"/>
              </w:rPr>
            </w:pPr>
            <w:r>
              <w:rPr>
                <w:rFonts w:ascii="Arial Narrow" w:hAnsi="Arial Narrow"/>
              </w:rPr>
              <w:t>Date  </w:t>
            </w:r>
          </w:p>
        </w:tc>
      </w:tr>
    </w:tbl>
    <w:p>
      <w:pPr>
        <w:pStyle w:val="TextBody"/>
        <w:bidi w:val="0"/>
        <w:spacing w:before="0" w:after="0"/>
        <w:jc w:val="left"/>
        <w:rPr/>
      </w:pPr>
      <w:r>
        <w:rPr/>
        <w:t> </w:t>
      </w:r>
    </w:p>
    <w:p>
      <w:pPr>
        <w:pStyle w:val="TextBody"/>
        <w:bidi w:val="0"/>
        <w:spacing w:before="0" w:after="0"/>
        <w:jc w:val="center"/>
        <w:rPr>
          <w:rFonts w:ascii="Arial Narrow" w:hAnsi="Arial Narrow"/>
          <w:sz w:val="20"/>
        </w:rPr>
      </w:pPr>
      <w:r>
        <w:rPr>
          <w:rFonts w:ascii="Arial Narrow" w:hAnsi="Arial Narrow"/>
          <w:sz w:val="20"/>
        </w:rPr>
        <w:t xml:space="preserve">L-2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845"/>
        <w:gridCol w:w="3560"/>
      </w:tblGrid>
      <w:tr>
        <w:trPr/>
        <w:tc>
          <w:tcPr>
            <w:tcW w:w="845" w:type="dxa"/>
            <w:tcBorders/>
            <w:vAlign w:val="center"/>
          </w:tcPr>
          <w:p>
            <w:pPr>
              <w:pStyle w:val="TableContents"/>
              <w:bidi w:val="0"/>
              <w:spacing w:before="0" w:after="283"/>
              <w:jc w:val="left"/>
              <w:rPr>
                <w:b/>
              </w:rPr>
            </w:pPr>
            <w:r>
              <w:rPr>
                <w:b/>
              </w:rPr>
              <w:t>Item 20.</w:t>
            </w:r>
          </w:p>
        </w:tc>
        <w:tc>
          <w:tcPr>
            <w:tcW w:w="35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AVROBIO has adopted provisions in its charter that limit or eliminate the personal liability of AVROBIO’s directors to the fullest extent permitted by the DGCL, as it now exists or may in the future be amended. Consequently, a director will not be personally liable to AVROBIO or its stockholders for monetary damages or breach of fiduciary duty as a director, except for liability for: </w:t>
      </w:r>
    </w:p>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AVROBIO or its stockholders;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AVROBIO’s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indemnify its directors, officers and, in the discretion of the AVROBIO Board, certain employees to the fullest extent permitted by the DGCL, as it now exists or may in the future be amended;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AVROBIO will advance expenses, including attorneys’ fees, to its directors and, in the discretion of the AVROBIO Board, to its officers and certain employees, in connection with legal proceedings relating to their service for or on behalf of AVROBIO,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AVROBIO has entered into indemnification agreements with its directors and executive officers. These agreements provide that AVROBIO will indemnify each of its directors and executive officers to the fullest extent permitted by Delaware law. AVROBIO will advance expenses, including attorneys’ fees (but excluding judgments, fines and settlement amounts), to each indemnified director or executive officer in connection with any proceeding in which indemnification is available and AVROBIO will indemnify its directors and officers for any action or proceeding arising out of that person’s services as a director or officer brought on behalf of AVROBIO or in furtherance of AVROBIO’s rights. Additionally, certain of AVROBIO’s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AVROBIO has agreed in the indemnification agreements that AVROBIO’s obligations to those same directors are primary and any obligation of such affiliates or other third parties to advance expenses or to provide indemnification for the expenses or liabilities incurred by those directors are secondary.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AVROBIO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of the effective time, AVROBIO and the surviving corporation agree to indemnify and hold harmless each person who was, as of January 30 , 2024, the signing date of the Merger Agreement, or had been at any time prior, or who becomes prior to the effective time, a director or officer of AVROBIO or Tectonic, against all claims, losses, liabilities, damages, judgments, fines and reasonable fees, costs and expenses pertaining to claims arising out of the fact that such person was a director or officer of AVROBIO or Tectonic, at or prior to the effective time,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the certificate of incorporation and bylaws of the surviving corporation in the merger with respect to indemnification, advancement of expenses and exculpation of present and former directors and officers of AVROBIO that are set forth in the certificate of incorporation and bylaws of AVROBIO in effect as of May 2, 2023, the date of the Merger Agreement, shall not be amended, modified or repealed for a period of six years from the effective time in a manner that would adversely affect the rights of such individuals who at the effective time were officers or directors of AVROBIO,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AVROBIO shall purchase an insurance policy in effect for six years from the effective time, providing no less favorable coverage as the current directors’ and officers’ liability insurance policies maintained by AVROBIO with respect to any actual or alleged error, misstatement, misleading statement, act, omission, neglect, breach of duty or any m atter claimed against the current and former officers and directors of AVROBIO.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 Exhibit Index </w:t>
      </w:r>
    </w:p>
    <w:p>
      <w:pPr>
        <w:pStyle w:val="TextBody"/>
        <w:bidi w:val="0"/>
        <w:spacing w:before="24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230"/>
        <w:gridCol w:w="6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table in the effective registration statement; and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 xml:space="preserve">Agreement and Plan of Merger and Reorganization, dated as of January 30, 2024, by and among AVROBIO, Inc., Alpine Merger Subsidiary, Inc. and Tectonic (included as </w:t>
            </w:r>
            <w:hyperlink w:anchor="toc770053_201">
              <w:r>
                <w:rPr>
                  <w:rStyle w:val="InternetLink"/>
                  <w:u w:val="single"/>
                </w:rPr>
                <w:t>Annex A</w:t>
              </w:r>
            </w:hyperlink>
            <w:r>
              <w:rPr/>
              <w:t xml:space="preserve"> to the proxy statement/prospectus and incorporated herein by reference).</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6">
              <w:r>
                <w:rPr>
                  <w:rStyle w:val="InternetLink"/>
                </w:rPr>
                <w:t xml:space="preserve">Asset Purchase Agreement by and among Novartis Pharma AG, Novartis Pharmaceuticals Corporation and AVROBIO, Inc., dated May 19, 2023 (filed as Exhibit 2.1 to AVROBIO, Inc.’s Quarterly Report on Form 10-Q filed on August 10, 2023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7">
              <w:r>
                <w:rPr>
                  <w:rStyle w:val="InternetLink"/>
                </w:rPr>
                <w:t xml:space="preserve">Certificate of Incorporation of Tectonic Therapeutic, Inc., as currently in effect (filed as Exhibit 3.1 to AVROBIO, Inc.’s Registration Statement on Form S-4 filed on February 14,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8">
              <w:r>
                <w:rPr>
                  <w:rStyle w:val="InternetLink"/>
                </w:rPr>
                <w:t xml:space="preserve">Bylaws of Tectonic Therapeutic, Inc., as currently in effect (filed as Exhibit 3.2 to AVROBIO, Inc.’s Registration Statement on Form S-4 filed on February 14, 2024 (File No. 333-277048)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9">
              <w:r>
                <w:rPr>
                  <w:rStyle w:val="InternetLink"/>
                </w:rPr>
                <w:t xml:space="preserve">Fourth Amended and Restated Certificate of Incorporation of AVROBIO, Inc. (filed as Exhibit 3.1 to AVROBIO, Inc.’s Current Report on Form 8-K filed on June 25, 2018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0">
              <w:r>
                <w:rPr>
                  <w:rStyle w:val="InternetLink"/>
                </w:rPr>
                <w:t>Certificate of Change of Registered Agent and/or Registered Office of AVROBIO, Inc. (filed as Exhibit 3.2 to AVROBIO, Inc.’s Quarterly Report on Form 10-Q filed on November 5, 2020 (File No. 001-38537)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1">
              <w:r>
                <w:rPr>
                  <w:rStyle w:val="InternetLink"/>
                </w:rPr>
                <w:t xml:space="preserve">Amended and Restated By-laws (filed as Exhibit 3.2 to AVROBIO, Inc.’s Current Report on Form 8-K filed on June 25, 2018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2">
              <w:r>
                <w:rPr>
                  <w:rStyle w:val="InternetLink"/>
                </w:rPr>
                <w:t xml:space="preserve">Form of Specimen Common Stock Certificate of AVROBIO, Inc. (filed as Exhibit 4.1 to AVROBIO, Inc.’s Second Amendment to the Registration Statement on Form S-1 filed on June 11, 2018 (File No. 333-225213)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3">
              <w:r>
                <w:rPr>
                  <w:rStyle w:val="InternetLink"/>
                </w:rPr>
                <w:t>Opinion of Goodwin Procter LLP, counsel of AVROBIO, Inc. (filed as Exhibit 5.1 to AVROBIO, Inc.’s Amendment No. 1 to the Registration Statement on Form S-4 filed on March 26, 2024 (File No. 333-277048) and incorporated herein by reference).</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0053dex81.htm">
              <w:r>
                <w:rPr>
                  <w:rStyle w:val="InternetLink"/>
                </w:rPr>
                <w:t xml:space="preserve">Opinion of Cooley LLP, counsel of Tectonic Therapeutic, Inc.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8.2*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770053dex82.htm">
              <w:r>
                <w:rPr>
                  <w:rStyle w:val="InternetLink"/>
                </w:rPr>
                <w:t>Opinion of Goodwin Procter LLP, counsel of AVROBIO, Inc.</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4">
              <w:r>
                <w:rPr>
                  <w:rStyle w:val="InternetLink"/>
                </w:rPr>
                <w:t xml:space="preserve">AVROBIO, Inc. 2015 Amended and Restated Stock Option and Grant Plan, as amended, and forms of award agreements thereunder (filed as Exhibit 10.1 to AVROBIO, Inc.’s Registration Statement on Form S-1 filed on May 25, 2018 (File No. 333-225213)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5">
              <w:r>
                <w:rPr>
                  <w:rStyle w:val="InternetLink"/>
                </w:rPr>
                <w:t xml:space="preserve">AVROBIO, Inc. 2018 Stock Option and Incentive Plan and forms of award agreements thereunder (filed as Exhibit 10.2 to AVROBIO, Inc.’s Second Amendment to the Registration Statement on Form S-1 filed on June 11, 2018 (File No. 333-225213)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6">
              <w:r>
                <w:rPr>
                  <w:rStyle w:val="InternetLink"/>
                </w:rPr>
                <w:t xml:space="preserve">First Amendment to the AVROBIO, Inc. 2018 Stock Option and Incentive Plan (filed as Exhibit 10.1 to Current Report on Form 8-K filed on June 9, 2020 (File No. 001-38537) and incorporated herein by reference).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7">
              <w:r>
                <w:rPr>
                  <w:rStyle w:val="InternetLink"/>
                </w:rPr>
                <w:t xml:space="preserve">Second Amendment to the AVROBIO, Inc. 2018 Stock Option and Incentive Plan (filed as Exhibit 10.1 to AVROBIO, Inc.’s Current Report on Form 8-K filed on June 10, 2022 (File No. 001-38537) and incorporated herein by reference). </w:t>
              </w:r>
            </w:hyperlink>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01"/>
        <w:gridCol w:w="120"/>
        <w:gridCol w:w="9184"/>
      </w:tblGrid>
      <w:tr>
        <w:trPr/>
        <w:tc>
          <w:tcPr>
            <w:tcW w:w="9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8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38">
              <w:r>
                <w:rPr>
                  <w:rStyle w:val="InternetLink"/>
                </w:rPr>
                <w:t xml:space="preserve">AVROBIO, Inc. Senior Executive Cash Incentive Bonus Plan (filed as Exhibit 10.3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39">
              <w:r>
                <w:rPr>
                  <w:rStyle w:val="InternetLink"/>
                </w:rPr>
                <w:t xml:space="preserve">AVROBIO, Inc. Form of Indemnification Agreement (filed as Exhibit 10.4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0">
              <w:r>
                <w:rPr>
                  <w:rStyle w:val="InternetLink"/>
                </w:rPr>
                <w:t xml:space="preserve">Exclusive License Agreement, by and between AVROBIO, Inc. and University Health Network, dated November 4, 2016, as amended (filed as Exhibit 10.5 to AVROBIO, Inc.’s First Amendment to the Registration Statement on Form S-1 filed on June 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1">
              <w:r>
                <w:rPr>
                  <w:rStyle w:val="InternetLink"/>
                </w:rPr>
                <w:t xml:space="preserve">License Agreement, by and between AVROBIO, Inc. and BioMarin Pharmaceutical Inc., dated August 31, 2017 (filed as Exhibit 10.6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2">
              <w:r>
                <w:rPr>
                  <w:rStyle w:val="InternetLink"/>
                </w:rPr>
                <w:t>Amendment No. 1 to License Agreement, by and between AVROBIO, Inc. and BioMarin Pharmaceutical Inc., dated February 21, 2018 (filed as Exhibit 10.7 to AVROBIO, Inc.’s Annual Report on Form 10-K filed on March 16, 2020 (File No. 001-38537) and incorporated herein by reference).</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3">
              <w:r>
                <w:rPr>
                  <w:rStyle w:val="InternetLink"/>
                </w:rPr>
                <w:t>Amendment No. 2 to License Agreement, by and between AVROBIO, Inc. and BioMarin Pharmaceutical Inc., dated January 7, 2020 (filed as Exhibit 10.8 to AVROBIO, Inc.’s Annual Report on Form 10-K filed on March 16, 2020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4">
              <w:r>
                <w:rPr>
                  <w:rStyle w:val="InternetLink"/>
                </w:rPr>
                <w:t xml:space="preserve">Exclusive License Agreement, by and among AVROBIO, Inc., Stefan Karlsson and Maria Dahl, dated January 30, 2017 (filed as Exhibit 10.7 to AVROBIO, Inc.’s Registration Statement on Form S-1 filed on May 25,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5">
              <w:r>
                <w:rPr>
                  <w:rStyle w:val="InternetLink"/>
                </w:rPr>
                <w:t xml:space="preserve">Amended and Restated Employment Agreement, by and between AVROBIO, Inc. and Geoff MacKay, effective as of June 25, 2018 (filed as Exhibit 10.9 to AVROBIO, Inc.’s Second Amendment to the Registration Statement on Form S-1 filed on June 11, 2018 (File No. 333-225213)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6">
              <w:r>
                <w:rPr>
                  <w:rStyle w:val="InternetLink"/>
                </w:rPr>
                <w:t xml:space="preserve">Amendment to Employment Agreement, by and between AVROBIO, Inc. and Geoff MacKay, dated April 5, 2021 (filed as Exhibit 10.1 to AVROBIO, Inc.’s Quarterly Report on Form 10-Q filed on May 13, 2021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7">
              <w:r>
                <w:rPr>
                  <w:rStyle w:val="InternetLink"/>
                </w:rPr>
                <w:t xml:space="preserve">Employment Agreement, by and between AVROBIO, Inc. and Erik Ostrowski, dated December 17, 2018 (filed as Exhibit 10.1 to AVROBIO, Inc.’s Current Report on Form 8-K filed on December 21, 2018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8">
              <w:r>
                <w:rPr>
                  <w:rStyle w:val="InternetLink"/>
                </w:rPr>
                <w:t xml:space="preserve">Amendment to Employment Agreement, by and between AVROBIO, Inc. and Erik Ostrowski, dated April 5, 2021 (filed as Exhibit 10.2 to AVROBIO, Inc.’s Quarterly Report on Form 10-Q filed on May 13, 2021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49">
              <w:r>
                <w:rPr>
                  <w:rStyle w:val="InternetLink"/>
                </w:rPr>
                <w:t xml:space="preserve">Employment Agreement, by and between AVROBIO, Inc. and Steven Avruch, dated December 17, 2018 (filed as Exhibit 10.13 to AVROBIO, Inc.’s Annual Report on Form 10-K filed on March 25, 2019 (File No. 001-38537) and incorporated herein by reference). </w:t>
              </w:r>
            </w:hyperlink>
          </w:p>
        </w:tc>
      </w:tr>
      <w:tr>
        <w:trPr/>
        <w:tc>
          <w:tcPr>
            <w:tcW w:w="901" w:type="dxa"/>
            <w:tcBorders/>
            <w:vAlign w:val="center"/>
          </w:tcPr>
          <w:p>
            <w:pPr>
              <w:pStyle w:val="TableContents"/>
              <w:bidi w:val="0"/>
              <w:spacing w:before="0" w:after="283"/>
              <w:jc w:val="left"/>
              <w:rPr>
                <w:sz w:val="4"/>
                <w:szCs w:val="4"/>
              </w:rPr>
            </w:pPr>
            <w:r>
              <w:rPr>
                <w:sz w:val="4"/>
                <w:szCs w:val="4"/>
              </w:rPr>
            </w:r>
          </w:p>
        </w:tc>
        <w:tc>
          <w:tcPr>
            <w:tcW w:w="9304" w:type="dxa"/>
            <w:gridSpan w:val="2"/>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184" w:type="dxa"/>
            <w:tcBorders/>
            <w:vAlign w:val="center"/>
          </w:tcPr>
          <w:p>
            <w:pPr>
              <w:pStyle w:val="TableContents"/>
              <w:bidi w:val="0"/>
              <w:spacing w:before="0" w:after="283"/>
              <w:jc w:val="left"/>
              <w:rPr/>
            </w:pPr>
            <w:hyperlink r:id="rId50">
              <w:r>
                <w:rPr>
                  <w:rStyle w:val="InternetLink"/>
                </w:rPr>
                <w:t xml:space="preserve">Amendment to Employment Agreement, by and between AVROBIO, Inc. and Steven Avruch, dated April 5, 2021 (filed as Exhibit 10.3 to AVROBIO, Inc.’s Quarterly Report on Form 10-Q filed on May 13, 2021 (File No. 001-38537) and incorporated herein by reference). </w:t>
              </w:r>
            </w:hyperlink>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02"/>
        <w:gridCol w:w="120"/>
        <w:gridCol w:w="9183"/>
      </w:tblGrid>
      <w:tr>
        <w:trPr/>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3" w:type="dxa"/>
            <w:tcBorders/>
            <w:vAlign w:val="center"/>
          </w:tcPr>
          <w:p>
            <w:pPr>
              <w:pStyle w:val="TableContents"/>
              <w:bidi w:val="0"/>
              <w:spacing w:before="0" w:after="283"/>
              <w:jc w:val="left"/>
              <w:rPr>
                <w:sz w:val="4"/>
                <w:szCs w:val="4"/>
              </w:rPr>
            </w:pPr>
            <w:r>
              <w:rPr>
                <w:sz w:val="4"/>
                <w:szCs w:val="4"/>
              </w:rPr>
            </w:r>
          </w:p>
        </w:tc>
      </w:tr>
      <w:tr>
        <w:trPr/>
        <w:tc>
          <w:tcPr>
            <w:tcW w:w="902"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8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1">
              <w:r>
                <w:rPr>
                  <w:rStyle w:val="InternetLink"/>
                </w:rPr>
                <w:t xml:space="preserve">Employment Agreement, by and between AVROBIO, Inc. and Deanna Petersen, dated September 1, 2018 (filed as Exhibit 10.16 to AVROBIO, Inc.’s Annual Report on Form 10-K filed on March 16, 2020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2">
              <w:r>
                <w:rPr>
                  <w:rStyle w:val="InternetLink"/>
                </w:rPr>
                <w:t xml:space="preserve">Amendment to Employment Agreement, by and between AVROBIO, Inc. and Deanna Petersen, dated April 5, 2021 (filed as Exhibit 10.6 to AVROBIO, Inc.’s Quarterly Report on Form 10-Q filed on May 13, 2021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3">
              <w:r>
                <w:rPr>
                  <w:rStyle w:val="InternetLink"/>
                </w:rPr>
                <w:t xml:space="preserve">Employment Agreement, by and between AVROBIO, Inc. and Essra Ridha, dated October 6, 2021 (filed as Exhibit 10.22 to AVROBIO, Inc.’s Annual Report on Form 10-K filed on March 17, 2022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4">
              <w:r>
                <w:rPr>
                  <w:rStyle w:val="InternetLink"/>
                </w:rPr>
                <w:t xml:space="preserve">Employment Agreement, by and between AVROBIO, Inc. and Azadeh Golipour, dated January 26, 2022 (filed as Exhibit 10.21 to AVROBIO, Inc.’s Registration Statement on Form S-4 filed on February 14, 2024 (File No. 333-277048)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5">
              <w:r>
                <w:rPr>
                  <w:rStyle w:val="InternetLink"/>
                </w:rPr>
                <w:t xml:space="preserve">Employee Relocation and Transition Benefits Agreement, by and between AVROBIO, Inc. and Azadeh Golipour, dated January 31, 2022 (filed as Exhibit 10.22 to AVROBIO, Inc.’s Registration Statement on Form S-4 filed on February 14, 2024 (File No. 333-277048)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6">
              <w:r>
                <w:rPr>
                  <w:rStyle w:val="InternetLink"/>
                </w:rPr>
                <w:t xml:space="preserve">AVROBIO, Inc. 2018 Employee Stock Purchase Plan (filed as Exhibit 10.14 to AVROBIO, Inc.’s Second Amendment to the Registration Statement on Form S-1 filed on June 11, 2018 (File No. 333-225213)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7">
              <w:r>
                <w:rPr>
                  <w:rStyle w:val="InternetLink"/>
                </w:rPr>
                <w:t xml:space="preserve">Lease Agreement, dated as of January 12, 2018, by and between AVROBIO, Inc. and ARE-MA Region No. 59, LLC (filed as Exhibit 10.12 to AVROBIO, Inc.’s Registration Statement on Form S-1 filed on May 25, 2018 (File No. 333-225213)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8">
              <w:r>
                <w:rPr>
                  <w:rStyle w:val="InternetLink"/>
                </w:rPr>
                <w:t xml:space="preserve">AVROBIO, Inc. 2019 Inducement Plan and form of award agreement thereunder (filed as Exhibit 99.1 to AVROBIO, Inc.’s Registration Statement on Form S-8 filed on December 20, 2019 (File No. 333-235643)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59">
              <w:r>
                <w:rPr>
                  <w:rStyle w:val="InternetLink"/>
                </w:rPr>
                <w:t xml:space="preserve">AVROBIO, Inc. Form of 2019 Inducement Stock Option Award (filed as Exhibit 99.1 to AVROBIO, Inc.’s Registration Statement on Form S-8 filed on March 25, 2019 (File No. 333-230493)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60">
              <w:r>
                <w:rPr>
                  <w:rStyle w:val="InternetLink"/>
                </w:rPr>
                <w:t xml:space="preserve">AVROBIO, Inc. 2020 Inducement Plan and form of award agreement thereunder (filed as Exhibit 10.25 to AVROBIO, Inc.’s Annual Report on Form 10-K filed on March 18, 2021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hyperlink r:id="rId61">
              <w:r>
                <w:rPr>
                  <w:rStyle w:val="InternetLink"/>
                </w:rPr>
                <w:t xml:space="preserve">Amended and Restated Master Services Agreement, by and between AVROBIO, Inc. and Miltenyi Biotec, Inc., dated November 20, 2021 (filed as Exhibit 10.3 to AVROBIO, Inc.’s Quarterly Report on Form 10-Q filed on August 9, 2022 (File No. 001-38537) and incorporated herein by reference). </w:t>
              </w:r>
            </w:hyperlink>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AVROBIO Support Agreement (included as </w:t>
            </w:r>
            <w:hyperlink w:anchor="toc770053_203">
              <w:r>
                <w:rPr>
                  <w:rStyle w:val="InternetLink"/>
                  <w:u w:val="single"/>
                </w:rPr>
                <w:t>Annex C</w:t>
              </w:r>
            </w:hyperlink>
            <w:r>
              <w:rPr/>
              <w:t xml:space="preserve"> to this proxy statement/prospectus and incorporated herein by reference).</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Tectonic Support Agreement (included as </w:t>
            </w:r>
            <w:hyperlink w:anchor="toc770053_204">
              <w:r>
                <w:rPr>
                  <w:rStyle w:val="InternetLink"/>
                  <w:u w:val="single"/>
                </w:rPr>
                <w:t>Annex D</w:t>
              </w:r>
            </w:hyperlink>
            <w:r>
              <w:rPr/>
              <w:t xml:space="preserve"> to this proxy statement/prospectus and incorporated herein by reference).</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Lock-Up Agreement (included as </w:t>
            </w:r>
            <w:hyperlink w:anchor="toc770053_205">
              <w:r>
                <w:rPr>
                  <w:rStyle w:val="InternetLink"/>
                  <w:u w:val="single"/>
                </w:rPr>
                <w:t>Annex E</w:t>
              </w:r>
            </w:hyperlink>
            <w:r>
              <w:rPr/>
              <w:t xml:space="preserve"> to this proxy statement/prospectus and incorporated herein by reference).</w:t>
            </w:r>
          </w:p>
        </w:tc>
      </w:tr>
      <w:tr>
        <w:trPr/>
        <w:tc>
          <w:tcPr>
            <w:tcW w:w="902" w:type="dxa"/>
            <w:tcBorders/>
            <w:vAlign w:val="center"/>
          </w:tcPr>
          <w:p>
            <w:pPr>
              <w:pStyle w:val="TableContents"/>
              <w:bidi w:val="0"/>
              <w:spacing w:before="0" w:after="283"/>
              <w:jc w:val="left"/>
              <w:rPr>
                <w:sz w:val="4"/>
                <w:szCs w:val="4"/>
              </w:rPr>
            </w:pPr>
            <w:r>
              <w:rPr>
                <w:sz w:val="4"/>
                <w:szCs w:val="4"/>
              </w:rPr>
            </w:r>
          </w:p>
        </w:tc>
        <w:tc>
          <w:tcPr>
            <w:tcW w:w="9303" w:type="dxa"/>
            <w:gridSpan w:val="2"/>
            <w:tcBorders/>
            <w:vAlign w:val="center"/>
          </w:tcPr>
          <w:p>
            <w:pPr>
              <w:pStyle w:val="TableContents"/>
              <w:bidi w:val="0"/>
              <w:spacing w:before="0" w:after="283"/>
              <w:jc w:val="left"/>
              <w:rPr>
                <w:sz w:val="4"/>
                <w:szCs w:val="4"/>
              </w:rPr>
            </w:pPr>
            <w:r>
              <w:rPr>
                <w:sz w:val="4"/>
                <w:szCs w:val="4"/>
              </w:rPr>
            </w:r>
          </w:p>
        </w:tc>
      </w:tr>
      <w:tr>
        <w:trPr/>
        <w:tc>
          <w:tcPr>
            <w:tcW w:w="902"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183" w:type="dxa"/>
            <w:tcBorders/>
            <w:vAlign w:val="center"/>
          </w:tcPr>
          <w:p>
            <w:pPr>
              <w:pStyle w:val="TableContents"/>
              <w:bidi w:val="0"/>
              <w:spacing w:before="0" w:after="283"/>
              <w:jc w:val="left"/>
              <w:rPr/>
            </w:pPr>
            <w:r>
              <w:rPr/>
              <w:t xml:space="preserve">Form of Contingent Value Rights Agreement (included as </w:t>
            </w:r>
            <w:hyperlink w:anchor="toc770053_206">
              <w:r>
                <w:rPr>
                  <w:rStyle w:val="InternetLink"/>
                  <w:u w:val="single"/>
                </w:rPr>
                <w:t>Annex F</w:t>
              </w:r>
            </w:hyperlink>
            <w:r>
              <w:rPr/>
              <w:t xml:space="preserve"> to this proxy statement/prospectus and incorporated herein by reference).</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00"/>
        <w:gridCol w:w="60"/>
        <w:gridCol w:w="9245"/>
      </w:tblGrid>
      <w:tr>
        <w:trPr/>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45" w:type="dxa"/>
            <w:tcBorders/>
            <w:vAlign w:val="center"/>
          </w:tcPr>
          <w:p>
            <w:pPr>
              <w:pStyle w:val="TableContents"/>
              <w:bidi w:val="0"/>
              <w:spacing w:before="0" w:after="283"/>
              <w:jc w:val="left"/>
              <w:rPr>
                <w:sz w:val="4"/>
                <w:szCs w:val="4"/>
              </w:rPr>
            </w:pPr>
            <w:r>
              <w:rPr>
                <w:sz w:val="4"/>
                <w:szCs w:val="4"/>
              </w:rPr>
            </w:r>
          </w:p>
        </w:tc>
      </w:tr>
      <w:tr>
        <w:trPr/>
        <w:tc>
          <w:tcPr>
            <w:tcW w:w="90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60" w:type="dxa"/>
            <w:tcBorders/>
            <w:vAlign w:val="center"/>
          </w:tcPr>
          <w:p>
            <w:pPr>
              <w:pStyle w:val="TableContents"/>
              <w:bidi w:val="0"/>
              <w:spacing w:before="0" w:after="283"/>
              <w:jc w:val="left"/>
              <w:rPr/>
            </w:pPr>
            <w:r>
              <w:rPr/>
              <w:t> </w:t>
            </w:r>
          </w:p>
        </w:tc>
        <w:tc>
          <w:tcPr>
            <w:tcW w:w="924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10.33#</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r>
              <w:rPr/>
              <w:t xml:space="preserve">2024 Equity Incentive Plan (included as </w:t>
            </w:r>
            <w:hyperlink w:anchor="toc770053_209">
              <w:r>
                <w:rPr>
                  <w:rStyle w:val="InternetLink"/>
                  <w:u w:val="single"/>
                </w:rPr>
                <w:t>Annex I</w:t>
              </w:r>
            </w:hyperlink>
            <w:r>
              <w:rPr>
                <w:u w:val="single"/>
              </w:rPr>
              <w:t xml:space="preserve"> </w:t>
            </w:r>
            <w:r>
              <w:rPr/>
              <w:t>to this proxy statement/prospectus and incorporated herein by reference).</w:t>
            </w:r>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10.34#</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r>
              <w:rPr/>
              <w:t xml:space="preserve">2024 Employee Stock Purchase Plan (included as </w:t>
            </w:r>
            <w:hyperlink w:anchor="toc770053_210">
              <w:r>
                <w:rPr>
                  <w:rStyle w:val="InternetLink"/>
                  <w:u w:val="single"/>
                </w:rPr>
                <w:t>Annex J</w:t>
              </w:r>
            </w:hyperlink>
            <w:r>
              <w:rPr/>
              <w:t xml:space="preserve"> to this proxy statement/prospectus and incorporated herein by reference).</w:t>
            </w:r>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10.35††</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2">
              <w:r>
                <w:rPr>
                  <w:rStyle w:val="InternetLink"/>
                </w:rPr>
                <w:t xml:space="preserve">License Agreement, dated February 10, 2022, by and between Tectonic Therapeutic, Inc. and President and Fellows of Harvard College (filed as Exhibit 10.35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10.36††</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3">
              <w:r>
                <w:rPr>
                  <w:rStyle w:val="InternetLink"/>
                </w:rPr>
                <w:t xml:space="preserve">Master Agreement for Early Phase Clinical Services, dated October 23, 2023, by and between Tectonic Therapeutic, Inc. and ARENSIA Exploratory Medicine GmbH (filed as Exhibit 10.36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10.37††</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4">
              <w:r>
                <w:rPr>
                  <w:rStyle w:val="InternetLink"/>
                </w:rPr>
                <w:t xml:space="preserve">Master Contract Services Agreement, dated October 17, 2023, by and between Tectonic Therapeutic, Inc. and QPS Holdings, LLC (filed as Exhibit 10.37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10.38††</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5">
              <w:r>
                <w:rPr>
                  <w:rStyle w:val="InternetLink"/>
                </w:rPr>
                <w:t>Master Contract Services Agreement, dated February 16, 2022, by and between Tectonic Therapeutic, Inc. and ITR LABORATORIES CANADA INC. (filed as Exhibit 10.38 to AVROBIO, Inc.’s Amendment No. 1 to the Registration Statement on Form S-4 filed on March 26,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10.39††</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6">
              <w:r>
                <w:rPr>
                  <w:rStyle w:val="InternetLink"/>
                </w:rPr>
                <w:t xml:space="preserve">Development and Manufacturing Services Agreement, dated May 6, 2022, by and between Tectonic Therapeutic, Inc. and WuXi Biologics (Hong Kong) Limited (filed as Exhibit 10.39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10.40††</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7">
              <w:r>
                <w:rPr>
                  <w:rStyle w:val="InternetLink"/>
                </w:rPr>
                <w:t xml:space="preserve">Master Clinical Contract Services Agreement, dated March 6, 2023, by and between Tectonic Therapeutic, Inc. and Novotech (Australia) Pty Limited CAN (filed as Exhibit 10.40 to AVROBIO, Inc.’s Amendment No. 1 to the Registration Statement on Form S-4 filed on March 26,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10.41#</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8">
              <w:r>
                <w:rPr>
                  <w:rStyle w:val="InternetLink"/>
                </w:rPr>
                <w:t>Consulting Agreement, dated September 25, 2019, by and between Tectonic Therapeutic, Inc. and Andrew Kruse (filed as Exhibit 10.41 to AVROBIO, Inc.’s Registration Statement on Form S-4 filed on February 14,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10.42*#</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w:anchor="d770053dex1042.htm">
              <w:r>
                <w:rPr>
                  <w:rStyle w:val="InternetLink"/>
                </w:rPr>
                <w:t xml:space="preserve">Form of Amended and Restated Executive Employment Agreement, by and between Tectonic Therapeutic, Inc. and Alise Reicin.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10.43*#</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w:anchor="d770053dex1043.htm">
              <w:r>
                <w:rPr>
                  <w:rStyle w:val="InternetLink"/>
                </w:rPr>
                <w:t xml:space="preserve">Offer Letter dated June 16, 2021, by and between Tectonic Therapeutic, Inc. and Marcella Ruddy.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10.44*#</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w:anchor="d770053dex1044.htm">
              <w:r>
                <w:rPr>
                  <w:rStyle w:val="InternetLink"/>
                </w:rPr>
                <w:t xml:space="preserve">Offer Letter dated July 29, 2019, by and between Tectonic Therapeutic, Inc. and Christian Cortis.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10.45#</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69">
              <w:r>
                <w:rPr>
                  <w:rStyle w:val="InternetLink"/>
                </w:rPr>
                <w:t xml:space="preserve">2019 Equity Incentive Plan of Tectonic Therapeutic, Inc. (filed as Exhibit 10.42 to AVROBIO, Inc.’s Registration Statement on Form S-4 filed on February 14, 2024 (File No. 333-277048) and incorporated herein by reference).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10.46#</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70">
              <w:r>
                <w:rPr>
                  <w:rStyle w:val="InternetLink"/>
                </w:rPr>
                <w:t>Amendment to 2019 Equity Incentive Plan of Tectonic Therapeutic, Inc. (filed as Exhibit 10.43 to AVROBIO, Inc.’s Registration Statement on Form S-4 filed on February 14, 2024 (File No. 333-277048) and incorporated herein by reference).</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10.47*#</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w:anchor="d770053dex1047.htm">
              <w:r>
                <w:rPr>
                  <w:rStyle w:val="InternetLink"/>
                </w:rPr>
                <w:t xml:space="preserve">Form of Severance Plan and Form of Participation Agreement of Tectonic Therapeutic, Inc. </w:t>
              </w:r>
            </w:hyperlink>
          </w:p>
        </w:tc>
      </w:tr>
      <w:tr>
        <w:trPr/>
        <w:tc>
          <w:tcPr>
            <w:tcW w:w="900" w:type="dxa"/>
            <w:tcBorders/>
            <w:vAlign w:val="center"/>
          </w:tcPr>
          <w:p>
            <w:pPr>
              <w:pStyle w:val="TableContents"/>
              <w:bidi w:val="0"/>
              <w:spacing w:before="0" w:after="283"/>
              <w:jc w:val="left"/>
              <w:rPr>
                <w:sz w:val="4"/>
                <w:szCs w:val="4"/>
              </w:rPr>
            </w:pPr>
            <w:r>
              <w:rPr>
                <w:sz w:val="4"/>
                <w:szCs w:val="4"/>
              </w:rPr>
            </w:r>
          </w:p>
        </w:tc>
        <w:tc>
          <w:tcPr>
            <w:tcW w:w="9305" w:type="dxa"/>
            <w:gridSpan w:val="2"/>
            <w:tcBorders/>
            <w:vAlign w:val="center"/>
          </w:tcPr>
          <w:p>
            <w:pPr>
              <w:pStyle w:val="TableContents"/>
              <w:bidi w:val="0"/>
              <w:spacing w:before="0" w:after="283"/>
              <w:jc w:val="left"/>
              <w:rPr>
                <w:sz w:val="4"/>
                <w:szCs w:val="4"/>
              </w:rPr>
            </w:pPr>
            <w:r>
              <w:rPr>
                <w:sz w:val="4"/>
                <w:szCs w:val="4"/>
              </w:rPr>
            </w:r>
          </w:p>
        </w:tc>
      </w:tr>
      <w:tr>
        <w:trPr/>
        <w:tc>
          <w:tcPr>
            <w:tcW w:w="900" w:type="dxa"/>
            <w:tcBorders/>
            <w:vAlign w:val="center"/>
          </w:tcPr>
          <w:p>
            <w:pPr>
              <w:pStyle w:val="TableContents"/>
              <w:bidi w:val="0"/>
              <w:spacing w:before="0" w:after="283"/>
              <w:jc w:val="left"/>
              <w:rPr/>
            </w:pPr>
            <w:r>
              <w:rPr/>
              <w:t> </w:t>
            </w:r>
            <w:r>
              <w:rPr/>
              <w:t>21.1</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pPr>
            <w:hyperlink r:id="rId71">
              <w:r>
                <w:rPr>
                  <w:rStyle w:val="InternetLink"/>
                </w:rPr>
                <w:t xml:space="preserve">List of Subsidiaries of Tectonic Therapeutic, Inc. (filed as Exhibit 21.1 to AVROBIO, Inc.’s Amendment No. 1 to the Registration Statement on Form S-4 filed on March 26, 2024 (File No. 333-277048) and incorporated herein by reference). </w:t>
              </w:r>
            </w:hyperlink>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961"/>
        <w:gridCol w:w="120"/>
        <w:gridCol w:w="9124"/>
      </w:tblGrid>
      <w:tr>
        <w:trPr/>
        <w:tc>
          <w:tcPr>
            <w:tcW w:w="9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961"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2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21.2</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r:id="rId72">
              <w:r>
                <w:rPr>
                  <w:rStyle w:val="InternetLink"/>
                </w:rPr>
                <w:t xml:space="preserve">List of Subsidiaries of AVROBIO, Inc. (filed as Exhibit 21.1 to AVROBIO, Inc.’s Annual Report on Form 10-K filed on March 14, 2024 (File No. 001-38537) and incorporated herein by reference). </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231.htm">
              <w:r>
                <w:rPr>
                  <w:rStyle w:val="InternetLink"/>
                </w:rPr>
                <w:t xml:space="preserve">Consent of Deloitte &amp; Touche LLP, independent registered public accounting firm of Tectonic. </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232.htm">
              <w:r>
                <w:rPr>
                  <w:rStyle w:val="InternetLink"/>
                </w:rPr>
                <w:t>Consent of Ernst &amp; Young LLP, independent registered public accounting firm of AVROBIO, Inc.</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r:id="rId73">
              <w:r>
                <w:rPr>
                  <w:rStyle w:val="InternetLink"/>
                </w:rPr>
                <w:t xml:space="preserve">Consent of Goodwin Procter LLP (included in Exhibit 5.1). </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"http://www.sec.gov/Archives/edgar/data/1681087/000119312524076669/d770053ds4a.htm" \l "sig"</w:instrText>
            </w:r>
            <w:r>
              <w:rPr>
                <w:rStyle w:val="InternetLink"/>
              </w:rPr>
              <w:fldChar w:fldCharType="separate"/>
            </w:r>
            <w:r>
              <w:rPr>
                <w:rStyle w:val="InternetLink"/>
              </w:rPr>
              <w:t xml:space="preserve">Power of Attorney (included on signature page of the Registration Statement on Form S-4 filed on March 26, 2024 (File No. 333-277048)). </w:t>
            </w:r>
            <w:r>
              <w:rPr>
                <w:rStyle w:val="InternetLink"/>
              </w:rPr>
              <w:fldChar w:fldCharType="end"/>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xml:space="preserve">Proposed form of Certificate of Amendment of Certificate of Incorporation of AVROBIO, Inc.—Reverse Stock Split (included as </w:t>
            </w:r>
            <w:hyperlink w:anchor="toc770053_207">
              <w:r>
                <w:rPr>
                  <w:rStyle w:val="InternetLink"/>
                  <w:u w:val="single"/>
                </w:rPr>
                <w:t>Annex G</w:t>
              </w:r>
            </w:hyperlink>
            <w:r>
              <w:rPr/>
              <w:t xml:space="preserve"> to the proxy statement/prospectus and incorporated herein by reference).</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 xml:space="preserve">Proposed form of Certificate of Amendment of Certificate of Incorporation of AVROBIO, Inc.—Officer Exculpation (included as </w:t>
            </w:r>
            <w:hyperlink w:anchor="toc770053_208">
              <w:r>
                <w:rPr>
                  <w:rStyle w:val="InternetLink"/>
                  <w:u w:val="single"/>
                </w:rPr>
                <w:t>Annex H</w:t>
              </w:r>
            </w:hyperlink>
            <w:r>
              <w:rPr/>
              <w:t xml:space="preserve"> to the proxy statement/prospectus and incorporated herein by reference).</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993.htm">
              <w:r>
                <w:rPr>
                  <w:rStyle w:val="InternetLink"/>
                </w:rPr>
                <w:t xml:space="preserve">Consent of Terrance McGuire to serve as a director of AVROBIO, Inc., to be renamed “Tectonic Therapeutic, Inc.” </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994.htm">
              <w:r>
                <w:rPr>
                  <w:rStyle w:val="InternetLink"/>
                </w:rPr>
                <w:t>Consent of Timothy A. Springer to serve as a director of AVROBIO, Inc., to be renamed “Tectonic Therapeutic, Inc.”</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99.5*</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995.htm">
              <w:r>
                <w:rPr>
                  <w:rStyle w:val="InternetLink"/>
                </w:rPr>
                <w:t>Consent of Praveen Tipirneni to serve as a director of AVROBIO, Inc., to be renamed “Tectonic Therapeutic, Inc.”</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99.6*</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996.htm">
              <w:r>
                <w:rPr>
                  <w:rStyle w:val="InternetLink"/>
                </w:rPr>
                <w:t xml:space="preserve">Consent of Stefan Vitorovic to serve as a director of AVROBIO, Inc., to be renamed “Tectonic Therapeutic, Inc.” </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99.7*</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997.htm">
              <w:r>
                <w:rPr>
                  <w:rStyle w:val="InternetLink"/>
                </w:rPr>
                <w:t>Consent of Alise Reicin to serve as a director of AVROBIO, Inc., to be renamed “Tectonic Therapeutic, Inc.”</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r>
              <w:rPr/>
              <w:t>99.10*</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w:anchor="d770053dex9910.htm">
              <w:r>
                <w:rPr>
                  <w:rStyle w:val="InternetLink"/>
                </w:rPr>
                <w:t>Consent of Houlihan Lokey Capital, Inc.</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XBRL Instance Document.</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XBRL Taxonomy Extension Schema.</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XBRL Taxonomy Extension Calculation Linkbase.</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XBRL Taxonomy Extension Definition Linkbase.</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XBRL Taxonomy Extension Label Linkbase.</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r>
              <w:rPr/>
              <w:t>XBRL Taxonomy Extension Presentation Linkbase.</w:t>
            </w:r>
          </w:p>
        </w:tc>
      </w:tr>
      <w:tr>
        <w:trPr/>
        <w:tc>
          <w:tcPr>
            <w:tcW w:w="961" w:type="dxa"/>
            <w:tcBorders/>
            <w:vAlign w:val="center"/>
          </w:tcPr>
          <w:p>
            <w:pPr>
              <w:pStyle w:val="TableContents"/>
              <w:bidi w:val="0"/>
              <w:spacing w:before="0" w:after="283"/>
              <w:jc w:val="left"/>
              <w:rPr>
                <w:sz w:val="4"/>
                <w:szCs w:val="4"/>
              </w:rPr>
            </w:pPr>
            <w:r>
              <w:rPr>
                <w:sz w:val="4"/>
                <w:szCs w:val="4"/>
              </w:rPr>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left"/>
              <w:rPr/>
            </w:pPr>
            <w:hyperlink r:id="rId74">
              <w:r>
                <w:rPr>
                  <w:rStyle w:val="InternetLink"/>
                </w:rPr>
                <w:t xml:space="preserve">Filing fee table. </w:t>
              </w:r>
            </w:hyperlink>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2530" w:type="dxa"/>
        <w:jc w:val="left"/>
        <w:tblInd w:w="0" w:type="dxa"/>
        <w:tblLayout w:type="fixed"/>
        <w:tblCellMar>
          <w:top w:w="0" w:type="dxa"/>
          <w:left w:w="0" w:type="dxa"/>
          <w:bottom w:w="0" w:type="dxa"/>
          <w:right w:w="0" w:type="dxa"/>
        </w:tblCellMar>
      </w:tblPr>
      <w:tblGrid>
        <w:gridCol w:w="275"/>
        <w:gridCol w:w="2255"/>
      </w:tblGrid>
      <w:tr>
        <w:trPr/>
        <w:tc>
          <w:tcPr>
            <w:tcW w:w="275"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4600" w:type="dxa"/>
        <w:jc w:val="left"/>
        <w:tblInd w:w="0" w:type="dxa"/>
        <w:tblLayout w:type="fixed"/>
        <w:tblCellMar>
          <w:top w:w="0" w:type="dxa"/>
          <w:left w:w="0" w:type="dxa"/>
          <w:bottom w:w="0" w:type="dxa"/>
          <w:right w:w="0" w:type="dxa"/>
        </w:tblCellMar>
      </w:tblPr>
      <w:tblGrid>
        <w:gridCol w:w="155"/>
        <w:gridCol w:w="4445"/>
      </w:tblGrid>
      <w:tr>
        <w:trPr/>
        <w:tc>
          <w:tcPr>
            <w:tcW w:w="15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has been granted for portions of this Exhibit pursuant to Rule 406 promulgated under the Securities Act.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have been omitted pursuant to Item 601(a)(2) of Regulation S-K. AVROBIO, Inc. hereby agrees to furnish supplementally a copy of any omitted annex, schedule or exhibit to the SEC upon request. </w:t>
            </w:r>
          </w:p>
        </w:tc>
      </w:tr>
    </w:tbl>
    <w:tbl>
      <w:tblPr>
        <w:tblW w:w="8950" w:type="dxa"/>
        <w:jc w:val="left"/>
        <w:tblInd w:w="0" w:type="dxa"/>
        <w:tblLayout w:type="fixed"/>
        <w:tblCellMar>
          <w:top w:w="0" w:type="dxa"/>
          <w:left w:w="0" w:type="dxa"/>
          <w:bottom w:w="0" w:type="dxa"/>
          <w:right w:w="0" w:type="dxa"/>
        </w:tblCellMar>
      </w:tblPr>
      <w:tblGrid>
        <w:gridCol w:w="275"/>
        <w:gridCol w:w="8675"/>
      </w:tblGrid>
      <w:tr>
        <w:trPr/>
        <w:tc>
          <w:tcPr>
            <w:tcW w:w="275"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in accordance with the rules of the SEC.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0" w:name="sig"/>
      <w:bookmarkEnd w:id="340"/>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Cambridge, State of Massachusetts, on April 15, 2024.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380"/>
        <w:gridCol w:w="60"/>
        <w:gridCol w:w="348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925" w:type="dxa"/>
            <w:gridSpan w:val="3"/>
            <w:tcBorders/>
            <w:vAlign w:val="center"/>
          </w:tcPr>
          <w:p>
            <w:pPr>
              <w:pStyle w:val="TableContents"/>
              <w:bidi w:val="0"/>
              <w:spacing w:before="0" w:after="283"/>
              <w:jc w:val="left"/>
              <w:rPr/>
            </w:pPr>
            <w:r>
              <w:rPr/>
              <w:t>AVROBIO,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485" w:type="dxa"/>
            <w:tcBorders>
              <w:bottom w:val="single" w:sz="6" w:space="0" w:color="000000"/>
            </w:tcBorders>
            <w:tcMar>
              <w:bottom w:w="28" w:type="dxa"/>
            </w:tcMar>
            <w:vAlign w:val="center"/>
          </w:tcPr>
          <w:p>
            <w:pPr>
              <w:pStyle w:val="TableContents"/>
              <w:bidi w:val="0"/>
              <w:spacing w:before="0" w:after="283"/>
              <w:jc w:val="left"/>
              <w:rPr>
                <w:u w:val="single"/>
              </w:rPr>
            </w:pPr>
            <w:r>
              <w:rPr>
                <w:u w:val="single"/>
              </w:rPr>
              <w:t xml:space="preserve">/s/ Erik Ostrowski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xml:space="preserve">Erik Ostrowski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Interim Chief Executive Officer,</w:t>
            </w:r>
          </w:p>
          <w:p>
            <w:pPr>
              <w:pStyle w:val="TableContents"/>
              <w:bidi w:val="0"/>
              <w:spacing w:before="0" w:after="20"/>
              <w:jc w:val="left"/>
              <w:rPr>
                <w:rFonts w:ascii="Times New Roman" w:hAnsi="Times New Roman"/>
                <w:i/>
                <w:sz w:val="20"/>
              </w:rPr>
            </w:pPr>
            <w:r>
              <w:rPr>
                <w:rFonts w:ascii="Times New Roman" w:hAnsi="Times New Roman"/>
                <w:i/>
                <w:sz w:val="20"/>
              </w:rPr>
              <w:t>Chief Financial Officer and Treasurer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(Principal Executive, Financial, and</w:t>
            </w:r>
          </w:p>
          <w:p>
            <w:pPr>
              <w:pStyle w:val="TableContents"/>
              <w:bidi w:val="0"/>
              <w:spacing w:before="0" w:after="20"/>
              <w:jc w:val="left"/>
              <w:rPr>
                <w:rFonts w:ascii="Times New Roman" w:hAnsi="Times New Roman"/>
                <w:i/>
                <w:sz w:val="20"/>
              </w:rPr>
            </w:pPr>
            <w:r>
              <w:rPr>
                <w:rFonts w:ascii="Times New Roman" w:hAnsi="Times New Roman"/>
                <w:i/>
                <w:sz w:val="20"/>
              </w:rPr>
              <w:t>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4"/>
        <w:gridCol w:w="120"/>
        <w:gridCol w:w="6202"/>
        <w:gridCol w:w="60"/>
        <w:gridCol w:w="1279"/>
      </w:tblGrid>
      <w:tr>
        <w:trPr/>
        <w:tc>
          <w:tcPr>
            <w:tcW w:w="25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bidi w:val="0"/>
              <w:spacing w:before="0" w:after="283"/>
              <w:jc w:val="center"/>
              <w:rPr/>
            </w:pPr>
            <w:r>
              <w:rPr/>
              <w:t>NAME</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pPr>
            <w:r>
              <w:rPr/>
              <w:t>TITLE</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DATE</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b/>
                <w:sz w:val="20"/>
              </w:rPr>
              <w:t xml:space="preserve">/s/ </w:t>
            </w:r>
            <w:r>
              <w:rPr>
                <w:rFonts w:ascii="Times New Roman" w:hAnsi="Times New Roman"/>
                <w:sz w:val="20"/>
              </w:rPr>
              <w:t>Erik Ostrowski</w:t>
            </w:r>
          </w:p>
          <w:p>
            <w:pPr>
              <w:pStyle w:val="TableContents"/>
              <w:bidi w:val="0"/>
              <w:spacing w:before="0" w:after="20"/>
              <w:jc w:val="center"/>
              <w:rPr>
                <w:rFonts w:ascii="Times New Roman" w:hAnsi="Times New Roman"/>
                <w:sz w:val="20"/>
              </w:rPr>
            </w:pPr>
            <w:r>
              <w:rPr>
                <w:rFonts w:ascii="Times New Roman" w:hAnsi="Times New Roman"/>
                <w:sz w:val="20"/>
              </w:rPr>
              <w:t>Erik Ostrowski</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President, Interim Chief Executive Officer, Chief Financial Officer and Treasurer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 Principal Financial Officer, and Principal Accounting Officer)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Bruce Booth, D.Phil.</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Chairman of the Board of Directors</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Ian T. Clark</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Phillip B. Donenberg</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Gail M. Farfel, Ph.D.</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Annalisa Jenkins, M.B.B.S., F.R.C.P</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Christopher Paige, Ph.D.</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r>
        <w:trPr/>
        <w:tc>
          <w:tcPr>
            <w:tcW w:w="2544" w:type="dxa"/>
            <w:tcBorders/>
            <w:vAlign w:val="center"/>
          </w:tcPr>
          <w:p>
            <w:pPr>
              <w:pStyle w:val="TableContents"/>
              <w:bidi w:val="0"/>
              <w:spacing w:before="0" w:after="283"/>
              <w:jc w:val="left"/>
              <w:rPr>
                <w:sz w:val="4"/>
                <w:szCs w:val="4"/>
              </w:rPr>
            </w:pPr>
            <w:r>
              <w:rPr>
                <w:sz w:val="4"/>
                <w:szCs w:val="4"/>
              </w:rPr>
            </w:r>
          </w:p>
        </w:tc>
        <w:tc>
          <w:tcPr>
            <w:tcW w:w="6322" w:type="dxa"/>
            <w:gridSpan w:val="2"/>
            <w:tcBorders/>
            <w:vAlign w:val="center"/>
          </w:tcPr>
          <w:p>
            <w:pPr>
              <w:pStyle w:val="TableContents"/>
              <w:bidi w:val="0"/>
              <w:spacing w:before="0" w:after="283"/>
              <w:jc w:val="left"/>
              <w:rPr>
                <w:sz w:val="4"/>
                <w:szCs w:val="4"/>
              </w:rPr>
            </w:pPr>
            <w:r>
              <w:rPr>
                <w:sz w:val="4"/>
                <w:szCs w:val="4"/>
              </w:rPr>
            </w:r>
          </w:p>
        </w:tc>
        <w:tc>
          <w:tcPr>
            <w:tcW w:w="1339" w:type="dxa"/>
            <w:gridSpan w:val="2"/>
            <w:tcBorders/>
            <w:vAlign w:val="center"/>
          </w:tcPr>
          <w:p>
            <w:pPr>
              <w:pStyle w:val="TableContents"/>
              <w:bidi w:val="0"/>
              <w:spacing w:before="0" w:after="283"/>
              <w:jc w:val="left"/>
              <w:rPr>
                <w:sz w:val="4"/>
                <w:szCs w:val="4"/>
              </w:rPr>
            </w:pPr>
            <w:r>
              <w:rPr>
                <w:sz w:val="4"/>
                <w:szCs w:val="4"/>
              </w:rPr>
            </w:r>
          </w:p>
        </w:tc>
      </w:tr>
      <w:tr>
        <w:trPr/>
        <w:tc>
          <w:tcPr>
            <w:tcW w:w="2544"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Philip J. Vickers, Ph.D.</w:t>
            </w:r>
          </w:p>
        </w:tc>
        <w:tc>
          <w:tcPr>
            <w:tcW w:w="120" w:type="dxa"/>
            <w:tcBorders/>
            <w:vAlign w:val="center"/>
          </w:tcPr>
          <w:p>
            <w:pPr>
              <w:pStyle w:val="TableContents"/>
              <w:bidi w:val="0"/>
              <w:spacing w:before="0" w:after="283"/>
              <w:jc w:val="left"/>
              <w:rPr/>
            </w:pPr>
            <w:r>
              <w:rPr/>
              <w:t>  </w:t>
            </w:r>
          </w:p>
        </w:tc>
        <w:tc>
          <w:tcPr>
            <w:tcW w:w="6202" w:type="dxa"/>
            <w:tcBorders/>
            <w:vAlign w:val="center"/>
          </w:tcPr>
          <w:p>
            <w:pPr>
              <w:pStyle w:val="TableContents"/>
              <w:bidi w:val="0"/>
              <w:spacing w:before="0" w:after="283"/>
              <w:jc w:val="center"/>
              <w:rPr>
                <w:i/>
              </w:rPr>
            </w:pPr>
            <w:r>
              <w:rPr>
                <w:i/>
              </w:rPr>
              <w:t>Director</w:t>
            </w:r>
          </w:p>
        </w:tc>
        <w:tc>
          <w:tcPr>
            <w:tcW w:w="60"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center"/>
              <w:rPr/>
            </w:pPr>
            <w:r>
              <w:rPr/>
              <w:t>April 15, 2024</w:t>
            </w:r>
          </w:p>
        </w:tc>
      </w:tr>
    </w:tbl>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665"/>
        <w:gridCol w:w="60"/>
        <w:gridCol w:w="155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Ostrowski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Erik Ostrowski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341" w:name="d770053dex81.htm"/>
      <w:bookmarkStart w:id="342" w:name="ksd770053dex81"/>
      <w:bookmarkEnd w:id="341"/>
      <w:bookmarkEnd w:id="342"/>
      <w:r>
        <w:rPr>
          <w:rFonts w:ascii="Times New Roman" w:hAnsi="Times New Roman"/>
          <w:b/>
          <w:sz w:val="20"/>
        </w:rPr>
        <w:t xml:space="preserve">Exhibit 8.1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April 15, 2024 </w:t>
      </w:r>
    </w:p>
    <w:p>
      <w:pPr>
        <w:pStyle w:val="TextBody"/>
        <w:bidi w:val="0"/>
        <w:spacing w:before="240" w:after="0"/>
        <w:jc w:val="left"/>
        <w:rPr>
          <w:rFonts w:ascii="Times New Roman" w:hAnsi="Times New Roman"/>
          <w:sz w:val="20"/>
        </w:rPr>
      </w:pPr>
      <w:r>
        <w:rPr>
          <w:rFonts w:ascii="Times New Roman" w:hAnsi="Times New Roman"/>
          <w:sz w:val="20"/>
        </w:rPr>
        <w:t xml:space="preserve">Tectonic Therapeutic, Inc. </w:t>
      </w:r>
    </w:p>
    <w:p>
      <w:pPr>
        <w:pStyle w:val="TextBody"/>
        <w:bidi w:val="0"/>
        <w:spacing w:before="0" w:after="0"/>
        <w:jc w:val="left"/>
        <w:rPr>
          <w:rFonts w:ascii="Times New Roman" w:hAnsi="Times New Roman"/>
          <w:sz w:val="20"/>
        </w:rPr>
      </w:pPr>
      <w:r>
        <w:rPr>
          <w:rFonts w:ascii="Times New Roman" w:hAnsi="Times New Roman"/>
          <w:sz w:val="20"/>
        </w:rPr>
        <w:t xml:space="preserve">490 Arsenal Way, Suite 210 </w:t>
      </w:r>
    </w:p>
    <w:p>
      <w:pPr>
        <w:pStyle w:val="TextBody"/>
        <w:bidi w:val="0"/>
        <w:spacing w:before="0" w:after="0"/>
        <w:jc w:val="left"/>
        <w:rPr>
          <w:rFonts w:ascii="Times New Roman" w:hAnsi="Times New Roman"/>
          <w:sz w:val="20"/>
        </w:rPr>
      </w:pPr>
      <w:r>
        <w:rPr>
          <w:rFonts w:ascii="Times New Roman" w:hAnsi="Times New Roman"/>
          <w:sz w:val="20"/>
        </w:rPr>
        <w:t xml:space="preserve">Watertown, MA 02472 </w:t>
      </w:r>
    </w:p>
    <w:p>
      <w:pPr>
        <w:pStyle w:val="TextBody"/>
        <w:bidi w:val="0"/>
        <w:spacing w:before="0" w:after="0"/>
        <w:jc w:val="left"/>
        <w:rPr>
          <w:rFonts w:ascii="Times New Roman" w:hAnsi="Times New Roman"/>
          <w:sz w:val="20"/>
        </w:rPr>
      </w:pPr>
      <w:r>
        <w:rPr>
          <w:rFonts w:ascii="Times New Roman" w:hAnsi="Times New Roman"/>
          <w:sz w:val="20"/>
        </w:rPr>
        <w:t xml:space="preserve">Attention: Alise Reicin,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Tectonic Therapeutic, Inc., a Delaware corporation (the Company), in connection with the Agreement and Plan of Merger and Reorganization (the Merger Agreement), dated as of January 30, 2024, by and between AVROBIO, Inc., a Delaware corporation (Aspen), Alpine Merger Subsidiary, Inc., a Delaware corporation and wholly-owned subsidiary of Aspen (Merger Sub) and the Company. Pursuant to the Merger Agreement, Merger Sub will merge with and into the Company (the Merger), with the Company surviving the Merger as a wholly-owned subsidiary of Aspen. All section references, unless otherwise indicated, are to the U.S. Internal Revenue Code of 1986, as amended (the Code). This opinion is being delivered in connection with the Registration Statement on Form S-4 of Aspen, and the proxy statement/prospectus contained therein, filed in connection with the Merger (the Registration Statement). Capitalized terms not defined herein have the meanings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this opinion, we have examined and relied upon the Merger Agreement, the Registration Statement, certain customary tax representation letters provided by the Company, on the one hand, and Aspen and Merger Sub, on the other hand (the Tax Representation Letters),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without investigation or verification that the facts and factual statements set forth in the Merger Agreement and the Registration Statement, or otherwise made to us, are true, correct and complete in all material respects; that the Merger will be completed in accordance with the Merger Agreement; that the statements, representations, and agreements contained in the Tax Representation Letters are true, accurate and complete; that there is no change in applicable law between the date hereof and the effective time of the Merger; that any representation in any of the documents referred to herein that is made based on the knowledge, belief or intention (or similar qualification) of any person or party is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We have also assumed that the cash or other property (other than Aspen Common Stock) paid to any holder of Company Capital Stock, Company SAFEs, and/or other securities of the Company (if any) who exercise and perfect appraisal or dissenters rights in respect of such securities will not adversely impact Aspens ability to acquire and retain control (within the meaning of Section 368(c) of the Code) in exchange for solely voting stock of Aspen pursuant to the Merger as required by Section 368(a)(2)(E) of the Code. Any inaccuracy or change in, or breach of, any of the aforementioned statements, representations or assumptions could adversely affect our opinion.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The opinion we express herein is limited solely to matters governed by the federal income tax laws of the United States. No opinion may be implied or inferred beyond that which is stated expressly in this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opinion letter. Our opinion is not binding upon the Internal Revenue Service or the courts, and there is no assurance that the Internal Revenue Service will not assert a contrary position. In addition, no assurances can be given that a change in the law on which our opinion is based, or the interpretation thereof, will not occur or that such change will not affect the opinion expressed herein. We undertake no responsibility to advise of any such developments in the law. </w:t>
      </w:r>
    </w:p>
    <w:p>
      <w:pPr>
        <w:pStyle w:val="TextBody"/>
        <w:bidi w:val="0"/>
        <w:spacing w:before="240" w:after="0"/>
        <w:jc w:val="left"/>
        <w:rPr>
          <w:rFonts w:ascii="Times New Roman" w:hAnsi="Times New Roman"/>
          <w:sz w:val="20"/>
        </w:rPr>
      </w:pPr>
      <w:r>
        <w:rPr>
          <w:rFonts w:ascii="Times New Roman" w:hAnsi="Times New Roman"/>
          <w:sz w:val="20"/>
        </w:rPr>
        <w:t>Based upon and subject to the foregoing, as well as the limitations set forth below, it is our opinion, under currently applicable United States federal income tax law, that the Merger will constitute a reorganization within the meaning of Section 368(a) of the Code, and we hereby confirm that the discussion contained in the Registration Statement under the caption </w:t>
      </w:r>
      <w:r>
        <w:rPr>
          <w:rFonts w:ascii="Times New Roman" w:hAnsi="Times New Roman"/>
          <w:i/>
          <w:sz w:val="20"/>
        </w:rPr>
        <w:t>Material U.S. Federal Income Tax Consequences of the Merger</w:t>
      </w:r>
      <w:r>
        <w:rPr>
          <w:rFonts w:ascii="Times New Roman" w:hAnsi="Times New Roman"/>
          <w:sz w:val="20"/>
        </w:rPr>
        <w:t xml:space="preserve">, insofar as it addresses the material U.S. federal income tax considerations of the Merger for beneficial owners of shares of Tectonic common stock, subject to the limitations, qualifications, and assumptions described therein, constitutes our opinion of the material tax consequences of the Merger. </w:t>
      </w:r>
    </w:p>
    <w:p>
      <w:pPr>
        <w:pStyle w:val="TextBody"/>
        <w:bidi w:val="0"/>
        <w:spacing w:before="240" w:after="0"/>
        <w:jc w:val="left"/>
        <w:rPr>
          <w:rFonts w:ascii="Times New Roman" w:hAnsi="Times New Roman"/>
          <w:sz w:val="20"/>
        </w:rPr>
      </w:pPr>
      <w:r>
        <w:rPr>
          <w:rFonts w:ascii="Times New Roman" w:hAnsi="Times New Roman"/>
          <w:sz w:val="20"/>
        </w:rPr>
        <w:t>This opinion is being furnished in connection with the filing of the Registration Statement, and cannot be relied upon for any other purpose without our prior written consent. We consent to the filing of this opinion as an exhibit to the Registration Statement and to the references to our firm name therein under the captions </w:t>
      </w:r>
      <w:r>
        <w:rPr>
          <w:rFonts w:ascii="Times New Roman" w:hAnsi="Times New Roman"/>
          <w:i/>
          <w:sz w:val="20"/>
        </w:rPr>
        <w:t>Material U.S. Federal Income Tax Consequences of the Merger</w:t>
      </w:r>
      <w:r>
        <w:rPr>
          <w:rFonts w:ascii="Times New Roman" w:hAnsi="Times New Roman"/>
          <w:sz w:val="20"/>
        </w:rPr>
        <w:t> and </w:t>
      </w:r>
      <w:r>
        <w:rPr>
          <w:rFonts w:ascii="Times New Roman" w:hAnsi="Times New Roman"/>
          <w:i/>
          <w:sz w:val="20"/>
        </w:rPr>
        <w:t>Legal Matters</w:t>
      </w:r>
      <w:r>
        <w:rPr>
          <w:rFonts w:ascii="Times New Roman" w:hAnsi="Times New Roman"/>
          <w:sz w:val="20"/>
        </w:rPr>
        <w:t xml:space="preserve">. In giving this consent, we do not admit that we are within the category of persons whose consent is required under Section 7 of the Securities Act of 1933, as amended, or the rules or regulations of the Securities and Exchange Commission promulgated thereunder. Our opinion is being delivered prior to the consummation of the Merger and therefore is prospective and dependent on future events.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inaccurate or incomplete, in which case, our opinion shall be void and of no force or effect, but only to the extent that such untruth, inaccuracy or incompletion affects the accuracy of the opinion provided herein.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Cooley LLP</w:t>
            </w:r>
          </w:p>
        </w:tc>
      </w:tr>
      <w:tr>
        <w:trPr/>
        <w:tc>
          <w:tcPr>
            <w:tcW w:w="4082" w:type="dxa"/>
            <w:tcBorders/>
          </w:tcPr>
          <w:p>
            <w:pPr>
              <w:pStyle w:val="TableContents"/>
              <w:bidi w:val="0"/>
              <w:spacing w:before="0" w:after="283"/>
              <w:jc w:val="left"/>
              <w:rPr/>
            </w:pPr>
            <w:r>
              <w:rPr/>
              <w:t>COOLEY LLP</w:t>
            </w:r>
          </w:p>
        </w:tc>
      </w:tr>
    </w:tbl>
    <w:p>
      <w:pPr>
        <w:pStyle w:val="TextBody"/>
        <w:bidi w:val="0"/>
        <w:spacing w:before="0" w:after="0"/>
        <w:jc w:val="right"/>
        <w:rPr>
          <w:rFonts w:ascii="Times New Roman" w:hAnsi="Times New Roman"/>
          <w:b/>
          <w:sz w:val="20"/>
        </w:rPr>
      </w:pPr>
      <w:bookmarkStart w:id="343" w:name="d770053dex82.htm"/>
      <w:bookmarkStart w:id="344" w:name="ksd770053dex82"/>
      <w:bookmarkEnd w:id="343"/>
      <w:bookmarkEnd w:id="344"/>
      <w:r>
        <w:rPr>
          <w:rFonts w:ascii="Times New Roman" w:hAnsi="Times New Roman"/>
          <w:b/>
          <w:sz w:val="20"/>
        </w:rPr>
        <w:t xml:space="preserve">Exhibit 8.2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33575" cy="457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75"/>
                    <a:stretch>
                      <a:fillRect/>
                    </a:stretch>
                  </pic:blipFill>
                  <pic:spPr bwMode="auto">
                    <a:xfrm>
                      <a:off x="0" y="0"/>
                      <a:ext cx="1933575" cy="457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April 15,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w:t>
      </w:r>
    </w:p>
    <w:p>
      <w:pPr>
        <w:pStyle w:val="TextBody"/>
        <w:bidi w:val="0"/>
        <w:spacing w:before="0" w:after="0"/>
        <w:jc w:val="left"/>
        <w:rPr>
          <w:rFonts w:ascii="Times New Roman" w:hAnsi="Times New Roman"/>
          <w:sz w:val="20"/>
        </w:rPr>
      </w:pPr>
      <w:r>
        <w:rPr>
          <w:rFonts w:ascii="Times New Roman" w:hAnsi="Times New Roman"/>
          <w:sz w:val="20"/>
        </w:rPr>
        <w:t xml:space="preserve">Sixth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opinion is delivered to you in our capacity as counsel to AVROBIO Inc., a Delaware corporation (</w:t>
      </w:r>
      <w:r>
        <w:rPr>
          <w:rFonts w:ascii="Times New Roman" w:hAnsi="Times New Roman"/>
          <w:b/>
          <w:sz w:val="20"/>
        </w:rPr>
        <w:t>AVROBIO</w:t>
      </w:r>
      <w:r>
        <w:rPr>
          <w:rFonts w:ascii="Times New Roman" w:hAnsi="Times New Roman"/>
          <w:sz w:val="20"/>
        </w:rPr>
        <w:t>), in connection with the merger of Alpine Merger Subsidiary, Inc., a Delaware corporation and wholly owned subsidiary of AVROBIO (</w:t>
      </w:r>
      <w:r>
        <w:rPr>
          <w:rFonts w:ascii="Times New Roman" w:hAnsi="Times New Roman"/>
          <w:b/>
          <w:sz w:val="20"/>
        </w:rPr>
        <w:t>Merger Sub</w:t>
      </w:r>
      <w:r>
        <w:rPr>
          <w:rFonts w:ascii="Times New Roman" w:hAnsi="Times New Roman"/>
          <w:sz w:val="20"/>
        </w:rPr>
        <w:t>) with and into Tectonic Therapeutic, Inc., a Delaware corporation (</w:t>
      </w:r>
      <w:r>
        <w:rPr>
          <w:rFonts w:ascii="Times New Roman" w:hAnsi="Times New Roman"/>
          <w:b/>
          <w:sz w:val="20"/>
        </w:rPr>
        <w:t>Tectonic</w:t>
      </w:r>
      <w:r>
        <w:rPr>
          <w:rFonts w:ascii="Times New Roman" w:hAnsi="Times New Roman"/>
          <w:sz w:val="20"/>
        </w:rPr>
        <w:t>), with Tectonic being the surviving corporation (the </w:t>
      </w:r>
      <w:r>
        <w:rPr>
          <w:rFonts w:ascii="Times New Roman" w:hAnsi="Times New Roman"/>
          <w:b/>
          <w:sz w:val="20"/>
        </w:rPr>
        <w:t>Merger</w:t>
      </w:r>
      <w:r>
        <w:rPr>
          <w:rFonts w:ascii="Times New Roman" w:hAnsi="Times New Roman"/>
          <w:sz w:val="20"/>
        </w:rPr>
        <w:t>), pursuant to the Agreement and Plan of Merger and Reorganization, dated as of January 30, 2024, between AVROBIO, Tectonic and Merger Sub (the </w:t>
      </w:r>
      <w:r>
        <w:rPr>
          <w:rFonts w:ascii="Times New Roman" w:hAnsi="Times New Roman"/>
          <w:b/>
          <w:sz w:val="20"/>
        </w:rPr>
        <w:t>Merger Agreement</w:t>
      </w:r>
      <w:r>
        <w:rPr>
          <w:rFonts w:ascii="Times New Roman" w:hAnsi="Times New Roman"/>
          <w:sz w:val="20"/>
        </w:rPr>
        <w:t>). This opinion relates to the qualification of the Merger as a reorganization within the meaning of Section 368(a) of the Internal Revenue Code of 1986, as amended (the </w:t>
      </w:r>
      <w:r>
        <w:rPr>
          <w:rFonts w:ascii="Times New Roman" w:hAnsi="Times New Roman"/>
          <w:b/>
          <w:sz w:val="20"/>
        </w:rPr>
        <w:t>Code</w:t>
      </w:r>
      <w:r>
        <w:rPr>
          <w:rFonts w:ascii="Times New Roman" w:hAnsi="Times New Roman"/>
          <w:sz w:val="20"/>
        </w:rPr>
        <w:t xml:space="preserve">), as well as the description of the tax consequences of the Merger as set forth in the Registration Statement (as defined below). </w:t>
      </w:r>
    </w:p>
    <w:p>
      <w:pPr>
        <w:pStyle w:val="TextBody"/>
        <w:bidi w:val="0"/>
        <w:spacing w:before="240" w:after="0"/>
        <w:jc w:val="left"/>
        <w:rPr>
          <w:rFonts w:ascii="Times New Roman" w:hAnsi="Times New Roman"/>
          <w:sz w:val="20"/>
        </w:rPr>
      </w:pPr>
      <w:r>
        <w:rPr>
          <w:rFonts w:ascii="Times New Roman" w:hAnsi="Times New Roman"/>
          <w:sz w:val="20"/>
        </w:rPr>
        <w:t>For purposes of the opinion set forth below, we have reviewed and relied upon the Merger Agreement, the Proxy Statement/Prospectus of AVROBIO and Tectonic (the </w:t>
      </w:r>
      <w:r>
        <w:rPr>
          <w:rFonts w:ascii="Times New Roman" w:hAnsi="Times New Roman"/>
          <w:b/>
          <w:sz w:val="20"/>
        </w:rPr>
        <w:t>Proxy Statement/Prospectus</w:t>
      </w:r>
      <w:r>
        <w:rPr>
          <w:rFonts w:ascii="Times New Roman" w:hAnsi="Times New Roman"/>
          <w:sz w:val="20"/>
        </w:rPr>
        <w:t>) included in the Registration Statement on Form S-4 filed by AVROBIO with the Securities and Exchange Commission (</w:t>
      </w:r>
      <w:r>
        <w:rPr>
          <w:rFonts w:ascii="Times New Roman" w:hAnsi="Times New Roman"/>
          <w:b/>
          <w:sz w:val="20"/>
        </w:rPr>
        <w:t>SEC</w:t>
      </w:r>
      <w:r>
        <w:rPr>
          <w:rFonts w:ascii="Times New Roman" w:hAnsi="Times New Roman"/>
          <w:sz w:val="20"/>
        </w:rPr>
        <w:t>) in connection with the issuance in connection with the Merger of shares of AVROBIO common stock (the </w:t>
      </w:r>
      <w:r>
        <w:rPr>
          <w:rFonts w:ascii="Times New Roman" w:hAnsi="Times New Roman"/>
          <w:b/>
          <w:sz w:val="20"/>
        </w:rPr>
        <w:t>Registration Statement</w:t>
      </w:r>
      <w:r>
        <w:rPr>
          <w:rFonts w:ascii="Times New Roman" w:hAnsi="Times New Roman"/>
          <w:sz w:val="20"/>
        </w:rPr>
        <w:t xml:space="preserve">), and such other documents, records and instruments as we have deemed necessary or appropriate as a basis for our opinion. In addition, in rendering our opinion we have relied upon certain statements, representations and warranties made by AVROBIO and Tectonic in (i) representation letters provided to us in connection with our preparation of this opinion, (ii) the Proxy Statement/Prospectus, and (iii) the Merger Agreement, which we have neither investigated nor verified. We have assumed that such statements, representations and warranties are true, correct, complete and not breached and will continue to be so through the date of the Merger, that no actions that are inconsistent with such statements, representations and warranties will be taken, and that all representations, statements, and warranties made to the best knowledge of any person(s) or party(ies) or with similar qualification are and will be true, correct and complete as if made without such qualification. We have also assumed that the cash or other property (other than AVROBIO common stock) paid to any holder of Tectonic common stock (or Tectonic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33575" cy="4572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76"/>
                    <a:stretch>
                      <a:fillRect/>
                    </a:stretch>
                  </pic:blipFill>
                  <pic:spPr bwMode="auto">
                    <a:xfrm>
                      <a:off x="0" y="0"/>
                      <a:ext cx="1933575"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April 15,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simple agreements for future equity (SAFEs)) and/or other securities of Tectonic (if any) who exercise and perfect appraisal or dissenters rights in respect of such securities will not adversely impact AVROBIOs ability to acquire and retain control (within the meaning of Section 368(c) of the Code) in exchange for solely voting stock of AVROBIO pursuant to the Merger as required by Section 368(a)(2)(E) of the Code. </w:t>
      </w:r>
    </w:p>
    <w:p>
      <w:pPr>
        <w:pStyle w:val="TextBody"/>
        <w:bidi w:val="0"/>
        <w:spacing w:before="240" w:after="0"/>
        <w:jc w:val="left"/>
        <w:rPr>
          <w:rFonts w:ascii="Times New Roman" w:hAnsi="Times New Roman"/>
          <w:sz w:val="20"/>
        </w:rPr>
      </w:pPr>
      <w:r>
        <w:rPr>
          <w:rFonts w:ascii="Times New Roman" w:hAnsi="Times New Roman"/>
          <w:sz w:val="20"/>
        </w:rPr>
        <w:t xml:space="preserve">We also have assumed the genuineness of all signatures, the authenticity of all documents submitted to us as originals, the conformity to the original documents of all documents submitted to us as copies, the authority and capacity of the individual or individuals who executed any such documents on behalf of any person, the conformity to the final documents of all documents submitted to us as drafts and the accuracy and completeness of all records made available to us. In addition, we have assumed that (i) the Merger will be consummated in accordance with the Merger Agreement, (ii) the Merger Agreement and the ancillary agreements thereto represent the entire understanding of AVROBIO, Tectonic and Merger Sub with respect to the Merger, (iii) each of the parties to the Merger Agreement will comply with all reporting obligations with respect to the Merger required under the Code and the Treasury Regulations thereunder, and (iv) the Merger Agreement is valid and binding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Any inaccuracy in, or breach of, any of the aforementioned statements, representations, warranties and assumptions or any change after the date hereof in applicable law could adversely affect our opinion. No ruling has been or will be sought from the Internal Revenue Service by any party to the Merger Agreement as to the federal income tax consequences of any aspect of the Merger.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as well as the limitations set forth below, it is our opinion, under currently applicable United States federal income tax law, that the Merger will constitute a reorganization within the meaning of Section 368(a) of the Code, and we hereby confirm that the discussion contained in the Proxy Statement/Prospectus under the caption Material U.S. Federal Income Tax Consequences of the Merger, insofar as it addresses the material U.S. federal income tax considerations of the Merger for beneficial owners of shares of Tectonic common stock, subject to the limitations, qualifications, and assumptions described therein, constitutes our opinion of the material tax consequences of the Merger. </w:t>
      </w:r>
    </w:p>
    <w:p>
      <w:pPr>
        <w:pStyle w:val="TextBody"/>
        <w:bidi w:val="0"/>
        <w:spacing w:before="240" w:after="0"/>
        <w:jc w:val="center"/>
        <w:rPr>
          <w:rFonts w:ascii="Times New Roman" w:hAnsi="Times New Roman"/>
          <w:sz w:val="20"/>
        </w:rPr>
      </w:pPr>
      <w:r>
        <w:rPr>
          <w:rFonts w:ascii="Times New Roman" w:hAnsi="Times New Roman"/>
          <w:sz w:val="20"/>
        </w:rPr>
        <w:t xml:space="preserve">* * * *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33575" cy="4572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77"/>
                    <a:stretch>
                      <a:fillRect/>
                    </a:stretch>
                  </pic:blipFill>
                  <pic:spPr bwMode="auto">
                    <a:xfrm>
                      <a:off x="0" y="0"/>
                      <a:ext cx="1933575"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April 15, 2024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express no opinion herein other than the opinion expressly set forth above. In particular, no opinion is expressed as to the tax consequences of any transactions other than the Merger, or the consequences of the Merger under any foreign, state, or local tax law. You should recognize that our opinion is not binding on the Internal Revenue Service and that a court or the Internal Revenue Service may disagree with the opinion contained herein. Although we believe that our opinion will be sustained if challenged, there can be no assurance that this will be the case. The discussion and conclusions set forth above are based upon current provisions of the Code and the Income Tax Regulations promulgated thereunder, and existing administrative and judicial interpretations thereof, all of which are subject to change, potentially with retroactive effect. Changes in applicable law could adversely affect our opinion. We do not undertake to advise you as to any changes after the date hereof in applicable law that may affect our opinion.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being provided to you solely in connection with the filing of the Registration Statement and may not be relied upon by any other person or entity, or used for any other purpose without our prior written consent. We hereby consent to the inclusion of this opinion as an exhibit to the Registration Statement and to the references to our firm under the captions Material U.S. Federal Income Tax Consequences of the Merger and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345" w:name="d770053dex1042.htm"/>
      <w:bookmarkStart w:id="346" w:name="ksd770053dex1042"/>
      <w:bookmarkEnd w:id="345"/>
      <w:bookmarkEnd w:id="346"/>
      <w:r>
        <w:rPr>
          <w:rFonts w:ascii="Times New Roman" w:hAnsi="Times New Roman"/>
          <w:b/>
          <w:sz w:val="20"/>
        </w:rPr>
        <w:t xml:space="preserve">Exhibit 10.42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AMENDED AND RESTATED EXECUTIVE EMPLOYMENT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EXECUTIVE EMPLOYMENT AGREEMENT (this </w:t>
      </w:r>
      <w:r>
        <w:rPr>
          <w:rFonts w:ascii="Times New Roman" w:hAnsi="Times New Roman"/>
          <w:sz w:val="20"/>
          <w:u w:val="single"/>
        </w:rPr>
        <w:t>Agreement</w:t>
      </w:r>
      <w:r>
        <w:rPr>
          <w:rFonts w:ascii="Times New Roman" w:hAnsi="Times New Roman"/>
          <w:sz w:val="20"/>
        </w:rPr>
        <w:t>) is entered into as of April [], 2024, by and between Tectonic Therapeutic, Inc. (the </w:t>
      </w:r>
      <w:r>
        <w:rPr>
          <w:rFonts w:ascii="Times New Roman" w:hAnsi="Times New Roman"/>
          <w:sz w:val="20"/>
          <w:u w:val="single"/>
        </w:rPr>
        <w:t>Company</w:t>
      </w:r>
      <w:r>
        <w:rPr>
          <w:rFonts w:ascii="Times New Roman" w:hAnsi="Times New Roman"/>
          <w:sz w:val="20"/>
        </w:rPr>
        <w:t>), and Alise Reicin (</w:t>
      </w:r>
      <w:r>
        <w:rPr>
          <w:rFonts w:ascii="Times New Roman" w:hAnsi="Times New Roman"/>
          <w:sz w:val="20"/>
          <w:u w:val="single"/>
        </w:rPr>
        <w:t>Executive</w:t>
      </w:r>
      <w:r>
        <w:rPr>
          <w:rFonts w:ascii="Times New Roman" w:hAnsi="Times New Roman"/>
          <w:sz w:val="20"/>
        </w:rPr>
        <w:t>) (collectively referred to as the </w:t>
      </w:r>
      <w:r>
        <w:rPr>
          <w:rFonts w:ascii="Times New Roman" w:hAnsi="Times New Roman"/>
          <w:sz w:val="20"/>
          <w:u w:val="single"/>
        </w:rPr>
        <w:t>Parties</w:t>
      </w:r>
      <w:r>
        <w:rPr>
          <w:rFonts w:ascii="Times New Roman" w:hAnsi="Times New Roman"/>
          <w:sz w:val="20"/>
        </w:rPr>
        <w:t> or individually referred to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Company and Executive are parties to that certain Executive Employment Agreement, dated August 10, 2020 (the </w:t>
      </w:r>
      <w:r>
        <w:rPr>
          <w:rFonts w:ascii="Times New Roman" w:hAnsi="Times New Roman"/>
          <w:sz w:val="20"/>
          <w:u w:val="single"/>
        </w:rPr>
        <w:t>Prior Agreement</w:t>
      </w:r>
      <w:r>
        <w:rPr>
          <w:rFonts w:ascii="Times New Roman" w:hAnsi="Times New Roman"/>
          <w:sz w:val="20"/>
        </w:rPr>
        <w:t xml:space="preserve">), delineating the terms and conditions of Executives employment with Company;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Company and Executive desire to amend and restate the Prior Agreement to set forth the terms and conditions of the Executives continued employment with the Company effective and conditional upon the completion of the Companys anticipated merger with AVROBIO, Inc. (the </w:t>
      </w:r>
      <w:r>
        <w:rPr>
          <w:rFonts w:ascii="Times New Roman" w:hAnsi="Times New Roman"/>
          <w:sz w:val="20"/>
          <w:u w:val="single"/>
        </w:rPr>
        <w:t>Merger</w:t>
      </w:r>
      <w:r>
        <w:rPr>
          <w:rFonts w:ascii="Times New Roman" w:hAnsi="Times New Roman"/>
          <w:sz w:val="20"/>
        </w:rPr>
        <w:t>)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consideration of Executives continued employment with the Company and other good and valuable consideration, the receipt and sufficiency of which is hereby acknowledged, and intending to be legally bound, Executive and the Company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Duties and Scope of Employment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Positions and Duties</w:t>
      </w:r>
      <w:r>
        <w:rPr>
          <w:rFonts w:ascii="Times New Roman" w:hAnsi="Times New Roman"/>
          <w:sz w:val="20"/>
        </w:rPr>
        <w:t>. Executive will continue to serve as President and Chief Executive Officer of the Company providing services from the Companys Watertown, Massachusetts location. Executive will continue to render such business and professional services in the performance of Executives duties, consistent with Executives position within the Company, as shall reasonably be assigned to Executive by the Companys Board of Directors (the </w:t>
      </w:r>
      <w:r>
        <w:rPr>
          <w:rFonts w:ascii="Times New Roman" w:hAnsi="Times New Roman"/>
          <w:sz w:val="20"/>
          <w:u w:val="single"/>
        </w:rPr>
        <w:t>Board</w:t>
      </w:r>
      <w:r>
        <w:rPr>
          <w:rFonts w:ascii="Times New Roman" w:hAnsi="Times New Roman"/>
          <w:sz w:val="20"/>
        </w:rPr>
        <w:t>). Executive shall perform Executives duties under this Agreement principally out of the Companys offices in Watertown, Massachusetts and shall be permitted to work remotely as needed and as may be done without interruption to the operations of the Company. In addition, Executive shall make such business trips to such places as may be necessary or advisable for the efficient operations of the Company. The Executives at-will employment will continue for an indefinite term until terminated pursuant to the terms of this Agreement, and this period during which the Executive is employed by the Company is referred to herein as the </w:t>
      </w:r>
      <w:r>
        <w:rPr>
          <w:rFonts w:ascii="Times New Roman" w:hAnsi="Times New Roman"/>
          <w:sz w:val="20"/>
          <w:u w:val="single"/>
        </w:rPr>
        <w:t>Employment Term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Board Membership</w:t>
      </w:r>
      <w:r>
        <w:rPr>
          <w:rFonts w:ascii="Times New Roman" w:hAnsi="Times New Roman"/>
          <w:sz w:val="20"/>
        </w:rPr>
        <w:t xml:space="preserve">. During the Employment Term, Executive will continue to serve as an executive director of the Board. The Company agrees to propose the election and reelection of Executive as an executive director of the Board to the stockholders of the Company at each appropriate annual meeting of stockholders during the Employment Term.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Obligations</w:t>
      </w:r>
      <w:r>
        <w:rPr>
          <w:rFonts w:ascii="Times New Roman" w:hAnsi="Times New Roman"/>
          <w:sz w:val="20"/>
        </w:rPr>
        <w:t xml:space="preserve">. During the Employment Term, Executive will continue to perform Executives duties faithfully and to the best of Executives ability and will continue to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Except with the prior written consent of the Board, Executive will not, while employed by the Company, undertake or engage in any other employment, occupation or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service as a director on the board of directors of Sana Biotechnology, Inc. (which the Board previously approved such service by the Executive), (iii) service on the board of directors of a publicly traded biotechnology company that is engaged in the research and development of T-cell redirecting immunotherapies (which the Board previously approved such service by the Executive), and (iv) such other consulting or advisory activities as Executive may disclose to the Chair of the Board of Directors from time to time, provided that individually and in the aggregate, the forgoing activities do not materially interfere with the performance of Executives duties and responsibilities hereunder, as determined by the Board in good faith, and do not create any conflict of interest with the Company or its business.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At-Will Employment</w:t>
      </w:r>
      <w:r>
        <w:rPr>
          <w:rFonts w:ascii="Times New Roman" w:hAnsi="Times New Roman"/>
          <w:sz w:val="20"/>
        </w:rPr>
        <w:t xml:space="preserve">. Subject to Sections 7, 8, and 9 below, the parties agree that Executives employment with the Company will continue to be at-will employment and may be terminated at any time with or without cause or notice, for any reason or no reason.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Base Salary</w:t>
      </w:r>
      <w:r>
        <w:rPr>
          <w:rFonts w:ascii="Times New Roman" w:hAnsi="Times New Roman"/>
          <w:sz w:val="20"/>
        </w:rPr>
        <w:t>. During the Employment Term, the Company will pay Executive as compensation for Executives services a base salary at a rate of $620,000 per year, paid in bi-weekly installments, as reviewed annually by and modified from time to time at the discretion of the Board (the </w:t>
      </w:r>
      <w:r>
        <w:rPr>
          <w:rFonts w:ascii="Times New Roman" w:hAnsi="Times New Roman"/>
          <w:sz w:val="20"/>
          <w:u w:val="single"/>
        </w:rPr>
        <w:t>Base Salary</w:t>
      </w:r>
      <w:r>
        <w:rPr>
          <w:rFonts w:ascii="Times New Roman" w:hAnsi="Times New Roman"/>
          <w:sz w:val="20"/>
        </w:rPr>
        <w:t>). The Base Salary will be paid in regular installments in accordance with the Companys normal payroll practices (subject to required withholding). Any increase or decrease in Base Salary (together with the then existing Base Salary) shall serve as the </w:t>
      </w:r>
      <w:r>
        <w:rPr>
          <w:rFonts w:ascii="Times New Roman" w:hAnsi="Times New Roman"/>
          <w:sz w:val="20"/>
          <w:u w:val="single"/>
        </w:rPr>
        <w:t>Base Salary</w:t>
      </w:r>
      <w:r>
        <w:rPr>
          <w:rFonts w:ascii="Times New Roman" w:hAnsi="Times New Roman"/>
          <w:sz w:val="20"/>
        </w:rPr>
        <w:t xml:space="preserve"> for future employment under this Agreement. The first and last payment will be adjusted, if necessary, to reflect a commencement or termination date other than the first or last working day of a pay period, except as provided in Section 8 below.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Bonus</w:t>
      </w:r>
      <w:r>
        <w:rPr>
          <w:rFonts w:ascii="Times New Roman" w:hAnsi="Times New Roman"/>
          <w:sz w:val="20"/>
        </w:rPr>
        <w:t>. Executive will also continue to be eligible to earn an annual discretionary bonus with a target amount equal to 55% of the Base Salary (the </w:t>
      </w:r>
      <w:r>
        <w:rPr>
          <w:rFonts w:ascii="Times New Roman" w:hAnsi="Times New Roman"/>
          <w:sz w:val="20"/>
          <w:u w:val="single"/>
        </w:rPr>
        <w:t>Target Bonus</w:t>
      </w:r>
      <w:r>
        <w:rPr>
          <w:rFonts w:ascii="Times New Roman" w:hAnsi="Times New Roman"/>
          <w:sz w:val="20"/>
        </w:rPr>
        <w:t>). The Executives actual annual bonus (the </w:t>
      </w:r>
      <w:r>
        <w:rPr>
          <w:rFonts w:ascii="Times New Roman" w:hAnsi="Times New Roman"/>
          <w:sz w:val="20"/>
          <w:u w:val="single"/>
        </w:rPr>
        <w:t>Annual Bonus</w:t>
      </w:r>
      <w:r>
        <w:rPr>
          <w:rFonts w:ascii="Times New Roman" w:hAnsi="Times New Roman"/>
          <w:sz w:val="20"/>
        </w:rPr>
        <w:t xml:space="preserve">) may be greater or less than the Target Bonus. The Annual Bonus will be based on achievement of one or more Company and/or individual performance goals established by the Compensation Committee or the Board in its discretion (provided that the Compensation Committee or the Board will seek Executives input with respect to such goals and will communicate them in writing to Executive in a timely manner), and actual payout of the Annual Bonus will be determined by the Board in its discretion based on achievement of the applicable performance goals for the relevant year. Except as otherwise provided in this Agreement, to qualify for the Annual Bonus in respect of any calendar year, the Executive must remain continuously employed with the Company through February 15th of the following calendar year. Any Annual Bonus payment will be paid no later than March 15th of the calendar year following the year as to which it relates. The Annual Bonus is not earned until paid and no pro-rated amount will be paid if Executives employment terminates for any reason prior to the payment date, except as provided in Section 8(a) below.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Equity</w:t>
      </w:r>
      <w:r>
        <w:rPr>
          <w:rFonts w:ascii="Times New Roman" w:hAnsi="Times New Roman"/>
          <w:sz w:val="20"/>
        </w:rPr>
        <w:t xml:space="preserve">. In connection with the Merger and promptly following the closing of the Merger, the Board agrees to issue to the Executive an option award to purchase shares of Common Stock of the Company, such that when combined with Executives prior securities holdings or rights to acquire securities in the Company, Executive will hold or have the right to acquire shares representing at least 4.34%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post-Merger equity securities, calculated on a fully diluted basis. Thereafter, Executive will be eligible to receive awards of stock options or restricted stock or other equity awards pursuant to any plans or arrangements the Company may have in effect from time to time, and the Board (or the Compensation Committee) shall consider in good faith and determine in its discretion whether Executive shall be granted any such equity awards and the terms of any such award in accordance with the terms of any applicable plan or arrangement that may be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Employee Benefits</w:t>
      </w:r>
      <w:r>
        <w:rPr>
          <w:rFonts w:ascii="Times New Roman" w:hAnsi="Times New Roman"/>
          <w:sz w:val="20"/>
        </w:rPr>
        <w:t xml:space="preserve">. During the Employment Term, Executive will continue to be eligible to participate in the employee benefit plans currently and hereafter maintained by the Company of general applicability to other senior executives of the Company, including, without limitation, the Companys group medical, dental, vision, disability, and 401K plans. The Company reserves the right to cancel or change the benefit plans and programs it offers to its employees at any time.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Vacation</w:t>
      </w:r>
      <w:r>
        <w:rPr>
          <w:rFonts w:ascii="Times New Roman" w:hAnsi="Times New Roman"/>
          <w:sz w:val="20"/>
        </w:rPr>
        <w:t xml:space="preserve">. Executive will continue to be eligible to accrue a maximum of four (4) weeks paid vacation per year, in accordance with the Companys vacation policy, which shall be taken subject to the demands of the Companys business and Executives obligations as an employee of the Company with a substantial degree of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Reimbursement of Expenses</w:t>
      </w:r>
      <w:r>
        <w:rPr>
          <w:rFonts w:ascii="Times New Roman" w:hAnsi="Times New Roman"/>
          <w:sz w:val="20"/>
        </w:rPr>
        <w:t xml:space="preserve">. During the Employment Term, the Executive will be entitled to reimbursement for all reasonable and normal direct and out-of-pocket business expenses incurred by the Executive in connection with the performance of her duties hereunder, including without limitation, business travel expenses, reasonable home office expenses, and expenses relating to a cellular data plan for a mobile phone and hotspot, providing both domestic and international coverage, upon the Executives presentation of valid receipts, expense statements or other supporting documentation for such expenses as the Company may reasonably require. The Company will also continue to reimburse Executive for (x) reasonable commercial commuting, including weekly air, train and auto travel expenses to and from Executives home in New York/New Jersey to the Companys offices in Watertown, Massachusetts, and local car transportation between Executives home and local train stations and airports, and between Boston area train stations and airports and the Companys offices. The Company shall reimburse the Executive for her reasonable legal fees and expenses paid or incurred by the Executive in connection with the negotiation and preparation of this Agreement in an amount not to exceed $10,000.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 on Death or Disability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Effectiveness</w:t>
      </w:r>
      <w:r>
        <w:rPr>
          <w:rFonts w:ascii="Times New Roman" w:hAnsi="Times New Roman"/>
          <w:sz w:val="20"/>
        </w:rPr>
        <w:t>. Executives employment will terminate automatically upon Executives Death or, upon fourteen (14) days prior written notice from the Company, in the event of Disability. For purposes of this Agreement, </w:t>
      </w:r>
      <w:r>
        <w:rPr>
          <w:rFonts w:ascii="Times New Roman" w:hAnsi="Times New Roman"/>
          <w:sz w:val="20"/>
          <w:u w:val="single"/>
        </w:rPr>
        <w:t>Disability</w:t>
      </w:r>
      <w:r>
        <w:rPr>
          <w:rFonts w:ascii="Times New Roman" w:hAnsi="Times New Roman"/>
          <w:sz w:val="20"/>
        </w:rPr>
        <w:t xml:space="preserve"> means that Executive, at the time notice is given, has been unable to substantially perform Executives duties under this Agreement for not less than one-hundred and twenty (120) workdays within a twelve (12) consecutive month period as a result of Executives incapacity due to a physical or mental condition and, if reasonable accommodation is required by law, after any reasonable accommodation.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Termination</w:t>
      </w:r>
      <w:r>
        <w:rPr>
          <w:rFonts w:ascii="Times New Roman" w:hAnsi="Times New Roman"/>
          <w:sz w:val="20"/>
        </w:rPr>
        <w:t>. Upon any termination for death or Disability, Executive shall be entitled to: (i) Executives Base Salary through the effective date of termination; (ii) the right to continue health care benefits under Title X of the Consolidated Budget Reconciliation Act of 1985, as amended (</w:t>
      </w:r>
      <w:r>
        <w:rPr>
          <w:rFonts w:ascii="Times New Roman" w:hAnsi="Times New Roman"/>
          <w:sz w:val="20"/>
          <w:u w:val="single"/>
        </w:rPr>
        <w:t>COBRA</w:t>
      </w:r>
      <w:r>
        <w:rPr>
          <w:rFonts w:ascii="Times New Roman" w:hAnsi="Times New Roman"/>
          <w:sz w:val="20"/>
        </w:rPr>
        <w:t xml:space="preserve">), at Executives cost, to the extent required and available by law; (iii) reimbursement of expenses for which Executive is entitled to be reimbursed pursuant to Section 6 above, but for which Executive has not yet been reimbursed; and (iv) no other severance or benefits of any kind, unless required by law or pursuant to any other written Company plans or policies, as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Involuntary Termination without Cause; Resignation for Good Reason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Executives entitlement to any and all severance benefits in the event of a termination without </w:t>
      </w:r>
      <w:r>
        <w:rPr>
          <w:rFonts w:ascii="Times New Roman" w:hAnsi="Times New Roman"/>
          <w:sz w:val="20"/>
          <w:u w:val="single"/>
        </w:rPr>
        <w:t>Cause</w:t>
      </w:r>
      <w:r>
        <w:rPr>
          <w:rFonts w:ascii="Times New Roman" w:hAnsi="Times New Roman"/>
          <w:sz w:val="20"/>
        </w:rPr>
        <w:t>, a resignation for </w:t>
      </w:r>
      <w:r>
        <w:rPr>
          <w:rFonts w:ascii="Times New Roman" w:hAnsi="Times New Roman"/>
          <w:sz w:val="20"/>
          <w:u w:val="single"/>
        </w:rPr>
        <w:t>Good Reason</w:t>
      </w:r>
      <w:r>
        <w:rPr>
          <w:rFonts w:ascii="Times New Roman" w:hAnsi="Times New Roman"/>
          <w:sz w:val="20"/>
        </w:rPr>
        <w:t>, or in the event of a </w:t>
      </w:r>
      <w:r>
        <w:rPr>
          <w:rFonts w:ascii="Times New Roman" w:hAnsi="Times New Roman"/>
          <w:sz w:val="20"/>
          <w:u w:val="single"/>
        </w:rPr>
        <w:t>Change in Control</w:t>
      </w:r>
      <w:r>
        <w:rPr>
          <w:rFonts w:ascii="Times New Roman" w:hAnsi="Times New Roman"/>
          <w:sz w:val="20"/>
        </w:rPr>
        <w:t> shall be governed by the Tectonic Therapeutic, Inc. Severance Plan, dated (the </w:t>
      </w:r>
      <w:r>
        <w:rPr>
          <w:rFonts w:ascii="Times New Roman" w:hAnsi="Times New Roman"/>
          <w:sz w:val="20"/>
          <w:u w:val="single"/>
        </w:rPr>
        <w:t>Severance Plan</w:t>
      </w:r>
      <w:r>
        <w:rPr>
          <w:rFonts w:ascii="Times New Roman" w:hAnsi="Times New Roman"/>
          <w:sz w:val="20"/>
        </w:rPr>
        <w:t xml:space="preserve">) in accordance with its terms, including all eligibility and release requirements. </w:t>
      </w:r>
    </w:p>
    <w:p>
      <w:pPr>
        <w:pStyle w:val="TextBody"/>
        <w:bidi w:val="0"/>
        <w:spacing w:before="120" w:after="0"/>
        <w:jc w:val="left"/>
        <w:rPr>
          <w:rFonts w:ascii="Times New Roman" w:hAnsi="Times New Roman"/>
          <w:sz w:val="20"/>
        </w:rPr>
      </w:pPr>
      <w:r>
        <w:rPr>
          <w:rFonts w:ascii="Times New Roman" w:hAnsi="Times New Roman"/>
          <w:sz w:val="20"/>
        </w:rPr>
        <w:t>(b) For purposes of this Agreement, </w:t>
      </w:r>
      <w:r>
        <w:rPr>
          <w:rFonts w:ascii="Times New Roman" w:hAnsi="Times New Roman"/>
          <w:sz w:val="20"/>
          <w:u w:val="single"/>
        </w:rPr>
        <w:t>Cause</w:t>
      </w:r>
      <w:r>
        <w:rPr>
          <w:rFonts w:ascii="Times New Roman" w:hAnsi="Times New Roman"/>
          <w:sz w:val="20"/>
        </w:rPr>
        <w:t>, </w:t>
      </w:r>
      <w:r>
        <w:rPr>
          <w:rFonts w:ascii="Times New Roman" w:hAnsi="Times New Roman"/>
          <w:sz w:val="20"/>
          <w:u w:val="single"/>
        </w:rPr>
        <w:t>Good Reason</w:t>
      </w:r>
      <w:r>
        <w:rPr>
          <w:rFonts w:ascii="Times New Roman" w:hAnsi="Times New Roman"/>
          <w:sz w:val="20"/>
        </w:rPr>
        <w:t> and </w:t>
      </w:r>
      <w:r>
        <w:rPr>
          <w:rFonts w:ascii="Times New Roman" w:hAnsi="Times New Roman"/>
          <w:sz w:val="20"/>
          <w:u w:val="single"/>
        </w:rPr>
        <w:t>Change in Control</w:t>
      </w:r>
      <w:r>
        <w:rPr>
          <w:rFonts w:ascii="Times New Roman" w:hAnsi="Times New Roman"/>
          <w:sz w:val="20"/>
        </w:rPr>
        <w:t xml:space="preserve"> shall have the same definitions as those contained in the Severance Plan.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Involuntary Termination for Cause; Resignation Without Good Reason</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Effectiveness</w:t>
      </w:r>
      <w:r>
        <w:rPr>
          <w:rFonts w:ascii="Times New Roman" w:hAnsi="Times New Roman"/>
          <w:sz w:val="20"/>
        </w:rPr>
        <w:t xml:space="preserve">. Notwithstanding any other provision of this Agreement, the Company may terminate Executives employment at any time for Cause or Executive may resign from Executives employment with the Company at any time without Good Reason. Termination for Cause, or Executives resignation without Good Reason, shall be effective on the date either Party gives notice to the other Party of such termination in accordance with this Agreement unless otherwise agreed by the Parties.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Termination</w:t>
      </w:r>
      <w:r>
        <w:rPr>
          <w:rFonts w:ascii="Times New Roman" w:hAnsi="Times New Roman"/>
          <w:sz w:val="20"/>
        </w:rPr>
        <w:t xml:space="preserve">. In the case of the Companys termination of Executives employment for Cause, or Executives resignation without Good Reason, Executive shall be entitled to receive: (i) Base Salary through the effective date of the termination or resignation, as applicable; (ii) reimbursement of all expenses for which Executive is entitled to be reimbursed pursuant to Section 6 above, but for which Executive has not yet been reimbursed; (iii) the right to continue health care benefits under COBRA, at Executives cost, to the extent required and available by law; and (iv) no other severance or benefits of any kind, unless required by law or pursuant to any other written Company plans or policies, as then in effect. In the event of such a termination, Executives rights to retain vested equity awards shall be governed by the applicable award agreements.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Company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Proprietary Information and Inventions</w:t>
      </w:r>
      <w:r>
        <w:rPr>
          <w:rFonts w:ascii="Times New Roman" w:hAnsi="Times New Roman"/>
          <w:sz w:val="20"/>
        </w:rPr>
        <w:t>. In connection with Executives employment with the Company, Executive has and will continue to receive and have access to Company confidential information and trade secrets. Accordingly, Executive agrees that Executive is bound by and continues to be bound by the Employee Confidential Information and Inventions Assignment Agreement, dated August 10, 2020 (the </w:t>
      </w:r>
      <w:r>
        <w:rPr>
          <w:rFonts w:ascii="Times New Roman" w:hAnsi="Times New Roman"/>
          <w:sz w:val="20"/>
          <w:u w:val="single"/>
        </w:rPr>
        <w:t>Confidential Information Agreement</w:t>
      </w:r>
      <w:r>
        <w:rPr>
          <w:rFonts w:ascii="Times New Roman" w:hAnsi="Times New Roman"/>
          <w:sz w:val="20"/>
        </w:rPr>
        <w:t xml:space="preserve">), which contains restrictive covenants and prohibits unauthorized use or disclosure of the Companys confidential information and trade secrets, among other obligations. A copy of Executives executed Confidential Information Agreement is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Resignation on Termination</w:t>
      </w:r>
      <w:r>
        <w:rPr>
          <w:rFonts w:ascii="Times New Roman" w:hAnsi="Times New Roman"/>
          <w:sz w:val="20"/>
        </w:rPr>
        <w:t xml:space="preserve">. On termination of Executives employment, regardless of the reason for such termination, Executive shall immediately (and with contemporaneous effect) resign any directorships, offices or other positions that Executive may hold in the Company or any affiliate, unless otherwise agreed in writing by the Parties.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 of New Employer</w:t>
      </w:r>
      <w:r>
        <w:rPr>
          <w:rFonts w:ascii="Times New Roman" w:hAnsi="Times New Roman"/>
          <w:sz w:val="20"/>
        </w:rPr>
        <w:t xml:space="preserve">. In the event that Executive leaves the employ of the Company, Executive agrees to notify her new employer about Executives rights and obligations under this Agreement and the Confidential Information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Arbitration</w:t>
      </w:r>
      <w:r>
        <w:rPr>
          <w:rFonts w:ascii="Times New Roman" w:hAnsi="Times New Roman"/>
          <w:sz w:val="20"/>
        </w:rPr>
        <w:t xml:space="preserve">. To ensure the timely and economical resolution of disputes that may arise in connection with Executives employment with the Company, Executive and the Company agree that any and all disputes, claims, or causes of action arising from or relating to the enforcement, breach, performance, negotiation, execution, or interpretation of this Agreement, Confidential Information Agreement, or Executives employment, or the termination of Executives employment, including but not limited to all statutory claims (including, but not limited to, the Massachusetts Antidiscrimination Act, Mass. Gen. Laws ch.151B and the Massachusetts Wage Act, Mass. Gen. Laws ch. 149), will be resolved pursuant to the Federal Arbitration Act, 9 U.S.C. §1-16, and to the fullest extent permitted by law, by final, binding and confidential arbitration by a single arbitrator conducted in </w:t>
      </w:r>
      <w:r>
        <w:rPr>
          <w:rFonts w:ascii="Times New Roman" w:hAnsi="Times New Roman"/>
          <w:i/>
          <w:sz w:val="20"/>
        </w:rPr>
        <w:t>Boston, Massachusetts</w:t>
      </w:r>
      <w:r>
        <w:rPr>
          <w:rFonts w:ascii="Times New Roman" w:hAnsi="Times New Roman"/>
          <w:sz w:val="20"/>
        </w:rPr>
        <w:t xml:space="preserve"> by Judicial Arbitration and Mediation Services Inc. (JAMS) under the then applicable JAMS rules (at the following web address: https://www.jamsadr.com/rules-employment-arbitration/); provided, however, this arbitration provision shall not apply to sexual harassment claims to the extent prohibited by applicable law. A hard copy of the rules will be provided to you upon request. A hard copy of the rules will be provided to Executive upon request. By agreeing to this arbitration procedure, both Executive and the Company waive the right to resolve any such dispute through a trial by jury or judge or administrative proceeding. In addition, all claims, 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The prevailing party in any arbitration hereunder will be entitled to recover from the losing party all costs incurred by it in enforcing the performance of, or protecting its rights under, any part of this Agreement, including reasonable costs of investigation and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Assignment</w:t>
      </w:r>
      <w:r>
        <w:rPr>
          <w:rFonts w:ascii="Times New Roman" w:hAnsi="Times New Roman"/>
          <w:sz w:val="20"/>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Times New Roman" w:hAnsi="Times New Roman"/>
          <w:sz w:val="20"/>
          <w:u w:val="single"/>
        </w:rPr>
        <w:t>successor</w:t>
      </w:r>
      <w:r>
        <w:rPr>
          <w:rFonts w:ascii="Times New Roman" w:hAnsi="Times New Roman"/>
          <w:sz w:val="20"/>
        </w:rPr>
        <w:t xml:space="preserve">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or, in the case of employee benefits or severance, to a beneficiary designated in writing. Any other attempted assignment, transfer, conveyance or other disposition of Executives right to compensation or other benefits will be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All notices, requests, demands and other communications called for under this Agreement shall be in writing and shall be delivered personally by hand or by courier, mailed by United States first-class mail, postage prepaid, at the address indicated for such Party on the signature page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at such other address as such Party may designate by ten (10) days advance written notice to the other Parties hereto. All such notices and other communications shall be deemed given upon personal delivery, three (3) days after the date of mailing. A copy of any notice to Executive (which shall not constitute notice) shall also be provided to her counsel: Mintz, Levin, Cohn, Ferrs, Glovsky &amp; Popeo, P.C., 919 Third Avenue, New York, New York, 10022, Attention: David R. Lagasse.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In the event that any provision hereof becomes or is declared by a court of competent jurisdiction to be illegal, unenforceable or void, this Agreement will continue in full force and effect without said provision.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Integration</w:t>
      </w:r>
      <w:r>
        <w:rPr>
          <w:rFonts w:ascii="Times New Roman" w:hAnsi="Times New Roman"/>
          <w:sz w:val="20"/>
        </w:rPr>
        <w:t xml:space="preserve">. This Agreement, together with the Companys 2019 Equity Incentive Plan, Award Agreement,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Tax Withholding</w:t>
      </w:r>
      <w:r>
        <w:rPr>
          <w:rFonts w:ascii="Times New Roman" w:hAnsi="Times New Roman"/>
          <w:sz w:val="20"/>
        </w:rPr>
        <w:t xml:space="preserve">. All payments made pursuant to this Agreement will be subject to withholding of applicable taxes.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Waiver</w:t>
      </w:r>
      <w:r>
        <w:rPr>
          <w:rFonts w:ascii="Times New Roman" w:hAnsi="Times New Roman"/>
          <w:sz w:val="20"/>
        </w:rPr>
        <w:t xml:space="preserve">.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Governing Law</w:t>
      </w:r>
      <w:r>
        <w:rPr>
          <w:rFonts w:ascii="Times New Roman" w:hAnsi="Times New Roman"/>
          <w:sz w:val="20"/>
        </w:rPr>
        <w:t xml:space="preserve">. This Agreement will be governed by the laws of the Commonwealth of Massachusetts (with the exception of its conflict of laws provisions).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Acknowledgment</w:t>
      </w:r>
      <w:r>
        <w:rPr>
          <w:rFonts w:ascii="Times New Roman" w:hAnsi="Times New Roman"/>
          <w:sz w:val="20"/>
        </w:rPr>
        <w:t xml:space="preserve">.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Counterparts</w:t>
      </w:r>
      <w:r>
        <w:rPr>
          <w:rFonts w:ascii="Times New Roman" w:hAnsi="Times New Roman"/>
          <w:sz w:val="20"/>
        </w:rPr>
        <w:t xml:space="preserve">. This Agreement may be executed in multiple counterparts, each of which shall be deemed to be an original, and all such counterparts shall constitute but one instrument.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Effect of Headings</w:t>
      </w:r>
      <w:r>
        <w:rPr>
          <w:rFonts w:ascii="Times New Roman" w:hAnsi="Times New Roman"/>
          <w:sz w:val="20"/>
        </w:rPr>
        <w:t xml:space="preserve">. The section and subsection headings contained herein are for convenience only and shall not affect the construction hereof.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Construction of Agreement</w:t>
      </w:r>
      <w:r>
        <w:rPr>
          <w:rFonts w:ascii="Times New Roman" w:hAnsi="Times New Roman"/>
          <w:sz w:val="20"/>
        </w:rPr>
        <w:t xml:space="preserve">. This Agreement has been negotiated by the respective Parties, and the language shall not be construed for or against either Party.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Parachute Payments</w:t>
      </w:r>
      <w:r>
        <w:rPr>
          <w:rFonts w:ascii="Times New Roman" w:hAnsi="Times New Roman"/>
          <w:sz w:val="20"/>
        </w:rPr>
        <w:t>. If any payment or benefit Executive would receive from the Company or otherwise in connection with a Change of Control (a </w:t>
      </w:r>
      <w:r>
        <w:rPr>
          <w:rFonts w:ascii="Times New Roman" w:hAnsi="Times New Roman"/>
          <w:sz w:val="20"/>
          <w:u w:val="single"/>
        </w:rPr>
        <w:t>280G Payment</w:t>
      </w:r>
      <w:r>
        <w:rPr>
          <w:rFonts w:ascii="Times New Roman" w:hAnsi="Times New Roman"/>
          <w:sz w:val="20"/>
        </w:rPr>
        <w:t>) would (i) constitute a parachute payment within the meaning of Section 280G of the Code, and (ii) but for this sentence, be subject to the excise tax imposed by Section 4999 of the Code (the </w:t>
      </w:r>
      <w:r>
        <w:rPr>
          <w:rFonts w:ascii="Times New Roman" w:hAnsi="Times New Roman"/>
          <w:sz w:val="20"/>
          <w:u w:val="single"/>
        </w:rPr>
        <w:t>Excise Tax</w:t>
      </w:r>
      <w:r>
        <w:rPr>
          <w:rFonts w:ascii="Times New Roman" w:hAnsi="Times New Roman"/>
          <w:sz w:val="20"/>
        </w:rPr>
        <w:t>), then any such 280G Payment (a </w:t>
      </w:r>
      <w:r>
        <w:rPr>
          <w:rFonts w:ascii="Times New Roman" w:hAnsi="Times New Roman"/>
          <w:sz w:val="20"/>
          <w:u w:val="single"/>
        </w:rPr>
        <w:t>Payment</w:t>
      </w:r>
      <w:r>
        <w:rPr>
          <w:rFonts w:ascii="Times New Roman" w:hAnsi="Times New Roman"/>
          <w:sz w:val="20"/>
        </w:rPr>
        <w:t>) shall be equal to the Reduced Amount. The </w:t>
      </w:r>
      <w:r>
        <w:rPr>
          <w:rFonts w:ascii="Times New Roman" w:hAnsi="Times New Roman"/>
          <w:sz w:val="20"/>
          <w:u w:val="single"/>
        </w:rPr>
        <w:t>Reduced Amount</w:t>
      </w:r>
      <w:r>
        <w:rPr>
          <w:rFonts w:ascii="Times New Roman" w:hAnsi="Times New Roman"/>
          <w:sz w:val="20"/>
        </w:rPr>
        <w:t xml:space="preserve"> shall be either (x) the largest portion of the Payment that would result in no portion of the Payment (after reduction) being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hAnsi="Times New Roman"/>
          <w:sz w:val="20"/>
          <w:u w:val="single"/>
        </w:rPr>
        <w:t>Reduction Method</w:t>
      </w:r>
      <w:r>
        <w:rPr>
          <w:rFonts w:ascii="Times New Roman" w:hAnsi="Times New Roman"/>
          <w:sz w:val="20"/>
        </w:rPr>
        <w:t>) that results in the greatest economic benefit for Executive. If more than one method of reduction will result in the same economic benefit, the items so reduced will be reduced pro rata (the </w:t>
      </w:r>
      <w:r>
        <w:rPr>
          <w:rFonts w:ascii="Times New Roman" w:hAnsi="Times New Roman"/>
          <w:sz w:val="20"/>
          <w:u w:val="single"/>
        </w:rPr>
        <w:t>Pro Rata Reduction Method</w:t>
      </w:r>
      <w:r>
        <w:rPr>
          <w:rFonts w:ascii="Times New Roman" w:hAnsi="Times New Roman"/>
          <w:sz w:val="20"/>
        </w:rPr>
        <w:t xml:space="preserve">).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after consultation with Executive,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(a) Unless Executive and the Company agree to use the accounting firm engaged by the Company for general tax compliance purposes as of the day prior to the effective date of the change of control transaction triggering the Payment, the Company shall engage an independent nationally recognized accounting firm to perform the foregoing calculations. If the accounting firm so engaged by the Company is serving as accountant or auditor for the individual, entity or group effecting the change of control transaction, the Company shall appoint another independent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Executive and the Company no later than 30 days prior to the date on which Executives right to a 280G Payment becomes reasonably likely to occur (if requested at that time by Executive or the Company) or such other time as requested by Executive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(b) If Executive receives a Payment for which the Reduced Amount was determined pursuant to clause (x) of the first paragraph of this Section and the Internal Revenue Service determines thereafter that some portion of the Payment is subject to the Excise Tax, Executive shall promptly return to the Company a sufficient amount of the Payment (after reduction pursuant to clause (x) of the first paragraph of this Section) so that no portion of the remaining Payment is subject to the Excise Tax. For the avoidance of doubt, if the Reduced Amount was determined pursuant to clause (y) in the first paragraph of this Section, Executive shall have no obligation to return any portion of the Payment pursuant to the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(together, the </w:t>
      </w:r>
      <w:r>
        <w:rPr>
          <w:rFonts w:ascii="Times New Roman" w:hAnsi="Times New Roman"/>
          <w:sz w:val="20"/>
          <w:u w:val="single"/>
        </w:rPr>
        <w:t>Deferred Compensation Separation Benefits</w:t>
      </w:r>
      <w:r>
        <w:rPr>
          <w:rFonts w:ascii="Times New Roman" w:hAnsi="Times New Roman"/>
          <w:sz w:val="20"/>
        </w:rPr>
        <w:t xml:space="preserve">) will be paid or otherwise provided until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a separation from service within the meaning of Section 409A. The Executives right to receive any installment payments hereunder shall, for purposes of Section 409A, be treated as a right to receive a series of separate and distinct payments. If the timing of Executives execution of a Release pursuant to Section 9(b) could impact the calendar year in which any payment under this Agreement that is subject to Section 409A will be made, such payment will be made in the later calendar year.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w:t>
      </w:r>
    </w:p>
    <w:p>
      <w:pPr>
        <w:pStyle w:val="TextBody"/>
        <w:bidi w:val="0"/>
        <w:spacing w:before="120" w:after="0"/>
        <w:jc w:val="left"/>
        <w:rPr>
          <w:rFonts w:ascii="Times New Roman" w:hAnsi="Times New Roman"/>
          <w:sz w:val="20"/>
        </w:rPr>
      </w:pPr>
      <w:r>
        <w:rPr>
          <w:rFonts w:ascii="Times New Roman" w:hAnsi="Times New Roman"/>
          <w:sz w:val="20"/>
        </w:rPr>
        <w:t xml:space="preserve">(c) Any amount paid under this Agreement that satisfies the requirements of the short-term deferral rule set forth in Section 1.409A-1(b)(4) of the Treasury Regulations will not constitute Deferred Compensation Separation Benefits for purposes of clause (a) above. </w:t>
      </w:r>
    </w:p>
    <w:p>
      <w:pPr>
        <w:pStyle w:val="TextBody"/>
        <w:bidi w:val="0"/>
        <w:spacing w:before="120" w:after="0"/>
        <w:jc w:val="left"/>
        <w:rPr>
          <w:rFonts w:ascii="Times New Roman" w:hAnsi="Times New Roman"/>
          <w:sz w:val="20"/>
        </w:rPr>
      </w:pPr>
      <w:r>
        <w:rPr>
          <w:rFonts w:ascii="Times New Roman" w:hAnsi="Times New Roman"/>
          <w:sz w:val="20"/>
        </w:rPr>
        <w:t>(d) 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hAnsi="Times New Roman"/>
          <w:sz w:val="20"/>
          <w:u w:val="single"/>
        </w:rPr>
        <w:t>Section 409A Limit</w:t>
      </w:r>
      <w:r>
        <w:rPr>
          <w:rFonts w:ascii="Times New Roman" w:hAnsi="Times New Roman"/>
          <w:sz w:val="20"/>
        </w:rPr>
        <w:t xml:space="preserve"> will mean the lesser of two (2) times: (i) Executives annualized compensation based upon the annual rate of pay paid to Executive during the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(e)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D&amp;O Insurance;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continue to cause Executive to be covered by directors and officers liability insurance to the same extent that such coverage is then maintained for officers or directors of the Company in active service, and any tail policy providing directors and officers liability coverage that covers a period of service in which Executive is or was in active service shall cover Executives employment with the Company for a similar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will continue to indemnify Executive and hold Executive harmless to the fullest extent permitted by applicable law, in accordance with the Bylaws and the Certificate of Incorporation of the Company and pursuant to the terms of an indemnification agreement in substantially the same form as entered into with other officers or directors of the Company and has been provided to the Executive in connect herewith.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is intentionally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executed this Agreement as of the day and year first above written. </w:t>
      </w:r>
    </w:p>
    <w:p>
      <w:pPr>
        <w:pStyle w:val="TextBody"/>
        <w:bidi w:val="0"/>
        <w:spacing w:before="0" w:after="0"/>
        <w:jc w:val="left"/>
        <w:rPr/>
      </w:pPr>
      <w:r>
        <w:rPr/>
        <w:t> </w:t>
      </w:r>
    </w:p>
    <w:tbl>
      <w:tblPr>
        <w:tblW w:w="4700" w:type="dxa"/>
        <w:jc w:val="right"/>
        <w:tblInd w:w="0" w:type="dxa"/>
        <w:tblLayout w:type="fixed"/>
        <w:tblCellMar>
          <w:top w:w="0" w:type="dxa"/>
          <w:left w:w="0" w:type="dxa"/>
          <w:bottom w:w="0" w:type="dxa"/>
          <w:right w:w="0" w:type="dxa"/>
        </w:tblCellMar>
      </w:tblPr>
      <w:tblGrid>
        <w:gridCol w:w="2090"/>
        <w:gridCol w:w="410"/>
        <w:gridCol w:w="2200"/>
      </w:tblGrid>
      <w:tr>
        <w:trPr/>
        <w:tc>
          <w:tcPr>
            <w:tcW w:w="209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bidi w:val="0"/>
              <w:spacing w:before="0" w:after="283"/>
              <w:jc w:val="left"/>
              <w:rPr>
                <w:b/>
              </w:rPr>
            </w:pPr>
            <w:r>
              <w:rPr>
                <w:b/>
              </w:rPr>
              <w:t>COMPANY</w:t>
            </w:r>
          </w:p>
        </w:tc>
      </w:tr>
      <w:tr>
        <w:trPr>
          <w:trHeight w:val="240" w:hRule="atLeast"/>
        </w:trPr>
        <w:tc>
          <w:tcPr>
            <w:tcW w:w="4700"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bidi w:val="0"/>
              <w:spacing w:before="0" w:after="283"/>
              <w:jc w:val="left"/>
              <w:rPr>
                <w:b/>
              </w:rPr>
            </w:pPr>
            <w:r>
              <w:rPr>
                <w:b/>
              </w:rPr>
              <w:t>TECTONIC THERAPEUTIC, INC.</w:t>
            </w:r>
          </w:p>
        </w:tc>
      </w:tr>
      <w:tr>
        <w:trPr>
          <w:trHeight w:val="240" w:hRule="atLeast"/>
        </w:trPr>
        <w:tc>
          <w:tcPr>
            <w:tcW w:w="2090" w:type="dxa"/>
            <w:tcBorders/>
            <w:vAlign w:val="center"/>
          </w:tcPr>
          <w:p>
            <w:pPr>
              <w:pStyle w:val="TableContents"/>
              <w:bidi w:val="0"/>
              <w:spacing w:before="0" w:after="283"/>
              <w:jc w:val="left"/>
              <w:rPr>
                <w:sz w:val="4"/>
                <w:szCs w:val="4"/>
              </w:rPr>
            </w:pPr>
            <w:r>
              <w:rPr>
                <w:sz w:val="4"/>
                <w:szCs w:val="4"/>
              </w:rPr>
            </w:r>
          </w:p>
        </w:tc>
        <w:tc>
          <w:tcPr>
            <w:tcW w:w="2610" w:type="dxa"/>
            <w:gridSpan w:val="2"/>
            <w:tcBorders/>
            <w:vAlign w:val="center"/>
          </w:tcPr>
          <w:p>
            <w:pPr>
              <w:pStyle w:val="TableContents"/>
              <w:bidi w:val="0"/>
              <w:spacing w:before="0" w:after="283"/>
              <w:jc w:val="left"/>
              <w:rPr>
                <w:sz w:val="4"/>
                <w:szCs w:val="4"/>
              </w:rPr>
            </w:pPr>
            <w:r>
              <w:rPr>
                <w:sz w:val="4"/>
                <w:szCs w:val="4"/>
              </w:rPr>
            </w:r>
          </w:p>
        </w:tc>
      </w:tr>
      <w:tr>
        <w:trPr/>
        <w:tc>
          <w:tcPr>
            <w:tcW w:w="2090" w:type="dxa"/>
            <w:tcBorders/>
          </w:tcPr>
          <w:p>
            <w:pPr>
              <w:pStyle w:val="TableContents"/>
              <w:bidi w:val="0"/>
              <w:spacing w:before="0" w:after="283"/>
              <w:jc w:val="left"/>
              <w:rPr/>
            </w:pPr>
            <w:r>
              <w:rPr/>
              <w:t>By:</w:t>
            </w:r>
          </w:p>
        </w:tc>
        <w:tc>
          <w:tcPr>
            <w:tcW w:w="410" w:type="dxa"/>
            <w:tcBorders/>
            <w:vAlign w:val="bottom"/>
          </w:tcPr>
          <w:p>
            <w:pPr>
              <w:pStyle w:val="TableContents"/>
              <w:bidi w:val="0"/>
              <w:spacing w:before="0" w:after="283"/>
              <w:jc w:val="left"/>
              <w:rPr/>
            </w:pPr>
            <w:r>
              <w:rPr/>
              <w:t> </w:t>
            </w:r>
          </w:p>
        </w:tc>
        <w:tc>
          <w:tcPr>
            <w:tcW w:w="2200" w:type="dxa"/>
            <w:tcBorders/>
          </w:tcPr>
          <w:p>
            <w:pPr>
              <w:pStyle w:val="TableContents"/>
              <w:pBdr>
                <w:bottom w:val="single" w:sz="2" w:space="1" w:color="000000"/>
              </w:pBdr>
              <w:bidi w:val="0"/>
              <w:spacing w:before="0" w:after="20"/>
              <w:jc w:val="left"/>
              <w:rPr/>
            </w:pPr>
            <w:r>
              <w:rPr/>
              <w:t>   </w:t>
            </w:r>
          </w:p>
        </w:tc>
      </w:tr>
      <w:tr>
        <w:trPr>
          <w:trHeight w:val="240" w:hRule="atLeast"/>
        </w:trPr>
        <w:tc>
          <w:tcPr>
            <w:tcW w:w="4700"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bidi w:val="0"/>
              <w:spacing w:before="0" w:after="283"/>
              <w:jc w:val="left"/>
              <w:rPr/>
            </w:pPr>
            <w:r>
              <w:rPr>
                <w:u w:val="single"/>
              </w:rPr>
              <w:t>Address</w:t>
            </w:r>
            <w:r>
              <w:rPr/>
              <w:t>:</w:t>
            </w:r>
          </w:p>
        </w:tc>
      </w:tr>
      <w:tr>
        <w:trPr/>
        <w:tc>
          <w:tcPr>
            <w:tcW w:w="4700" w:type="dxa"/>
            <w:gridSpan w:val="3"/>
            <w:tcBorders/>
          </w:tcPr>
          <w:p>
            <w:pPr>
              <w:pStyle w:val="TableContents"/>
              <w:pBdr>
                <w:bottom w:val="single" w:sz="2" w:space="1" w:color="000000"/>
              </w:pBdr>
              <w:bidi w:val="0"/>
              <w:spacing w:before="0" w:after="20"/>
              <w:jc w:val="left"/>
              <w:rPr/>
            </w:pPr>
            <w:r>
              <w:rPr/>
              <w:t>   </w:t>
            </w:r>
          </w:p>
        </w:tc>
      </w:tr>
      <w:tr>
        <w:trPr/>
        <w:tc>
          <w:tcPr>
            <w:tcW w:w="4700" w:type="dxa"/>
            <w:gridSpan w:val="3"/>
            <w:tcBorders/>
          </w:tcPr>
          <w:p>
            <w:pPr>
              <w:pStyle w:val="TableContents"/>
              <w:pBdr>
                <w:bottom w:val="single" w:sz="2" w:space="1" w:color="000000"/>
              </w:pBdr>
              <w:bidi w:val="0"/>
              <w:spacing w:before="0" w:after="20"/>
              <w:jc w:val="left"/>
              <w:rPr/>
            </w:pPr>
            <w:r>
              <w:rPr/>
              <w:t>   </w:t>
            </w:r>
          </w:p>
        </w:tc>
      </w:tr>
      <w:tr>
        <w:trPr/>
        <w:tc>
          <w:tcPr>
            <w:tcW w:w="4700" w:type="dxa"/>
            <w:gridSpan w:val="3"/>
            <w:tcBorders/>
          </w:tcPr>
          <w:p>
            <w:pPr>
              <w:pStyle w:val="TableContents"/>
              <w:bidi w:val="0"/>
              <w:spacing w:before="0" w:after="283"/>
              <w:jc w:val="left"/>
              <w:rPr/>
            </w:pPr>
            <w:r>
              <w:rPr/>
              <w:t>Attn: ______________________________________</w:t>
            </w:r>
          </w:p>
        </w:tc>
      </w:tr>
      <w:tr>
        <w:trPr/>
        <w:tc>
          <w:tcPr>
            <w:tcW w:w="4700" w:type="dxa"/>
            <w:gridSpan w:val="3"/>
            <w:tcBorders/>
          </w:tcPr>
          <w:p>
            <w:pPr>
              <w:pStyle w:val="TableContents"/>
              <w:bidi w:val="0"/>
              <w:spacing w:before="0" w:after="283"/>
              <w:jc w:val="left"/>
              <w:rPr/>
            </w:pPr>
            <w:r>
              <w:rPr/>
              <w:t>Email: _____________________________________</w:t>
            </w:r>
          </w:p>
        </w:tc>
      </w:tr>
      <w:tr>
        <w:trPr>
          <w:trHeight w:val="240" w:hRule="atLeast"/>
        </w:trPr>
        <w:tc>
          <w:tcPr>
            <w:tcW w:w="4700"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bidi w:val="0"/>
              <w:spacing w:before="0" w:after="283"/>
              <w:jc w:val="left"/>
              <w:rPr>
                <w:b/>
              </w:rPr>
            </w:pPr>
            <w:r>
              <w:rPr>
                <w:b/>
              </w:rPr>
              <w:t>EXECUTIVE</w:t>
            </w:r>
          </w:p>
        </w:tc>
      </w:tr>
      <w:tr>
        <w:trPr>
          <w:trHeight w:val="240" w:hRule="atLeast"/>
        </w:trPr>
        <w:tc>
          <w:tcPr>
            <w:tcW w:w="4700"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bidi w:val="0"/>
              <w:spacing w:before="0" w:after="283"/>
              <w:jc w:val="left"/>
              <w:rPr>
                <w:b/>
              </w:rPr>
            </w:pPr>
            <w:r>
              <w:rPr>
                <w:b/>
              </w:rPr>
              <w:t>ALISE REICIN</w:t>
            </w:r>
          </w:p>
        </w:tc>
      </w:tr>
      <w:tr>
        <w:trPr>
          <w:trHeight w:val="240" w:hRule="atLeast"/>
        </w:trPr>
        <w:tc>
          <w:tcPr>
            <w:tcW w:w="4700"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pBdr>
                <w:bottom w:val="single" w:sz="2" w:space="1" w:color="000000"/>
              </w:pBdr>
              <w:bidi w:val="0"/>
              <w:spacing w:before="0" w:after="20"/>
              <w:jc w:val="left"/>
              <w:rPr/>
            </w:pPr>
            <w:r>
              <w:rPr/>
              <w:t>   </w:t>
            </w:r>
          </w:p>
        </w:tc>
      </w:tr>
      <w:tr>
        <w:trPr/>
        <w:tc>
          <w:tcPr>
            <w:tcW w:w="4700" w:type="dxa"/>
            <w:gridSpan w:val="3"/>
            <w:tcBorders/>
          </w:tcPr>
          <w:p>
            <w:pPr>
              <w:pStyle w:val="TableContents"/>
              <w:bidi w:val="0"/>
              <w:spacing w:before="0" w:after="283"/>
              <w:jc w:val="left"/>
              <w:rPr/>
            </w:pPr>
            <w:r>
              <w:rPr/>
              <w:t>Alice Reicin</w:t>
            </w:r>
          </w:p>
        </w:tc>
      </w:tr>
      <w:tr>
        <w:trPr>
          <w:trHeight w:val="240" w:hRule="atLeast"/>
        </w:trPr>
        <w:tc>
          <w:tcPr>
            <w:tcW w:w="4700" w:type="dxa"/>
            <w:gridSpan w:val="3"/>
            <w:tcBorders/>
            <w:vAlign w:val="center"/>
          </w:tcPr>
          <w:p>
            <w:pPr>
              <w:pStyle w:val="TableContents"/>
              <w:bidi w:val="0"/>
              <w:spacing w:before="0" w:after="283"/>
              <w:jc w:val="left"/>
              <w:rPr>
                <w:sz w:val="4"/>
                <w:szCs w:val="4"/>
              </w:rPr>
            </w:pPr>
            <w:r>
              <w:rPr>
                <w:sz w:val="4"/>
                <w:szCs w:val="4"/>
              </w:rPr>
            </w:r>
          </w:p>
        </w:tc>
      </w:tr>
      <w:tr>
        <w:trPr/>
        <w:tc>
          <w:tcPr>
            <w:tcW w:w="4700" w:type="dxa"/>
            <w:gridSpan w:val="3"/>
            <w:tcBorders/>
          </w:tcPr>
          <w:p>
            <w:pPr>
              <w:pStyle w:val="TableContents"/>
              <w:bidi w:val="0"/>
              <w:spacing w:before="0" w:after="283"/>
              <w:jc w:val="left"/>
              <w:rPr/>
            </w:pPr>
            <w:r>
              <w:rPr>
                <w:u w:val="single"/>
              </w:rPr>
              <w:t>Address</w:t>
            </w:r>
            <w:r>
              <w:rPr/>
              <w:t>:</w:t>
            </w:r>
          </w:p>
        </w:tc>
      </w:tr>
      <w:tr>
        <w:trPr/>
        <w:tc>
          <w:tcPr>
            <w:tcW w:w="4700" w:type="dxa"/>
            <w:gridSpan w:val="3"/>
            <w:tcBorders/>
          </w:tcPr>
          <w:p>
            <w:pPr>
              <w:pStyle w:val="TableContents"/>
              <w:pBdr>
                <w:bottom w:val="single" w:sz="2" w:space="1" w:color="000000"/>
              </w:pBdr>
              <w:bidi w:val="0"/>
              <w:spacing w:before="0" w:after="20"/>
              <w:jc w:val="left"/>
              <w:rPr/>
            </w:pPr>
            <w:r>
              <w:rPr/>
              <w:t> </w:t>
            </w:r>
          </w:p>
        </w:tc>
      </w:tr>
      <w:tr>
        <w:trPr/>
        <w:tc>
          <w:tcPr>
            <w:tcW w:w="4700" w:type="dxa"/>
            <w:gridSpan w:val="3"/>
            <w:tcBorders/>
          </w:tcPr>
          <w:p>
            <w:pPr>
              <w:pStyle w:val="TableContents"/>
              <w:pBdr>
                <w:bottom w:val="single" w:sz="2" w:space="1" w:color="000000"/>
              </w:pBdr>
              <w:bidi w:val="0"/>
              <w:spacing w:before="0" w:after="20"/>
              <w:jc w:val="left"/>
              <w:rPr/>
            </w:pPr>
            <w:r>
              <w:rPr/>
              <w:t>   </w:t>
            </w:r>
          </w:p>
        </w:tc>
      </w:tr>
      <w:tr>
        <w:trPr/>
        <w:tc>
          <w:tcPr>
            <w:tcW w:w="4700" w:type="dxa"/>
            <w:gridSpan w:val="3"/>
            <w:tcBorders/>
          </w:tcPr>
          <w:p>
            <w:pPr>
              <w:pStyle w:val="TableContents"/>
              <w:pBdr>
                <w:bottom w:val="single" w:sz="2" w:space="1" w:color="000000"/>
              </w:pBdr>
              <w:bidi w:val="0"/>
              <w:spacing w:before="0" w:after="20"/>
              <w:jc w:val="left"/>
              <w:rPr/>
            </w:pPr>
            <w:r>
              <w:rPr/>
              <w:t> </w:t>
            </w:r>
          </w:p>
        </w:tc>
      </w:tr>
      <w:tr>
        <w:trPr/>
        <w:tc>
          <w:tcPr>
            <w:tcW w:w="4700" w:type="dxa"/>
            <w:gridSpan w:val="3"/>
            <w:tcBorders/>
          </w:tcPr>
          <w:p>
            <w:pPr>
              <w:pStyle w:val="TableContents"/>
              <w:bidi w:val="0"/>
              <w:spacing w:before="0" w:after="283"/>
              <w:jc w:val="left"/>
              <w:rPr/>
            </w:pPr>
            <w:r>
              <w:rPr/>
              <w:t>Email: _____________________________________</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Employee Confidential Information and Inventions Assignment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347" w:name="d770053dex1043.htm"/>
      <w:bookmarkStart w:id="348" w:name="ksd770053dex1043"/>
      <w:bookmarkEnd w:id="347"/>
      <w:bookmarkEnd w:id="348"/>
      <w:r>
        <w:rPr>
          <w:rFonts w:ascii="Times New Roman" w:hAnsi="Times New Roman"/>
          <w:b/>
          <w:sz w:val="20"/>
        </w:rPr>
        <w:t xml:space="preserve">Exhibit 10.43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552575" cy="447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78"/>
                    <a:stretch>
                      <a:fillRect/>
                    </a:stretch>
                  </pic:blipFill>
                  <pic:spPr bwMode="auto">
                    <a:xfrm>
                      <a:off x="0" y="0"/>
                      <a:ext cx="1552575" cy="4476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8"/>
        <w:gridCol w:w="122"/>
        <w:gridCol w:w="9235"/>
      </w:tblGrid>
      <w:tr>
        <w:trPr/>
        <w:tc>
          <w:tcPr>
            <w:tcW w:w="8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235" w:type="dxa"/>
            <w:tcBorders/>
            <w:vAlign w:val="center"/>
          </w:tcPr>
          <w:p>
            <w:pPr>
              <w:pStyle w:val="TableContents"/>
              <w:bidi w:val="0"/>
              <w:spacing w:before="0" w:after="283"/>
              <w:jc w:val="left"/>
              <w:rPr>
                <w:sz w:val="4"/>
                <w:szCs w:val="4"/>
              </w:rPr>
            </w:pPr>
            <w:r>
              <w:rPr>
                <w:sz w:val="4"/>
                <w:szCs w:val="4"/>
              </w:rPr>
            </w:r>
          </w:p>
        </w:tc>
      </w:tr>
      <w:tr>
        <w:trPr/>
        <w:tc>
          <w:tcPr>
            <w:tcW w:w="848" w:type="dxa"/>
            <w:tcBorders/>
          </w:tcPr>
          <w:p>
            <w:pPr>
              <w:pStyle w:val="TableContents"/>
              <w:bidi w:val="0"/>
              <w:spacing w:before="0" w:after="283"/>
              <w:jc w:val="left"/>
              <w:rPr/>
            </w:pPr>
            <w:r>
              <w:rPr/>
              <w:t>Date:</w:t>
            </w:r>
          </w:p>
        </w:tc>
        <w:tc>
          <w:tcPr>
            <w:tcW w:w="122" w:type="dxa"/>
            <w:tcBorders/>
            <w:vAlign w:val="bottom"/>
          </w:tcPr>
          <w:p>
            <w:pPr>
              <w:pStyle w:val="TableContents"/>
              <w:bidi w:val="0"/>
              <w:spacing w:before="0" w:after="283"/>
              <w:jc w:val="left"/>
              <w:rPr/>
            </w:pPr>
            <w:r>
              <w:rPr/>
              <w:t>  </w:t>
            </w:r>
          </w:p>
        </w:tc>
        <w:tc>
          <w:tcPr>
            <w:tcW w:w="9235" w:type="dxa"/>
            <w:tcBorders/>
          </w:tcPr>
          <w:p>
            <w:pPr>
              <w:pStyle w:val="TableContents"/>
              <w:bidi w:val="0"/>
              <w:spacing w:before="0" w:after="283"/>
              <w:jc w:val="left"/>
              <w:rPr/>
            </w:pPr>
            <w:r>
              <w:rPr/>
              <w:t>June 16, 2021</w:t>
            </w:r>
          </w:p>
        </w:tc>
      </w:tr>
      <w:tr>
        <w:trPr>
          <w:trHeight w:val="120" w:hRule="atLeast"/>
        </w:trPr>
        <w:tc>
          <w:tcPr>
            <w:tcW w:w="848" w:type="dxa"/>
            <w:tcBorders/>
            <w:vAlign w:val="center"/>
          </w:tcPr>
          <w:p>
            <w:pPr>
              <w:pStyle w:val="TableContents"/>
              <w:bidi w:val="0"/>
              <w:spacing w:before="0" w:after="283"/>
              <w:jc w:val="left"/>
              <w:rPr>
                <w:sz w:val="4"/>
                <w:szCs w:val="4"/>
              </w:rPr>
            </w:pPr>
            <w:r>
              <w:rPr>
                <w:sz w:val="4"/>
                <w:szCs w:val="4"/>
              </w:rPr>
            </w:r>
          </w:p>
        </w:tc>
        <w:tc>
          <w:tcPr>
            <w:tcW w:w="9357" w:type="dxa"/>
            <w:gridSpan w:val="2"/>
            <w:tcBorders/>
            <w:vAlign w:val="center"/>
          </w:tcPr>
          <w:p>
            <w:pPr>
              <w:pStyle w:val="TableContents"/>
              <w:bidi w:val="0"/>
              <w:spacing w:before="0" w:after="283"/>
              <w:jc w:val="left"/>
              <w:rPr>
                <w:sz w:val="4"/>
                <w:szCs w:val="4"/>
              </w:rPr>
            </w:pPr>
            <w:r>
              <w:rPr>
                <w:sz w:val="4"/>
                <w:szCs w:val="4"/>
              </w:rPr>
            </w:r>
          </w:p>
        </w:tc>
      </w:tr>
      <w:tr>
        <w:trPr/>
        <w:tc>
          <w:tcPr>
            <w:tcW w:w="848"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9235" w:type="dxa"/>
            <w:tcBorders/>
          </w:tcPr>
          <w:p>
            <w:pPr>
              <w:pStyle w:val="TableContents"/>
              <w:bidi w:val="0"/>
              <w:spacing w:before="0" w:after="283"/>
              <w:jc w:val="left"/>
              <w:rPr/>
            </w:pPr>
            <w:r>
              <w:rPr/>
              <w:t>Marcie Ruddy</w:t>
            </w:r>
          </w:p>
        </w:tc>
      </w:tr>
      <w:tr>
        <w:trPr/>
        <w:tc>
          <w:tcPr>
            <w:tcW w:w="848" w:type="dxa"/>
            <w:tcBorders/>
          </w:tcPr>
          <w:p>
            <w:pPr>
              <w:pStyle w:val="TableContents"/>
              <w:bidi w:val="0"/>
              <w:spacing w:before="0" w:after="283"/>
              <w:jc w:val="left"/>
              <w:rPr/>
            </w:pPr>
            <w:r>
              <w:rPr/>
              <w:t>Address:</w:t>
            </w:r>
          </w:p>
        </w:tc>
        <w:tc>
          <w:tcPr>
            <w:tcW w:w="122" w:type="dxa"/>
            <w:tcBorders/>
            <w:vAlign w:val="bottom"/>
          </w:tcPr>
          <w:p>
            <w:pPr>
              <w:pStyle w:val="TableContents"/>
              <w:bidi w:val="0"/>
              <w:spacing w:before="0" w:after="283"/>
              <w:jc w:val="left"/>
              <w:rPr/>
            </w:pPr>
            <w:r>
              <w:rPr/>
              <w:t>  </w:t>
            </w:r>
          </w:p>
        </w:tc>
        <w:tc>
          <w:tcPr>
            <w:tcW w:w="923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Marcie, </w:t>
      </w:r>
    </w:p>
    <w:p>
      <w:pPr>
        <w:pStyle w:val="TextBody"/>
        <w:bidi w:val="0"/>
        <w:spacing w:before="240" w:after="0"/>
        <w:jc w:val="left"/>
        <w:rPr>
          <w:rFonts w:ascii="Times New Roman" w:hAnsi="Times New Roman"/>
          <w:sz w:val="20"/>
        </w:rPr>
      </w:pPr>
      <w:r>
        <w:rPr>
          <w:rFonts w:ascii="Times New Roman" w:hAnsi="Times New Roman"/>
          <w:sz w:val="20"/>
        </w:rPr>
        <w:t xml:space="preserve">It is with great pleasure that I am inviting you to join our team at Tectonic Therapeutic, Inc. (the Company). Your position will be that of </w:t>
      </w:r>
      <w:r>
        <w:rPr>
          <w:rFonts w:ascii="Times New Roman" w:hAnsi="Times New Roman"/>
          <w:b/>
          <w:sz w:val="20"/>
        </w:rPr>
        <w:t xml:space="preserve">Chief Medical Officer, </w:t>
      </w:r>
      <w:r>
        <w:rPr>
          <w:rFonts w:ascii="Times New Roman" w:hAnsi="Times New Roman"/>
          <w:sz w:val="20"/>
        </w:rPr>
        <w:t xml:space="preserve">reporting to me, the President and Chief Executive Officer. </w:t>
      </w:r>
    </w:p>
    <w:p>
      <w:pPr>
        <w:pStyle w:val="TextBody"/>
        <w:bidi w:val="0"/>
        <w:spacing w:before="240" w:after="0"/>
        <w:jc w:val="left"/>
        <w:rPr>
          <w:rFonts w:ascii="Times New Roman" w:hAnsi="Times New Roman"/>
          <w:sz w:val="20"/>
        </w:rPr>
      </w:pPr>
      <w:r>
        <w:rPr>
          <w:rFonts w:ascii="Times New Roman" w:hAnsi="Times New Roman"/>
          <w:b/>
          <w:i/>
          <w:sz w:val="20"/>
        </w:rPr>
        <w:t>Effective Date:</w:t>
      </w:r>
      <w:r>
        <w:rPr>
          <w:rFonts w:ascii="Times New Roman" w:hAnsi="Times New Roman"/>
          <w:sz w:val="20"/>
        </w:rPr>
        <w:t xml:space="preserve"> The effective date of employment as an exempt, regular, full-time employee will be </w:t>
      </w:r>
      <w:r>
        <w:rPr>
          <w:rFonts w:ascii="Times New Roman" w:hAnsi="Times New Roman"/>
          <w:b/>
          <w:sz w:val="20"/>
        </w:rPr>
        <w:t>on, or at your earliest convenience before September 1st, 2021.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Compensation:</w:t>
      </w:r>
      <w:r>
        <w:rPr>
          <w:rFonts w:ascii="Times New Roman" w:hAnsi="Times New Roman"/>
          <w:sz w:val="20"/>
        </w:rPr>
        <w:t xml:space="preserve"> Your annual base salary shall be four hundred and twenty five thousand dollars (</w:t>
      </w:r>
      <w:r>
        <w:rPr>
          <w:rFonts w:ascii="Times New Roman" w:hAnsi="Times New Roman"/>
          <w:b/>
          <w:sz w:val="20"/>
        </w:rPr>
        <w:t>$425,000</w:t>
      </w:r>
      <w:r>
        <w:rPr>
          <w:rFonts w:ascii="Times New Roman" w:hAnsi="Times New Roman"/>
          <w:sz w:val="20"/>
        </w:rPr>
        <w:t xml:space="preserve">) paid bi-monthly at a rate of </w:t>
      </w:r>
      <w:r>
        <w:rPr>
          <w:rFonts w:ascii="Times New Roman" w:hAnsi="Times New Roman"/>
          <w:b/>
          <w:sz w:val="20"/>
        </w:rPr>
        <w:t>$17,708.33</w:t>
      </w:r>
      <w:r>
        <w:rPr>
          <w:rFonts w:ascii="Times New Roman" w:hAnsi="Times New Roman"/>
          <w:sz w:val="20"/>
        </w:rPr>
        <w:t xml:space="preserve"> per pay period, less payroll deductions and withholdings, and paid in accordance with the Companys standard payroll practices. </w:t>
      </w:r>
    </w:p>
    <w:p>
      <w:pPr>
        <w:pStyle w:val="TextBody"/>
        <w:bidi w:val="0"/>
        <w:spacing w:before="240" w:after="0"/>
        <w:jc w:val="left"/>
        <w:rPr>
          <w:rFonts w:ascii="Times New Roman" w:hAnsi="Times New Roman"/>
          <w:sz w:val="20"/>
        </w:rPr>
      </w:pPr>
      <w:r>
        <w:rPr>
          <w:rFonts w:ascii="Times New Roman" w:hAnsi="Times New Roman"/>
          <w:b/>
          <w:i/>
          <w:sz w:val="20"/>
        </w:rPr>
        <w:t>Equity Participation:</w:t>
      </w:r>
      <w:r>
        <w:rPr>
          <w:rFonts w:ascii="Times New Roman" w:hAnsi="Times New Roman"/>
          <w:sz w:val="20"/>
        </w:rPr>
        <w:t xml:space="preserve"> Subject to approval by the Companys Board of Directors (the Board), the Company anticipates granting you an option to purchase </w:t>
      </w:r>
      <w:r>
        <w:rPr>
          <w:rFonts w:ascii="Times New Roman" w:hAnsi="Times New Roman"/>
          <w:b/>
          <w:sz w:val="20"/>
        </w:rPr>
        <w:t>142,233</w:t>
      </w:r>
      <w:r>
        <w:rPr>
          <w:rFonts w:ascii="Times New Roman" w:hAnsi="Times New Roman"/>
          <w:sz w:val="20"/>
        </w:rPr>
        <w:t xml:space="preserve"> shares of the Companys common stock, subject to the Boards discretion, at a price not less than the fair market value of such shares as determined by the Board on the date of grant. Such anticipated shares or option will be governed by the terms and conditions of the Companys 2019 Equity Incentive Plan (the Plan) and the applicable grant agreement, and will include the following vesting schedule: 25% of the total number of shares will vest on the first anniversary of your vesting commencement date and an additional 1/48th will vest on the last day of each month thereafter, in each instance subject to your Continuous Service (as defined in the Plan). The vesting of such options shall accelerate under the following circumstances: in the event of 1) a Change in Control (as defined in the Plan) and (2) provided that within 12 months after such Change in Control, either (x) your Continuous Service is involuntarily terminated without Cause (as defined in the attached Agreement to Pay Severance) or (y) you resign for Good Reason (as defined in the attached Agreement to Pay Severance), 100% of the unvested shares shall be deemed fully vested as of the date of termination. TYPO </w:t>
      </w:r>
    </w:p>
    <w:p>
      <w:pPr>
        <w:pStyle w:val="TextBody"/>
        <w:bidi w:val="0"/>
        <w:spacing w:before="240" w:after="0"/>
        <w:jc w:val="left"/>
        <w:rPr>
          <w:rFonts w:ascii="Times New Roman" w:hAnsi="Times New Roman"/>
          <w:sz w:val="20"/>
        </w:rPr>
      </w:pPr>
      <w:r>
        <w:rPr>
          <w:rFonts w:ascii="Times New Roman" w:hAnsi="Times New Roman"/>
          <w:b/>
          <w:i/>
          <w:sz w:val="20"/>
        </w:rPr>
        <w:t>Bonus Compensation:</w:t>
      </w:r>
      <w:r>
        <w:rPr>
          <w:rFonts w:ascii="Times New Roman" w:hAnsi="Times New Roman"/>
          <w:sz w:val="20"/>
        </w:rPr>
        <w:t xml:space="preserve"> In addition to your salary and benefits, you will be eligible to participate in the Company bonus program. This program may result in a discretionary cash bonus of up to thirty five percent (</w:t>
      </w:r>
      <w:r>
        <w:rPr>
          <w:rFonts w:ascii="Times New Roman" w:hAnsi="Times New Roman"/>
          <w:b/>
          <w:sz w:val="20"/>
        </w:rPr>
        <w:t>35%</w:t>
      </w:r>
      <w:r>
        <w:rPr>
          <w:rFonts w:ascii="Times New Roman" w:hAnsi="Times New Roman"/>
          <w:sz w:val="20"/>
        </w:rPr>
        <w:t xml:space="preserve">) of your annual base salary depending on your and the Companys achievements of goals and objectives, as well as overall business conditions, subject to the discretion of the Board. For those hired within the plan year, your cash bonus payment will be pro-rated based on your hire date. The Company will pay you this bonus, if any, by no later than March 15th of the following calendar year. To be eligible for any type of payment under the program, you must be actively employed by the Company at the time the payment is made. </w:t>
      </w:r>
    </w:p>
    <w:p>
      <w:pPr>
        <w:pStyle w:val="TextBody"/>
        <w:bidi w:val="0"/>
        <w:spacing w:before="240" w:after="0"/>
        <w:jc w:val="left"/>
        <w:rPr>
          <w:rFonts w:ascii="Times New Roman" w:hAnsi="Times New Roman"/>
          <w:sz w:val="20"/>
        </w:rPr>
      </w:pPr>
      <w:r>
        <w:rPr>
          <w:rFonts w:ascii="Times New Roman" w:hAnsi="Times New Roman"/>
          <w:b/>
          <w:i/>
          <w:sz w:val="20"/>
        </w:rPr>
        <w:t>Sign-on Bonus:</w:t>
      </w:r>
      <w:r>
        <w:rPr>
          <w:rFonts w:ascii="Times New Roman" w:hAnsi="Times New Roman"/>
          <w:sz w:val="20"/>
        </w:rPr>
        <w:t xml:space="preserve"> The Company agrees to pay you a one-time Sign-on Bonus of fifty thousand dollars (</w:t>
      </w:r>
      <w:r>
        <w:rPr>
          <w:rFonts w:ascii="Times New Roman" w:hAnsi="Times New Roman"/>
          <w:b/>
          <w:sz w:val="20"/>
        </w:rPr>
        <w:t>$75,000</w:t>
      </w:r>
      <w:r>
        <w:rPr>
          <w:rFonts w:ascii="Times New Roman" w:hAnsi="Times New Roman"/>
          <w:sz w:val="20"/>
        </w:rPr>
        <w:t xml:space="preserve">). You agree that in the event your employment with the Company terminates either voluntarily (other than for Good Reason) or for Cause, during the first year following your effective date of hire, 100% of all funds paid to you as Sign-on Bonus will be immediately repayable to the Company. The Company reserves the right to hold final pay in lieu of final repayment of the amount due. Repayment must be made on or before the last day of employment with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Time Off:</w:t>
      </w:r>
      <w:r>
        <w:rPr>
          <w:rFonts w:ascii="Times New Roman" w:hAnsi="Times New Roman"/>
          <w:sz w:val="20"/>
        </w:rPr>
        <w:t xml:space="preserve"> In addition to 11 Company paid holidays, you will receive a total of 15 days of Earned Time Off (vacation and personal) each year which is earned </w:t>
      </w:r>
      <w:r>
        <w:rPr>
          <w:rFonts w:ascii="Times New Roman" w:hAnsi="Times New Roman"/>
          <w:i/>
          <w:sz w:val="20"/>
        </w:rPr>
        <w:t>pro rata</w:t>
      </w:r>
      <w:r>
        <w:rPr>
          <w:rFonts w:ascii="Times New Roman" w:hAnsi="Times New Roman"/>
          <w:sz w:val="20"/>
        </w:rPr>
        <w:t xml:space="preserve"> on a bi-monthly basis. Additionally, full-time employees are eligible for 8 days of paid sick time. </w:t>
      </w:r>
    </w:p>
    <w:p>
      <w:pPr>
        <w:pStyle w:val="TextBody"/>
        <w:bidi w:val="0"/>
        <w:spacing w:before="240" w:after="0"/>
        <w:jc w:val="left"/>
        <w:rPr>
          <w:rFonts w:ascii="Times New Roman" w:hAnsi="Times New Roman"/>
          <w:sz w:val="20"/>
        </w:rPr>
      </w:pPr>
      <w:r>
        <w:rPr>
          <w:rFonts w:ascii="Times New Roman" w:hAnsi="Times New Roman"/>
          <w:b/>
          <w:i/>
          <w:sz w:val="20"/>
        </w:rPr>
        <w:t>Benefits:</w:t>
      </w:r>
      <w:r>
        <w:rPr>
          <w:rFonts w:ascii="Times New Roman" w:hAnsi="Times New Roman"/>
          <w:sz w:val="20"/>
        </w:rPr>
        <w:t xml:space="preserve"> You will be eligible to participate in the Companys forthcoming benefit programs including medical and dental insurance, disability plans, and other employee benefit programs available. The Company reserves the right to change or revise its compensation, benefits and benefit programs from time to time in its discretion without prior notice. </w:t>
      </w:r>
    </w:p>
    <w:p>
      <w:pPr>
        <w:pStyle w:val="TextBody"/>
        <w:bidi w:val="0"/>
        <w:spacing w:before="240" w:after="0"/>
        <w:jc w:val="left"/>
        <w:rPr>
          <w:rFonts w:ascii="Times New Roman" w:hAnsi="Times New Roman"/>
          <w:sz w:val="20"/>
        </w:rPr>
      </w:pPr>
      <w:r>
        <w:rPr>
          <w:rFonts w:ascii="Times New Roman" w:hAnsi="Times New Roman"/>
          <w:b/>
          <w:i/>
          <w:sz w:val="20"/>
        </w:rPr>
        <w:t>Employment At-Will:</w:t>
      </w:r>
      <w:r>
        <w:rPr>
          <w:rFonts w:ascii="Times New Roman" w:hAnsi="Times New Roman"/>
          <w:sz w:val="20"/>
        </w:rPr>
        <w:t xml:space="preserve"> Your employment will be at-will, meaning that you are not being offered employment for a definite period and that either you or the Company may terminate the employment relationship at any time for any reason. Your employment at-will status can only be modified in a written agreement signed by you and by an officer of the Company. </w:t>
      </w:r>
    </w:p>
    <w:p>
      <w:pPr>
        <w:pStyle w:val="TextBody"/>
        <w:bidi w:val="0"/>
        <w:spacing w:before="240" w:after="0"/>
        <w:jc w:val="left"/>
        <w:rPr>
          <w:rFonts w:ascii="Times New Roman" w:hAnsi="Times New Roman"/>
          <w:sz w:val="20"/>
        </w:rPr>
      </w:pPr>
      <w:r>
        <w:rPr>
          <w:rFonts w:ascii="Times New Roman" w:hAnsi="Times New Roman"/>
          <w:b/>
          <w:sz w:val="20"/>
        </w:rPr>
        <w:t>Eligibility for Severance:</w:t>
      </w:r>
      <w:r>
        <w:rPr>
          <w:rFonts w:ascii="Times New Roman" w:hAnsi="Times New Roman"/>
          <w:sz w:val="20"/>
        </w:rPr>
        <w:t xml:space="preserve"> You will be eligible to receive severance upon the terms and conditions set forth in the attached Agreement to Pay Severance. </w:t>
      </w:r>
    </w:p>
    <w:p>
      <w:pPr>
        <w:pStyle w:val="TextBody"/>
        <w:bidi w:val="0"/>
        <w:spacing w:before="240" w:after="0"/>
        <w:jc w:val="left"/>
        <w:rPr>
          <w:rFonts w:ascii="Times New Roman" w:hAnsi="Times New Roman"/>
          <w:sz w:val="20"/>
        </w:rPr>
      </w:pPr>
      <w:r>
        <w:rPr>
          <w:rFonts w:ascii="Times New Roman" w:hAnsi="Times New Roman"/>
          <w:b/>
          <w:i/>
          <w:sz w:val="20"/>
        </w:rPr>
        <w:t>Proprietary</w:t>
      </w:r>
      <w:r>
        <w:rPr>
          <w:rFonts w:ascii="Times New Roman" w:hAnsi="Times New Roman"/>
          <w:sz w:val="20"/>
        </w:rPr>
        <w:t xml:space="preserve"> </w:t>
      </w:r>
      <w:r>
        <w:rPr>
          <w:rFonts w:ascii="Times New Roman" w:hAnsi="Times New Roman"/>
          <w:b/>
          <w:i/>
          <w:sz w:val="20"/>
        </w:rPr>
        <w:t>Information</w:t>
      </w:r>
      <w:r>
        <w:rPr>
          <w:rFonts w:ascii="Times New Roman" w:hAnsi="Times New Roman"/>
          <w:sz w:val="20"/>
        </w:rPr>
        <w:t xml:space="preserve">, </w:t>
      </w:r>
      <w:r>
        <w:rPr>
          <w:rFonts w:ascii="Times New Roman" w:hAnsi="Times New Roman"/>
          <w:b/>
          <w:i/>
          <w:sz w:val="20"/>
        </w:rPr>
        <w:t>No</w:t>
      </w:r>
      <w:r>
        <w:rPr>
          <w:rFonts w:ascii="Times New Roman" w:hAnsi="Times New Roman"/>
          <w:sz w:val="20"/>
        </w:rPr>
        <w:t xml:space="preserve"> </w:t>
      </w:r>
      <w:r>
        <w:rPr>
          <w:rFonts w:ascii="Times New Roman" w:hAnsi="Times New Roman"/>
          <w:b/>
          <w:i/>
          <w:sz w:val="20"/>
        </w:rPr>
        <w:t>Conflicts</w:t>
      </w:r>
      <w:r>
        <w:rPr>
          <w:rFonts w:ascii="Times New Roman" w:hAnsi="Times New Roman"/>
          <w:sz w:val="20"/>
        </w:rPr>
        <w:t xml:space="preserve">: As a condition of your at-will employment, you will be required to sign an Employee Confidential Information and Invention Assignment Agreement on or before your starting date. </w:t>
      </w:r>
    </w:p>
    <w:p>
      <w:pPr>
        <w:pStyle w:val="TextBody"/>
        <w:bidi w:val="0"/>
        <w:spacing w:before="240" w:after="0"/>
        <w:jc w:val="left"/>
        <w:rPr>
          <w:rFonts w:ascii="Times New Roman" w:hAnsi="Times New Roman"/>
          <w:sz w:val="20"/>
        </w:rPr>
      </w:pPr>
      <w:r>
        <w:rPr>
          <w:rFonts w:ascii="Times New Roman" w:hAnsi="Times New Roman"/>
          <w:sz w:val="20"/>
        </w:rPr>
        <w:t xml:space="preserve">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you currently are not subject to any agreements which restrict your activities for the Company. We understand that you remain an inactive employee at Regeneron Pharmaceuticals through December 17, 2021, though have no restrictions or conflicts which restrict your acceptance of this offer. By accepting this offer below, you represent that you are subject to no agreements which might restrict your conduct at the Company; and that you understand that if you become aware at any time during your employment with the Company that you are subject to any agreements which might restrict your conduct at the Company, you are required to immediately inform the Company of the existence of such agreements. </w:t>
      </w:r>
    </w:p>
    <w:p>
      <w:pPr>
        <w:pStyle w:val="TextBody"/>
        <w:bidi w:val="0"/>
        <w:spacing w:before="240" w:after="0"/>
        <w:jc w:val="left"/>
        <w:rPr>
          <w:rFonts w:ascii="Times New Roman" w:hAnsi="Times New Roman"/>
          <w:sz w:val="20"/>
        </w:rPr>
      </w:pPr>
      <w:r>
        <w:rPr>
          <w:rFonts w:ascii="Times New Roman" w:hAnsi="Times New Roman"/>
          <w:b/>
          <w:i/>
          <w:sz w:val="20"/>
        </w:rPr>
        <w:t>Employment Eligibility Verification:</w:t>
      </w:r>
      <w:r>
        <w:rPr>
          <w:rFonts w:ascii="Times New Roman" w:hAnsi="Times New Roman"/>
          <w:sz w:val="20"/>
        </w:rPr>
        <w:t xml:space="preserve"> This offer is contingent upon a reference check and satisfactory proof of your right to work in the United States. You agree to assist as needed and to complete any documentation at the Companys request to meet these conditions. On your first day of employment, you must provide us with appropriate documents to establish your eligibility to work in the United States (e.g., Social Security Card, Drivers License, U.S. Passport). We will not be able to employ you if you fail to comply with this requirement. </w:t>
      </w:r>
    </w:p>
    <w:p>
      <w:pPr>
        <w:pStyle w:val="TextBody"/>
        <w:bidi w:val="0"/>
        <w:spacing w:before="240" w:after="0"/>
        <w:jc w:val="left"/>
        <w:rPr>
          <w:rFonts w:ascii="Times New Roman" w:hAnsi="Times New Roman"/>
          <w:sz w:val="20"/>
        </w:rPr>
      </w:pPr>
      <w:r>
        <w:rPr>
          <w:rFonts w:ascii="Times New Roman" w:hAnsi="Times New Roman"/>
          <w:sz w:val="20"/>
        </w:rPr>
        <w:t xml:space="preserve">Company maintains a smoke-free, drug-free workplace policy and supports equal employment opportunities for all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This letter, together with your Employee Confidential Information and Invention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indicate your acceptance of this offer by signing and returning to me this offer letter and the attached Employee Confidential Information and Invention Assignment Agreement if you wish to accept employment at the Company under the terms herein.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[Remainder of the page left intentionally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let me know if you have any questions regarding this offer. We look forward to having you officially join the Company team.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/s/ Alise Reicin</w:t>
            </w:r>
          </w:p>
          <w:p>
            <w:pPr>
              <w:pStyle w:val="TableContents"/>
              <w:bidi w:val="0"/>
              <w:spacing w:before="0" w:after="0"/>
              <w:jc w:val="left"/>
              <w:rPr>
                <w:rFonts w:ascii="Times New Roman" w:hAnsi="Times New Roman"/>
                <w:b/>
                <w:sz w:val="20"/>
              </w:rPr>
            </w:pPr>
            <w:r>
              <w:rPr>
                <w:rFonts w:ascii="Times New Roman" w:hAnsi="Times New Roman"/>
                <w:b/>
                <w:sz w:val="20"/>
              </w:rPr>
              <w:t>By: Alise Reicin, M.D.</w:t>
            </w:r>
          </w:p>
          <w:p>
            <w:pPr>
              <w:pStyle w:val="TableContents"/>
              <w:bidi w:val="0"/>
              <w:spacing w:before="0" w:after="20"/>
              <w:jc w:val="left"/>
              <w:rPr>
                <w:rFonts w:ascii="Times New Roman" w:hAnsi="Times New Roman"/>
                <w:b/>
                <w:sz w:val="20"/>
              </w:rPr>
            </w:pPr>
            <w:r>
              <w:rPr>
                <w:rFonts w:ascii="Times New Roman" w:hAnsi="Times New Roman"/>
                <w:b/>
                <w:sz w:val="20"/>
              </w:rPr>
              <w:t>Title: President and 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Accepted by: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 Marcella K. Ruddy</w:t>
            </w:r>
          </w:p>
        </w:tc>
      </w:tr>
      <w:tr>
        <w:trPr/>
        <w:tc>
          <w:tcPr>
            <w:tcW w:w="4082" w:type="dxa"/>
            <w:tcBorders/>
          </w:tcPr>
          <w:p>
            <w:pPr>
              <w:pStyle w:val="TableContents"/>
              <w:bidi w:val="0"/>
              <w:spacing w:before="0" w:after="283"/>
              <w:jc w:val="left"/>
              <w:rPr>
                <w:b/>
              </w:rPr>
            </w:pPr>
            <w:r>
              <w:rPr>
                <w:b/>
              </w:rPr>
              <w:t>By: Marcella K. Ruddy</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w:t>
      </w:r>
    </w:p>
    <w:p>
      <w:pPr>
        <w:pStyle w:val="TextBody"/>
        <w:bidi w:val="0"/>
        <w:spacing w:before="0" w:after="0"/>
        <w:jc w:val="right"/>
        <w:rPr>
          <w:rFonts w:ascii="Times New Roman" w:hAnsi="Times New Roman"/>
          <w:b/>
          <w:sz w:val="20"/>
        </w:rPr>
      </w:pPr>
      <w:bookmarkStart w:id="349" w:name="d770053dex1044.htm"/>
      <w:bookmarkStart w:id="350" w:name="ksd770053dex1044"/>
      <w:bookmarkEnd w:id="349"/>
      <w:bookmarkEnd w:id="350"/>
      <w:r>
        <w:rPr>
          <w:rFonts w:ascii="Times New Roman" w:hAnsi="Times New Roman"/>
          <w:b/>
          <w:sz w:val="20"/>
        </w:rPr>
        <w:t xml:space="preserve">Exhibit 10.44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July 29, 2019 </w:t>
      </w:r>
    </w:p>
    <w:p>
      <w:pPr>
        <w:pStyle w:val="TextBody"/>
        <w:bidi w:val="0"/>
        <w:spacing w:before="240" w:after="0"/>
        <w:jc w:val="left"/>
        <w:rPr>
          <w:rFonts w:ascii="Times New Roman" w:hAnsi="Times New Roman"/>
          <w:sz w:val="20"/>
        </w:rPr>
      </w:pPr>
      <w:r>
        <w:rPr>
          <w:rFonts w:ascii="Times New Roman" w:hAnsi="Times New Roman"/>
          <w:sz w:val="20"/>
        </w:rPr>
        <w:t xml:space="preserve">Christian Cortis, Ph.D. </w:t>
      </w:r>
    </w:p>
    <w:p>
      <w:pPr>
        <w:pStyle w:val="TextBody"/>
        <w:bidi w:val="0"/>
        <w:spacing w:before="0" w:after="0"/>
        <w:jc w:val="left"/>
        <w:rPr>
          <w:rFonts w:ascii="Times New Roman" w:hAnsi="Times New Roman"/>
          <w:sz w:val="20"/>
        </w:rPr>
      </w:pPr>
      <w:r>
        <w:rPr>
          <w:rFonts w:ascii="Times New Roman" w:hAnsi="Times New Roman"/>
          <w:sz w:val="20"/>
        </w:rPr>
        <w:t xml:space="preserve">1 Sylvan Road </w:t>
      </w:r>
    </w:p>
    <w:p>
      <w:pPr>
        <w:pStyle w:val="TextBody"/>
        <w:bidi w:val="0"/>
        <w:spacing w:before="0" w:after="0"/>
        <w:jc w:val="left"/>
        <w:rPr>
          <w:rFonts w:ascii="Times New Roman" w:hAnsi="Times New Roman"/>
          <w:sz w:val="20"/>
        </w:rPr>
      </w:pPr>
      <w:r>
        <w:rPr>
          <w:rFonts w:ascii="Times New Roman" w:hAnsi="Times New Roman"/>
          <w:sz w:val="20"/>
        </w:rPr>
        <w:t xml:space="preserve">Wellesley, MA 02481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Re:</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Offer of Employment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Dr. Cortis: </w:t>
      </w:r>
    </w:p>
    <w:p>
      <w:pPr>
        <w:pStyle w:val="TextBody"/>
        <w:bidi w:val="0"/>
        <w:spacing w:before="240" w:after="0"/>
        <w:jc w:val="left"/>
        <w:rPr>
          <w:rFonts w:ascii="Times New Roman" w:hAnsi="Times New Roman"/>
          <w:sz w:val="20"/>
        </w:rPr>
      </w:pPr>
      <w:r>
        <w:rPr>
          <w:rFonts w:ascii="Times New Roman" w:hAnsi="Times New Roman"/>
          <w:sz w:val="20"/>
        </w:rPr>
        <w:t>I am pleased to offer you a position with Tectonic Therapeutic, Inc. (the </w:t>
      </w:r>
      <w:r>
        <w:rPr>
          <w:rFonts w:ascii="Times New Roman" w:hAnsi="Times New Roman"/>
          <w:b/>
          <w:i/>
          <w:sz w:val="20"/>
        </w:rPr>
        <w:t>Company</w:t>
      </w:r>
      <w:r>
        <w:rPr>
          <w:rFonts w:ascii="Times New Roman" w:hAnsi="Times New Roman"/>
          <w:sz w:val="20"/>
        </w:rPr>
        <w:t xml:space="preserve">), as its Interim CEO in the Companys Boston, MA office (address TBD). As we have discussed, it is anticipated that your tile and role may change to another C-level position. </w:t>
      </w:r>
    </w:p>
    <w:p>
      <w:pPr>
        <w:pStyle w:val="TextBody"/>
        <w:bidi w:val="0"/>
        <w:spacing w:before="240" w:after="0"/>
        <w:jc w:val="left"/>
        <w:rPr>
          <w:rFonts w:ascii="Times New Roman" w:hAnsi="Times New Roman"/>
          <w:sz w:val="20"/>
        </w:rPr>
      </w:pPr>
      <w:r>
        <w:rPr>
          <w:rFonts w:ascii="Times New Roman" w:hAnsi="Times New Roman"/>
          <w:sz w:val="20"/>
        </w:rPr>
        <w:t xml:space="preserve">If you decide to join us, you will be paid a salary at the rate of $300,000 per year, less applicable withholdings, which will be paid bi-weekly in accordance with the Companys normal payroll procedures. </w:t>
      </w:r>
    </w:p>
    <w:p>
      <w:pPr>
        <w:pStyle w:val="TextBody"/>
        <w:bidi w:val="0"/>
        <w:spacing w:before="240" w:after="0"/>
        <w:jc w:val="left"/>
        <w:rPr>
          <w:rFonts w:ascii="Times New Roman" w:hAnsi="Times New Roman"/>
          <w:sz w:val="20"/>
        </w:rPr>
      </w:pPr>
      <w:r>
        <w:rPr>
          <w:rFonts w:ascii="Times New Roman" w:hAnsi="Times New Roman"/>
          <w:sz w:val="20"/>
        </w:rPr>
        <w:t xml:space="preserve">During your employment, you will be eligible to participate in the standard benefits plans offered to similarly situated employees by the Company from time to time, subject to plan terms and generally applicable Company policies. A full description of these benefits is available upon request. The Company may change compensation and benefits from time to time in its discretion. Until such time as the Company has a health benefit plan, the Company will reimburse you for the costs for you to maintain COBRA coverage under your existing health plan up to $1,500 per month. </w:t>
      </w:r>
    </w:p>
    <w:p>
      <w:pPr>
        <w:pStyle w:val="TextBody"/>
        <w:bidi w:val="0"/>
        <w:spacing w:before="240" w:after="0"/>
        <w:jc w:val="left"/>
        <w:rPr>
          <w:rFonts w:ascii="Times New Roman" w:hAnsi="Times New Roman"/>
          <w:sz w:val="20"/>
        </w:rPr>
      </w:pPr>
      <w:r>
        <w:rPr>
          <w:rFonts w:ascii="Times New Roman" w:hAnsi="Times New Roman"/>
          <w:sz w:val="20"/>
        </w:rPr>
        <w:t xml:space="preserve">You will also be eligible to earn an annual discretionary bonus of up to 30% of your annual base salary. The amount of this bonus will be determined in the sole discretion of the Company and based, in part, on your performance and the performance of the Company during the calendar year preceding the calendar year in which such bonus may be paid in accordance with the following sentence. The Company will pay you this bonus, if any, by no later than March 15th of the following calendar year. The bonus is not earned until paid and no pro-rated amount will be paid if your employment terminates for any reason prior to the payment date. Any such bonus will be payable in cash, unless the Board of Directors of the Company (the Board) determines that it will be paid in equity or a combination of cash and equity. </w:t>
      </w:r>
    </w:p>
    <w:p>
      <w:pPr>
        <w:pStyle w:val="TextBody"/>
        <w:bidi w:val="0"/>
        <w:spacing w:before="240" w:after="0"/>
        <w:jc w:val="left"/>
        <w:rPr>
          <w:rFonts w:ascii="Times New Roman" w:hAnsi="Times New Roman"/>
          <w:sz w:val="20"/>
        </w:rPr>
      </w:pPr>
      <w:r>
        <w:rPr>
          <w:rFonts w:ascii="Times New Roman" w:hAnsi="Times New Roman"/>
          <w:sz w:val="20"/>
        </w:rPr>
        <w:t>Subject to approval by the Board of each award, the Company anticipates granting you an option to purchase 10,000 shares of the Companys common stock (the </w:t>
      </w:r>
      <w:r>
        <w:rPr>
          <w:rFonts w:ascii="Times New Roman" w:hAnsi="Times New Roman"/>
          <w:b/>
          <w:i/>
          <w:sz w:val="20"/>
        </w:rPr>
        <w:t>Common Stock</w:t>
      </w:r>
      <w:r>
        <w:rPr>
          <w:rFonts w:ascii="Times New Roman" w:hAnsi="Times New Roman"/>
          <w:sz w:val="20"/>
        </w:rPr>
        <w:t>) per year for 4 years at the fair market value as determined by the Board as of the date of grant (each, an </w:t>
      </w:r>
      <w:r>
        <w:rPr>
          <w:rFonts w:ascii="Times New Roman" w:hAnsi="Times New Roman"/>
          <w:b/>
          <w:i/>
          <w:sz w:val="20"/>
        </w:rPr>
        <w:t>Option</w:t>
      </w:r>
      <w:r>
        <w:rPr>
          <w:rFonts w:ascii="Times New Roman" w:hAnsi="Times New Roman"/>
          <w:sz w:val="20"/>
        </w:rPr>
        <w:t>). Each anticipated Option will be governed by the terms and conditions of the Companys 2019 Equity Incentive Plan(the </w:t>
      </w:r>
      <w:r>
        <w:rPr>
          <w:rFonts w:ascii="Times New Roman" w:hAnsi="Times New Roman"/>
          <w:b/>
          <w:i/>
          <w:sz w:val="20"/>
        </w:rPr>
        <w:t>Plan</w:t>
      </w:r>
      <w:r>
        <w:rPr>
          <w:rFonts w:ascii="Times New Roman" w:hAnsi="Times New Roman"/>
          <w:sz w:val="20"/>
        </w:rPr>
        <w:t xml:space="preserve">) and a grant agreement, and will include a four year vesting schedule, under which 25% of your Option will vest 12 months after the vesting commencement date specified in the grant agreement, and 1148th of the total shares will vest at the end of each month thereafter, until either the Option is fully vested or your Continuous Service (as defined in the Plan) terminates, whichever occurs first, subject to double-trigger acceleration in the event of a Change in Control (as defined in the Plan) accompanied by your involuntary termination without Cause (as defined in the Plan) [within 6 months before or after such Change in Control] other than as a result of death or disability and provided such termination constitutes a separation from service within the meaning of Treasury Regulation Section 1.409A-1(h) under the Code (as defined below). No right to any stock is earned or accrued until such time that vesting occurs, nor does this grant confer any right to continued vesting or employment. You agree that, notwithstanding any of the terms in this paragraph, in the event that there is a conflict between the vesting schedule and terms here and the vesting schedule and terms in your grant agreement as approved by the Board, the terms in the grant agreement as approved by the Board or the Plan will control over the terms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approval of the Board and your continuous service through the closing of an Equity Financing (as defined below), in the event that an equity financing that results in receipt by the Company of total proceeds of not less than $ 10,000,000 (excluding the conversion of any promissory notes convertible into equity securities of the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or simple agreements for future equity of the Company) (the </w:t>
      </w:r>
      <w:r>
        <w:rPr>
          <w:rFonts w:ascii="Times New Roman" w:hAnsi="Times New Roman"/>
          <w:b/>
          <w:i/>
          <w:sz w:val="20"/>
        </w:rPr>
        <w:t>Equity Financing</w:t>
      </w:r>
      <w:r>
        <w:rPr>
          <w:rFonts w:ascii="Times New Roman" w:hAnsi="Times New Roman"/>
          <w:sz w:val="20"/>
        </w:rPr>
        <w:t>) occurs, the Company shall grant you an additional option award under the Plan (the </w:t>
      </w:r>
      <w:r>
        <w:rPr>
          <w:rFonts w:ascii="Times New Roman" w:hAnsi="Times New Roman"/>
          <w:b/>
          <w:i/>
          <w:sz w:val="20"/>
        </w:rPr>
        <w:t>Anti-Dilution Option</w:t>
      </w:r>
      <w:r>
        <w:rPr>
          <w:rFonts w:ascii="Times New Roman" w:hAnsi="Times New Roman"/>
          <w:sz w:val="20"/>
        </w:rPr>
        <w:t>) to purchase such number of shares of the Common Stock, such that the aggregate number of shares subject to each Option awarded as of such date, any other options to purchase shares of the Common Stock and the Anti-Dilution Option along with any other shares of the Company you hold at such time equal three percent (3%) of the Companys fully diluted (on an as-converted basis) stock following the Equity Financing. If granted, the exercise price for the Anti-Dilution Option shall be the fair market value of the Common Stock, as determined by the Board, as of the date of grant, and the Anti-Dilution Option shall vest on the same schedule as the Option above. In the event that a Transaction (as defined below) is consummated with a third party acquirer prior to an Equity Financing, then you will be eligible to receive a one-time transaction bonus in an amount equal to three percent (3%) multiplied by the amount of the Transaction Proceeds (as defined in the following sentence) payable in connection with the Transaction (the </w:t>
      </w:r>
      <w:r>
        <w:rPr>
          <w:rFonts w:ascii="Times New Roman" w:hAnsi="Times New Roman"/>
          <w:b/>
          <w:i/>
          <w:sz w:val="20"/>
        </w:rPr>
        <w:t>Transaction Bonus</w:t>
      </w:r>
      <w:r>
        <w:rPr>
          <w:rFonts w:ascii="Times New Roman" w:hAnsi="Times New Roman"/>
          <w:sz w:val="20"/>
        </w:rPr>
        <w:t>), less applicable tax withholdings and deductions as required by law, upon and subject to the terms and conditions of this agreement and to Board approval. </w:t>
      </w:r>
      <w:r>
        <w:rPr>
          <w:rFonts w:ascii="Times New Roman" w:hAnsi="Times New Roman"/>
          <w:b/>
          <w:i/>
          <w:sz w:val="20"/>
        </w:rPr>
        <w:t>Transaction Proceeds</w:t>
      </w:r>
      <w:r>
        <w:rPr>
          <w:rFonts w:ascii="Times New Roman" w:hAnsi="Times New Roman"/>
          <w:sz w:val="20"/>
        </w:rPr>
        <w:t> shall mean an amount equal to the aggregate value of cash and/or property (e.g., securities, notes, etc.) paid or payable to the holders of the Common Stock in connection with the closing of a Transaction prior to any payment of the Transaction Bonus and other similar transaction bonuses payable in connection with the Transaction (all as determined by the Board in good faith), net of all costs, fees, expenses and disbursements incurred by or on behalf of the Company in connection with such Transaction, including, without limitation, legal, accounting, brokerage and banking costs, fees, expenses and disbursements; provided that Transaction Proceeds shall include such portions of such proceeds held in an escrow fund or otherwise held back for indemnification or other claims (the </w:t>
      </w:r>
      <w:r>
        <w:rPr>
          <w:rFonts w:ascii="Times New Roman" w:hAnsi="Times New Roman"/>
          <w:b/>
          <w:i/>
          <w:sz w:val="20"/>
        </w:rPr>
        <w:t>Holdback Proceeds</w:t>
      </w:r>
      <w:r>
        <w:rPr>
          <w:rFonts w:ascii="Times New Roman" w:hAnsi="Times New Roman"/>
          <w:sz w:val="20"/>
        </w:rPr>
        <w:t>) to the extent such amounts are paid to the holders of the Common Stock and shall not include any portion of the Transaction Proceeds that is contingent upon the performance of the Company or its assets and/or attainment of financial targets or other performance metrics following the Closing Date (as defined below). In the event that all or part of the consideration paid or payable to the holders of the Common Stock in connection with a Transaction is in the form of securities or other property, the Transaction Proceeds shall be deemed to include the fair market value of such securities or other property, determined on the same basis on which such securities were valued in the Transaction. In order to be eligible to receive the Transaction Bonus, a binding definitive agreement to consummate the Transaction must be executed and consummated with a third party (the date of such consummation, the Closing Date). If you cease providing services for any reason from the effective date of this agreement prior to the Closing Date, you will not be eligible to earn the Transaction Bonus. </w:t>
      </w:r>
      <w:r>
        <w:rPr>
          <w:rFonts w:ascii="Times New Roman" w:hAnsi="Times New Roman"/>
          <w:b/>
          <w:i/>
          <w:sz w:val="20"/>
        </w:rPr>
        <w:t>Transaction</w:t>
      </w:r>
      <w:r>
        <w:rPr>
          <w:rFonts w:ascii="Times New Roman" w:hAnsi="Times New Roman"/>
          <w:sz w:val="20"/>
        </w:rPr>
        <w:t xml:space="preserve"> shall mean the sale of all or substantially all of the Companys assets or greater than fifty percent (50%) of the Companys outstanding equity or equity-linked securities (the Securities) to a third party buyer. For the avoidance of doubt, a Transaction will not include any public offering of the Companys Securities or a private placement of Securities for the purposes of raising Company capital. Any Transaction Bonus will be paid in the form of a lump-sum payment within thirty (30) days after the Closing Date; provided that if any portion of the Transaction Bonus is attributable to Holdback Proceeds, you will be paid such portion of the Transaction Bonus on the same schedule and under the same terms and conditions as apply to payments to Companys shareholders generally in connection with the Transaction. The Company or the acquirer in the Transaction will withhold from any payments under this agreement and from any other amounts payable to you by the Company or such acquirer any amount required to satisfy the income and employment tax withholding obligations arising under applicable federal, state and local laws in respect of the Transaction Bonus. You are encouraged to contact the your personal legal or tax advisors with respect to the benefits provided by the agreement and agree that neither the Company nor any of its employees, directors, officers or agents are authorized to provide any tax advice to you with respect to the benefits provided under this agreement and that the Company makes no representations or warranties to you regarding the tax treatment of the Transaction Bonus. You hereby agree that you will not disclose any information regarding the Transaction Bonus to any other person, other than to your immediate family members, or your accountants, financial advisers, or attorneys, or as may be required by law. </w:t>
      </w:r>
    </w:p>
    <w:p>
      <w:pPr>
        <w:pStyle w:val="TextBody"/>
        <w:bidi w:val="0"/>
        <w:spacing w:before="240" w:after="0"/>
        <w:jc w:val="left"/>
        <w:rPr>
          <w:rFonts w:ascii="Times New Roman" w:hAnsi="Times New Roman"/>
          <w:sz w:val="20"/>
        </w:rPr>
      </w:pPr>
      <w:r>
        <w:rPr>
          <w:rFonts w:ascii="Times New Roman" w:hAnsi="Times New Roman"/>
          <w:sz w:val="20"/>
        </w:rPr>
        <w:t>The Transaction Bonus will be an unsecured, unfunded obligation of the Company, and so any rights you have under this agreement shall be those of a general unsecured creditor of the Company. Any Transaction Bonus payment is intended to satisfy the short-term deferral exemption from Section 409A of the Internal Revenue Code of 1986, as amended (the </w:t>
      </w:r>
      <w:r>
        <w:rPr>
          <w:rFonts w:ascii="Times New Roman" w:hAnsi="Times New Roman"/>
          <w:b/>
          <w:i/>
          <w:sz w:val="20"/>
        </w:rPr>
        <w:t>Code</w:t>
      </w:r>
      <w:r>
        <w:rPr>
          <w:rFonts w:ascii="Times New Roman" w:hAnsi="Times New Roman"/>
          <w:sz w:val="20"/>
        </w:rPr>
        <w:t xml:space="preserve">) provided under Treasury Regulations Section 1.409A-1(b)(4) and this agreement will be interpreted consistent with this intent. To the extent that any portion of the Transaction Bonus is payable in connection with Holdback Proceeds, such amount shall be paid on the same schedule and under the same terms and conditions as apply to payments made to the Companys stockholders generally in connection with the Transaction and all such payments shall be paid not later than five years after the Closing Date. To the extent that any amounts payable hereunder are determined to constitute nonqualified deferred compensation within the meaning of Section 409A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Code, such amounts shall be subject to such additional rules and requirements as specified by the Company in order to comply with Section 409A of the Code and the settlement of any such amounts may not be accelerated or delayed except to the extent permitted by Section 409A of the Code. The Company makes no representation or warranty and shall have no liability to you or any other person if any payments under any provisions hereunder are determined to constitute deferred compensation under Section 409A of the Code that are subject to the 20 percent tax under Section 409A of the Code. </w:t>
      </w:r>
    </w:p>
    <w:p>
      <w:pPr>
        <w:pStyle w:val="TextBody"/>
        <w:bidi w:val="0"/>
        <w:spacing w:before="240" w:after="0"/>
        <w:jc w:val="left"/>
        <w:rPr>
          <w:rFonts w:ascii="Times New Roman" w:hAnsi="Times New Roman"/>
          <w:sz w:val="20"/>
        </w:rPr>
      </w:pPr>
      <w:r>
        <w:rPr>
          <w:rFonts w:ascii="Times New Roman" w:hAnsi="Times New Roman"/>
          <w:sz w:val="20"/>
        </w:rPr>
        <w:t>As a Company employee, you will be expected to abide by Company rules and policies. As a condition of employment, you must sign and comply with the attached Employee Confidential Information and Inventions Assignment Agreement (</w:t>
      </w:r>
      <w:r>
        <w:rPr>
          <w:rFonts w:ascii="Times New Roman" w:hAnsi="Times New Roman"/>
          <w:b/>
          <w:i/>
          <w:sz w:val="20"/>
        </w:rPr>
        <w:t>CIIA</w:t>
      </w:r>
      <w:r>
        <w:rPr>
          <w:rFonts w:ascii="Times New Roman" w:hAnsi="Times New Roman"/>
          <w:sz w:val="20"/>
        </w:rPr>
        <w:t xml:space="preserve">) which prohibits unauthorized use or disclosure of the Companys proprietary information, among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related to the business in which the Company is now involved, plans to be involved or becomes involved during the term of your employment, nor will you engage in any other activities that conflict with your obligations to the Company. Subject to the above limitations, you represent that you are engaged in the following outside activities: a member of the Board of Directors of Open Eye Scientific Software which requires approximately 1/2 - 1 day per quarter, including participation in board meetings; and service as an external Strategic Advisor to Agenus through July 1, 2020, which would not exceed 1 day per month. You agree that you shall not engage in any additional future activities that are not listed in the preceding sentence without the written approval of the Board. Notwithstanding the foregoing, nothing shall prevent you from participating in charitable, civic, educational, professional, community or industry affairs or, with prior written approval of the Board. Provided that all such permitted activities or services do not (i) create a conflict with your employment hereunder; (ii) interfere with the performance of your duties; or (iii) violate the terms of the CIIA. Similarly, you agree not to bring any third-party confidential information to the Company, including that of your former employer, and that you will not in any way utilize any such information in performing your duties for the Company. If any restriction set forth in this paragraph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 </w:t>
      </w:r>
    </w:p>
    <w:p>
      <w:pPr>
        <w:pStyle w:val="TextBody"/>
        <w:bidi w:val="0"/>
        <w:spacing w:before="240" w:after="0"/>
        <w:jc w:val="left"/>
        <w:rPr>
          <w:rFonts w:ascii="Times New Roman" w:hAnsi="Times New Roman"/>
          <w:sz w:val="20"/>
        </w:rPr>
      </w:pPr>
      <w:r>
        <w:rPr>
          <w:rFonts w:ascii="Times New Roman" w:hAnsi="Times New Roman"/>
          <w:sz w:val="20"/>
        </w:rPr>
        <w:t xml:space="preserve">Your employment with the Company will be at-will. You may terminate your employment with the Company at any time and for any reason whatsoever simply by notifying the Company. Likewise, the Company may terminate your employment at any time, with or without cause or advance notice. All payments made by the Company under this agreement shall be net of any tax or other amounts required to be withheld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conduct background investigations and/or reference checks on all of its potential employees. Your job offer, therefore, is contingent upon a clearance of such a background investigation and/or reference check, if any. You agree to assist as needed and to complete any documentation at the Companys request to meet these conditions.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t>
      </w:r>
    </w:p>
    <w:p>
      <w:pPr>
        <w:pStyle w:val="TextBody"/>
        <w:bidi w:val="0"/>
        <w:spacing w:before="240" w:after="0"/>
        <w:jc w:val="left"/>
        <w:rPr>
          <w:rFonts w:ascii="Times New Roman" w:hAnsi="Times New Roman"/>
          <w:sz w:val="20"/>
        </w:rPr>
      </w:pPr>
      <w:r>
        <w:rPr>
          <w:rFonts w:ascii="Times New Roman" w:hAnsi="Times New Roman"/>
          <w:sz w:val="20"/>
        </w:rPr>
        <w:t>To ensure the timely and economical resolution of disputes that may arise in connection with your employment with the Company, yon and the Company agree that any and all disputes, claims, or causes of action arising from or relating to the enforcement, breach, performance, negotiation, execution, or interpretation of this letter agreement, the PIIA, or your employment, or the termination of your employment, including but not limited to all statutory claims, will be resolved pursuant to the Federal Arbitration Act, 9 U.S.C. § 1-16, and to the fullest extent permitted by law, by final, binding and confidential arbitration by a single arbitrator conducted in Boston, Massachusetts by Judicial Arbitration and Mediation Services Inc. (</w:t>
      </w:r>
      <w:r>
        <w:rPr>
          <w:rFonts w:ascii="Times New Roman" w:hAnsi="Times New Roman"/>
          <w:b/>
          <w:i/>
          <w:sz w:val="20"/>
        </w:rPr>
        <w:t>JAMS</w:t>
      </w:r>
      <w:r>
        <w:rPr>
          <w:rFonts w:ascii="Times New Roman" w:hAnsi="Times New Roman"/>
          <w:sz w:val="20"/>
        </w:rPr>
        <w:t xml:space="preserve">) under the then applicable JAMS rules (at the following web address: https://www.jamsadr.com/rules-employment arbitration/). A hard copy of the rules will be provided to you upon request.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agreeing to this arbitration procedure, both you and the Company waive the right to resolve any such dispute through a trial by jury or judge or administrative proceeding. In addition, all claims, disputes, or causes of action under this provision,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you or the Company would be entitled to seek in a court of law. You and the Company shall equally share all JAMS arbitration fees. Each party is responsible for its own attorneys fees, except as expressly set forth in your PUA.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indicate your acceptance of the Companys offer, please sign and date this letter in the space provided below. A duplicate original is enclosed for your records. If you accept our offer, your first day of employment will be August 26, 2019, or as otherwise agreed, but no later than August 30, 2019. This letter, along with any agreements relating to proprietary rights between you and the Company, set forth the terms of your employment with the Company and supersede any prior representations or agreements including, but not limited to, any representations made during your interviews or relocation negotiations, whether written or oral. This letter, including, but not limited to, its at-will employment provision, may not be modified or amended except by a written agreement signed by the Chairman of the Board of Directors and you. This offer of employment will terminate if it is not accepted, signed, and returned by July 31st, 2019. </w:t>
      </w:r>
    </w:p>
    <w:p>
      <w:pPr>
        <w:pStyle w:val="TextBody"/>
        <w:bidi w:val="0"/>
        <w:spacing w:before="240" w:after="0"/>
        <w:jc w:val="left"/>
        <w:rPr>
          <w:rFonts w:ascii="Times New Roman" w:hAnsi="Times New Roman"/>
          <w:sz w:val="20"/>
        </w:rPr>
      </w:pPr>
      <w:r>
        <w:rPr>
          <w:rFonts w:ascii="Times New Roman" w:hAnsi="Times New Roman"/>
          <w:sz w:val="20"/>
        </w:rPr>
        <w:t xml:space="preserve">We look forward to your favorable reply and to a productive and enjoyable work relationship.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Tectonic Therapeutic,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A. Springer </w:t>
            </w:r>
          </w:p>
        </w:tc>
      </w:tr>
      <w:tr>
        <w:trPr/>
        <w:tc>
          <w:tcPr>
            <w:tcW w:w="4082" w:type="dxa"/>
            <w:tcBorders/>
          </w:tcPr>
          <w:p>
            <w:pPr>
              <w:pStyle w:val="TableContents"/>
              <w:bidi w:val="0"/>
              <w:spacing w:before="0" w:after="283"/>
              <w:jc w:val="left"/>
              <w:rPr/>
            </w:pPr>
            <w:r>
              <w:rPr/>
              <w:t>Timothy A. Springer, President</w:t>
            </w:r>
          </w:p>
        </w:tc>
      </w:tr>
      <w:tr>
        <w:trPr/>
        <w:tc>
          <w:tcPr>
            <w:tcW w:w="4082" w:type="dxa"/>
            <w:tcBorders/>
          </w:tcPr>
          <w:p>
            <w:pPr>
              <w:pStyle w:val="TableContents"/>
              <w:bidi w:val="0"/>
              <w:spacing w:before="0" w:after="283"/>
              <w:jc w:val="left"/>
              <w:rPr/>
            </w:pPr>
            <w:r>
              <w:rPr/>
              <w:t>Tectonic Therapeutic, Inc.</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Acknowledge and accepted: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Cortis </w:t>
            </w:r>
          </w:p>
        </w:tc>
      </w:tr>
      <w:tr>
        <w:trPr/>
        <w:tc>
          <w:tcPr>
            <w:tcW w:w="4082" w:type="dxa"/>
            <w:tcBorders/>
          </w:tcPr>
          <w:p>
            <w:pPr>
              <w:pStyle w:val="TableContents"/>
              <w:bidi w:val="0"/>
              <w:spacing w:before="0" w:after="283"/>
              <w:jc w:val="left"/>
              <w:rPr/>
            </w:pPr>
            <w:r>
              <w:rPr/>
              <w:t>Christian Cortis, Ph.D.</w:t>
            </w:r>
          </w:p>
        </w:tc>
      </w:tr>
    </w:tbl>
    <w:p>
      <w:pPr>
        <w:pStyle w:val="TextBody"/>
        <w:bidi w:val="0"/>
        <w:spacing w:before="0" w:after="0"/>
        <w:jc w:val="right"/>
        <w:rPr>
          <w:rFonts w:ascii="Times New Roman" w:hAnsi="Times New Roman"/>
          <w:b/>
          <w:sz w:val="20"/>
        </w:rPr>
      </w:pPr>
      <w:bookmarkStart w:id="351" w:name="d770053dex1047.htm"/>
      <w:bookmarkStart w:id="352" w:name="ksd770053dex1047"/>
      <w:bookmarkEnd w:id="351"/>
      <w:bookmarkEnd w:id="352"/>
      <w:r>
        <w:rPr>
          <w:rFonts w:ascii="Times New Roman" w:hAnsi="Times New Roman"/>
          <w:b/>
          <w:sz w:val="20"/>
        </w:rPr>
        <w:t xml:space="preserve">Exhibit 10.47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SEVERANCE PLAN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SUMMARY PLAN DESCRIPTION </w:t>
      </w:r>
    </w:p>
    <w:p>
      <w:pPr>
        <w:pStyle w:val="TextBody"/>
        <w:bidi w:val="0"/>
        <w:spacing w:before="240" w:after="0"/>
        <w:jc w:val="center"/>
        <w:rPr>
          <w:rFonts w:ascii="Times New Roman" w:hAnsi="Times New Roman"/>
          <w:b/>
          <w:sz w:val="20"/>
        </w:rPr>
      </w:pPr>
      <w:r>
        <w:rPr>
          <w:rFonts w:ascii="Times New Roman" w:hAnsi="Times New Roman"/>
          <w:b/>
          <w:sz w:val="20"/>
        </w:rPr>
        <w:t xml:space="preserve">APPROVED BY THE BOARD OF DIRECTORS:    , 2024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Introduction</w:t>
      </w:r>
      <w:r>
        <w:rPr>
          <w:rFonts w:ascii="Times New Roman" w:hAnsi="Times New Roman"/>
          <w:sz w:val="20"/>
        </w:rPr>
        <w:t>. The purpose of this Tectonic Therapeutic, Inc. Severance Plan (the </w:t>
      </w:r>
      <w:r>
        <w:rPr>
          <w:rFonts w:ascii="Times New Roman" w:hAnsi="Times New Roman"/>
          <w:sz w:val="20"/>
          <w:u w:val="single"/>
        </w:rPr>
        <w:t>Plan</w:t>
      </w:r>
      <w:r>
        <w:rPr>
          <w:rFonts w:ascii="Times New Roman" w:hAnsi="Times New Roman"/>
          <w:sz w:val="20"/>
        </w:rPr>
        <w:t xml:space="preserve">) is to provide assurances of specified severance benefits to eligible executives of the Company whose employment is terminated by the Company or a successor under certain circumstances. This Plan is an employee welfare benefit plan, as defined in Section 3(1) of ERISA (as defined below). With the exception of certain definitions set forth below, this Plan shall supersede any individual agreement between the Company and any Covered Employee (as defined below) and any other plan, policy or practice, whether written or unwritten, maintained by the Company with respect to a Covered Employee, in each case to the extent that such agreement, plan, policy or practice provides for equity acceleration or severance benefits upon the Covered Employees separation from the Company. This document constitutes both the written instrument under which the Plan is maintained and the required summary plan description for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Definitions</w:t>
      </w:r>
      <w:r>
        <w:rPr>
          <w:rFonts w:ascii="Times New Roman" w:hAnsi="Times New Roman"/>
          <w:sz w:val="20"/>
        </w:rPr>
        <w:t xml:space="preserve">. For purposes of the Plan, the terms below are defined as follows: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Administrator</w:t>
      </w:r>
      <w:r>
        <w:rPr>
          <w:rFonts w:ascii="Times New Roman" w:hAnsi="Times New Roman"/>
          <w:sz w:val="20"/>
        </w:rPr>
        <w:t xml:space="preserve"> means the Board or Compensation Committee prior to a Change in Control; or, after a Change in Control, one or more members of the successor Board or Compensation Committee or other persons designated by the Companys Board or Compensation Committee prior to such Change in Control.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Cause</w:t>
      </w:r>
      <w:r>
        <w:rPr>
          <w:rFonts w:ascii="Times New Roman" w:hAnsi="Times New Roman"/>
          <w:sz w:val="20"/>
        </w:rPr>
        <w:t xml:space="preserve"> has the meaning ascribed to such term in any written agreement between a Covered Employee and the Company or any Affiliate of the Company defining such term and, in the absence of such agreement, such term means, with respect to a Covered Employee, the occurrence of any of the following events: (i) the Covered Employees dishonest statements or acts with respect to the Company or any Affiliate of the Company, or any current or prospective customers, suppliers, vendors or other third parties with which such entity does business; (ii) the Covered Employees commission of (A) a felony or (B) any misdemeanor involving moral turpitude, deceit, dishonesty or fraud, or in each case the equivalent in any relevant jurisdiction; (iii) the Covered Employees failure to perform the Covered Employees assigned duties and responsibilities to the reasonable satisfaction of the Company or any Affiliate of the Company which failure continues, in the reasonable judgment of the Company, after written notice given to the Covered Employee by the Company or any Affiliate of the Company; (iv) the Covered Employees gross negligence, willful misconduct or insubordination with respect to the Company or any Affiliate of the Company; or (v) the Covered Employees material violation of any provision of any agreement(s) between the Covered Employee and the Company or any Affiliate of the Company relating to noncompetition, nonsolicitation, nondisclosure and/or assignment of inventions.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Change in Control</w:t>
      </w:r>
      <w:r>
        <w:rPr>
          <w:rFonts w:ascii="Times New Roman" w:hAnsi="Times New Roman"/>
          <w:sz w:val="20"/>
        </w:rPr>
        <w:t xml:space="preserve"> has the meaning ascribed to such term in the Stock Plan.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Change in Control Period</w:t>
      </w:r>
      <w:r>
        <w:rPr>
          <w:rFonts w:ascii="Times New Roman" w:hAnsi="Times New Roman"/>
          <w:sz w:val="20"/>
        </w:rPr>
        <w:t xml:space="preserve"> means the time period commencing three (3) months prior to the effective date of a Change in Control and ending on the first anniversary of the effective date of such Change in Control (except as otherwise set forth in a Participation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COBRA</w:t>
      </w:r>
      <w:r>
        <w:rPr>
          <w:rFonts w:ascii="Times New Roman" w:hAnsi="Times New Roman"/>
          <w:sz w:val="20"/>
        </w:rPr>
        <w:t xml:space="preserve"> means the Consolidated Omnibus Budget Reconciliation Act of 1985, as amended.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sz w:val="20"/>
          <w:u w:val="single"/>
        </w:rPr>
        <w:t>Company</w:t>
      </w:r>
      <w:r>
        <w:rPr>
          <w:rFonts w:ascii="Times New Roman" w:hAnsi="Times New Roman"/>
          <w:sz w:val="20"/>
        </w:rPr>
        <w:t xml:space="preserve"> means Tectonic Therapeutic, Inc. and any successor. </w:t>
      </w:r>
    </w:p>
    <w:p>
      <w:pPr>
        <w:pStyle w:val="TextBody"/>
        <w:bidi w:val="0"/>
        <w:spacing w:before="240" w:after="0"/>
        <w:jc w:val="left"/>
        <w:rPr>
          <w:rFonts w:ascii="Times New Roman" w:hAnsi="Times New Roman"/>
          <w:sz w:val="20"/>
        </w:rPr>
      </w:pPr>
      <w:r>
        <w:rPr>
          <w:rFonts w:ascii="Times New Roman" w:hAnsi="Times New Roman"/>
          <w:sz w:val="20"/>
        </w:rPr>
        <w:t>2.9. </w:t>
      </w:r>
      <w:r>
        <w:rPr>
          <w:rFonts w:ascii="Times New Roman" w:hAnsi="Times New Roman"/>
          <w:sz w:val="20"/>
          <w:u w:val="single"/>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sz w:val="20"/>
        </w:rPr>
        <w:t>2.10. </w:t>
      </w:r>
      <w:r>
        <w:rPr>
          <w:rFonts w:ascii="Times New Roman" w:hAnsi="Times New Roman"/>
          <w:sz w:val="20"/>
          <w:u w:val="single"/>
        </w:rPr>
        <w:t>Covered Employee</w:t>
      </w:r>
      <w:r>
        <w:rPr>
          <w:rFonts w:ascii="Times New Roman" w:hAnsi="Times New Roman"/>
          <w:sz w:val="20"/>
        </w:rPr>
        <w:t xml:space="preserve"> means an employee of the Company who (i) is the Companys Chief Executive Officer or has been designated by the Administrator to participate in the Plan, (ii) has executed the Companys standard confidentially and inventions assignment agreement, and (iii) has timely and properly executed and delivered a Participation Agreement to the Company. </w:t>
      </w:r>
    </w:p>
    <w:p>
      <w:pPr>
        <w:pStyle w:val="TextBody"/>
        <w:bidi w:val="0"/>
        <w:spacing w:before="240" w:after="0"/>
        <w:jc w:val="left"/>
        <w:rPr>
          <w:rFonts w:ascii="Times New Roman" w:hAnsi="Times New Roman"/>
          <w:sz w:val="20"/>
        </w:rPr>
      </w:pPr>
      <w:r>
        <w:rPr>
          <w:rFonts w:ascii="Times New Roman" w:hAnsi="Times New Roman"/>
          <w:sz w:val="20"/>
        </w:rPr>
        <w:t>2.11. </w:t>
      </w:r>
      <w:r>
        <w:rPr>
          <w:rFonts w:ascii="Times New Roman" w:hAnsi="Times New Roman"/>
          <w:sz w:val="20"/>
          <w:u w:val="single"/>
        </w:rPr>
        <w:t>Covered Termination</w:t>
      </w:r>
      <w:r>
        <w:rPr>
          <w:rFonts w:ascii="Times New Roman" w:hAnsi="Times New Roman"/>
          <w:sz w:val="20"/>
        </w:rPr>
        <w:t xml:space="preserve"> means a Covered Employees termination of employment by the Company (or any parent or subsidiary of the Company) without Cause or as a result of a Covered Employees resignation for Good Reason; provided, that, in either case, such termination is not due to the Covered Employees death or disability. </w:t>
      </w:r>
    </w:p>
    <w:p>
      <w:pPr>
        <w:pStyle w:val="TextBody"/>
        <w:bidi w:val="0"/>
        <w:spacing w:before="240" w:after="0"/>
        <w:jc w:val="left"/>
        <w:rPr>
          <w:rFonts w:ascii="Times New Roman" w:hAnsi="Times New Roman"/>
          <w:sz w:val="20"/>
        </w:rPr>
      </w:pPr>
      <w:r>
        <w:rPr>
          <w:rFonts w:ascii="Times New Roman" w:hAnsi="Times New Roman"/>
          <w:sz w:val="20"/>
        </w:rPr>
        <w:t>2.12. </w:t>
      </w:r>
      <w:r>
        <w:rPr>
          <w:rFonts w:ascii="Times New Roman" w:hAnsi="Times New Roman"/>
          <w:sz w:val="20"/>
          <w:u w:val="single"/>
        </w:rPr>
        <w:t>Effective Date</w:t>
      </w:r>
      <w:r>
        <w:rPr>
          <w:rFonts w:ascii="Times New Roman" w:hAnsi="Times New Roman"/>
          <w:sz w:val="20"/>
        </w:rPr>
        <w:t xml:space="preserve"> means the date on which the Plan is approved by the Board. </w:t>
      </w:r>
    </w:p>
    <w:p>
      <w:pPr>
        <w:pStyle w:val="TextBody"/>
        <w:bidi w:val="0"/>
        <w:spacing w:before="240" w:after="0"/>
        <w:jc w:val="left"/>
        <w:rPr>
          <w:rFonts w:ascii="Times New Roman" w:hAnsi="Times New Roman"/>
          <w:sz w:val="20"/>
        </w:rPr>
      </w:pPr>
      <w:r>
        <w:rPr>
          <w:rFonts w:ascii="Times New Roman" w:hAnsi="Times New Roman"/>
          <w:sz w:val="20"/>
        </w:rPr>
        <w:t>2.13. </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2.14. </w:t>
      </w:r>
      <w:r>
        <w:rPr>
          <w:rFonts w:ascii="Times New Roman" w:hAnsi="Times New Roman"/>
          <w:sz w:val="20"/>
          <w:u w:val="single"/>
        </w:rPr>
        <w:t>Good Reason</w:t>
      </w:r>
      <w:r>
        <w:rPr>
          <w:rFonts w:ascii="Times New Roman" w:hAnsi="Times New Roman"/>
          <w:sz w:val="20"/>
        </w:rPr>
        <w:t> means any of the following conditions or actions taken by the Company without Cause and without the Covered Employees consent: (i) a material breach by the Company of an agreement between a Covered Employee and the Company; (ii) the Company significantly reducing the Covered Employees base salary or the target percentage eligibility established for the Covered Employees annual bonus, other than any Company-wide reduction in compensation of employees; (iii) the Company significantly reducing the Covered Employees duties, authority or responsibilities relative to the Covered Employees duties, authority or responsibilities in effect immediately prior to such reduction; or (iv) the Company relocating the facility that is the Covered Employees principal place of business with the Company to a location more than fifty (50) miles from the immediately preceding location (excluding regular travel in the ordinary course of business); provided, further, that in each case above, in order for the Covered Employees resignation to be deemed to have been for Good Reason, the Covered Employee must first give the Company written notice of the action or omission giving rise to Good Reason within thirty (30) days after the first occurrence thereof; the Company must fail to reasonably cure such action or omission within thirty (30) days after receipt of such notice (the </w:t>
      </w:r>
      <w:r>
        <w:rPr>
          <w:rFonts w:ascii="Times New Roman" w:hAnsi="Times New Roman"/>
          <w:b/>
          <w:i/>
          <w:sz w:val="20"/>
        </w:rPr>
        <w:t>Cure Period</w:t>
      </w:r>
      <w:r>
        <w:rPr>
          <w:rFonts w:ascii="Times New Roman" w:hAnsi="Times New Roman"/>
          <w:sz w:val="20"/>
        </w:rPr>
        <w:t xml:space="preserve">); and the Covered Employees resignation must be effective not later than thirty (30) days after the expiration of such Cure Period. </w:t>
      </w:r>
    </w:p>
    <w:p>
      <w:pPr>
        <w:pStyle w:val="TextBody"/>
        <w:bidi w:val="0"/>
        <w:spacing w:before="240" w:after="0"/>
        <w:jc w:val="left"/>
        <w:rPr>
          <w:rFonts w:ascii="Times New Roman" w:hAnsi="Times New Roman"/>
          <w:sz w:val="20"/>
        </w:rPr>
      </w:pPr>
      <w:r>
        <w:rPr>
          <w:rFonts w:ascii="Times New Roman" w:hAnsi="Times New Roman"/>
          <w:sz w:val="20"/>
        </w:rPr>
        <w:t>2.15. </w:t>
      </w:r>
      <w:r>
        <w:rPr>
          <w:rFonts w:ascii="Times New Roman" w:hAnsi="Times New Roman"/>
          <w:sz w:val="20"/>
          <w:u w:val="single"/>
        </w:rPr>
        <w:t>Participation Agreement</w:t>
      </w:r>
      <w:r>
        <w:rPr>
          <w:rFonts w:ascii="Times New Roman" w:hAnsi="Times New Roman"/>
          <w:sz w:val="20"/>
        </w:rPr>
        <w:t xml:space="preserve"> means an agreement between a Covered Employee and the Company in substantially the form of </w:t>
      </w:r>
      <w:r>
        <w:rPr>
          <w:rFonts w:ascii="Times New Roman" w:hAnsi="Times New Roman"/>
          <w:b/>
          <w:sz w:val="20"/>
        </w:rPr>
        <w:t>Appendix A</w:t>
      </w:r>
      <w:r>
        <w:rPr>
          <w:rFonts w:ascii="Times New Roman" w:hAnsi="Times New Roman"/>
          <w:sz w:val="20"/>
        </w:rPr>
        <w:t xml:space="preserve"> attached hereto, and which may include such other terms as the Administrator deems necessary or advisable in the administration of the Plan. </w:t>
      </w:r>
    </w:p>
    <w:p>
      <w:pPr>
        <w:pStyle w:val="TextBody"/>
        <w:bidi w:val="0"/>
        <w:spacing w:before="240" w:after="0"/>
        <w:jc w:val="left"/>
        <w:rPr>
          <w:rFonts w:ascii="Times New Roman" w:hAnsi="Times New Roman"/>
          <w:sz w:val="20"/>
        </w:rPr>
      </w:pPr>
      <w:r>
        <w:rPr>
          <w:rFonts w:ascii="Times New Roman" w:hAnsi="Times New Roman"/>
          <w:sz w:val="20"/>
        </w:rPr>
        <w:t>2.16. </w:t>
      </w:r>
      <w:r>
        <w:rPr>
          <w:rFonts w:ascii="Times New Roman" w:hAnsi="Times New Roman"/>
          <w:sz w:val="20"/>
          <w:u w:val="single"/>
        </w:rPr>
        <w:t>Severance Benefits</w:t>
      </w:r>
      <w:r>
        <w:rPr>
          <w:rFonts w:ascii="Times New Roman" w:hAnsi="Times New Roman"/>
          <w:sz w:val="20"/>
        </w:rPr>
        <w:t xml:space="preserve"> means the compensation and other benefits the Covered Employee will be provided pursuant to either Section 4.1 or Section 4.2. </w:t>
      </w:r>
    </w:p>
    <w:p>
      <w:pPr>
        <w:pStyle w:val="TextBody"/>
        <w:bidi w:val="0"/>
        <w:spacing w:before="240" w:after="0"/>
        <w:jc w:val="left"/>
        <w:rPr>
          <w:rFonts w:ascii="Times New Roman" w:hAnsi="Times New Roman"/>
          <w:sz w:val="20"/>
        </w:rPr>
      </w:pPr>
      <w:r>
        <w:rPr>
          <w:rFonts w:ascii="Times New Roman" w:hAnsi="Times New Roman"/>
          <w:sz w:val="20"/>
        </w:rPr>
        <w:t>2.17. </w:t>
      </w:r>
      <w:r>
        <w:rPr>
          <w:rFonts w:ascii="Times New Roman" w:hAnsi="Times New Roman"/>
          <w:sz w:val="20"/>
          <w:u w:val="single"/>
        </w:rPr>
        <w:t>Stock Plan</w:t>
      </w:r>
      <w:r>
        <w:rPr>
          <w:rFonts w:ascii="Times New Roman" w:hAnsi="Times New Roman"/>
          <w:sz w:val="20"/>
        </w:rPr>
        <w:t xml:space="preserve"> means the Companys 2024 Equity Incentive Plan, as amended or amended and restated from time to time,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2.18. </w:t>
      </w:r>
      <w:r>
        <w:rPr>
          <w:rFonts w:ascii="Times New Roman" w:hAnsi="Times New Roman"/>
          <w:sz w:val="20"/>
          <w:u w:val="single"/>
        </w:rPr>
        <w:t>Termination Date</w:t>
      </w:r>
      <w:r>
        <w:rPr>
          <w:rFonts w:ascii="Times New Roman" w:hAnsi="Times New Roman"/>
          <w:sz w:val="20"/>
        </w:rPr>
        <w:t xml:space="preserve"> means the Covered Employees last day of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Eligibility for Severance Benefits</w:t>
      </w:r>
      <w:r>
        <w:rPr>
          <w:rFonts w:ascii="Times New Roman" w:hAnsi="Times New Roman"/>
          <w:sz w:val="20"/>
        </w:rPr>
        <w:t xml:space="preserve">. An individual is eligible for Severance Benefits under the Plan, in the amounts set forth in Section 4, only if such individual is a Covered Employee on the date such individual experiences a Covered Termination.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Severance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Covered Termination Outside the Change in Control Period</w:t>
      </w:r>
      <w:r>
        <w:rPr>
          <w:rFonts w:ascii="Times New Roman" w:hAnsi="Times New Roman"/>
          <w:sz w:val="20"/>
        </w:rPr>
        <w:t>. If, at any time outside of the Change in Control Period, a Covered Employee experience a Covered Termination, then, subject to the Covered Employees compliance with Section 5, the Covered Employee shall receive the following Severance Benefits from the Company (the </w:t>
      </w:r>
      <w:r>
        <w:rPr>
          <w:rFonts w:ascii="Times New Roman" w:hAnsi="Times New Roman"/>
          <w:sz w:val="20"/>
          <w:u w:val="single"/>
        </w:rPr>
        <w:t>Standard Severance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Cash Severance Benefits</w:t>
      </w:r>
      <w:r>
        <w:rPr>
          <w:rFonts w:ascii="Times New Roman" w:hAnsi="Times New Roman"/>
          <w:sz w:val="20"/>
        </w:rPr>
        <w:t>. The Covered Employee shall receive cash severance in an amount equal to the Covered Employees base salary (as in effect immediately prior to any reduction giving rise to Good Reason, if applicable) for the number of months set forth in the Covered Employees Participation Agreement (the </w:t>
      </w:r>
      <w:r>
        <w:rPr>
          <w:rFonts w:ascii="Times New Roman" w:hAnsi="Times New Roman"/>
          <w:sz w:val="20"/>
          <w:u w:val="single"/>
        </w:rPr>
        <w:t>Standard Severance Period</w:t>
      </w:r>
      <w:r>
        <w:rPr>
          <w:rFonts w:ascii="Times New Roman" w:hAnsi="Times New Roman"/>
          <w:sz w:val="20"/>
        </w:rPr>
        <w:t>). The cash amount shall be paid, less applicable tax withholdings, in equal installments on the Companys regular payroll schedule, provided, that no payment shall be made prior to the first payroll date following the effective date of the Release (the </w:t>
      </w:r>
      <w:r>
        <w:rPr>
          <w:rFonts w:ascii="Times New Roman" w:hAnsi="Times New Roman"/>
          <w:sz w:val="20"/>
          <w:u w:val="single"/>
        </w:rPr>
        <w:t>Initial Payment Date</w:t>
      </w:r>
      <w:r>
        <w:rPr>
          <w:rFonts w:ascii="Times New Roman" w:hAnsi="Times New Roman"/>
          <w:sz w:val="20"/>
        </w:rPr>
        <w:t xml:space="preserve">). On the Initial Payment Date, the Company shall pay the Covered Employee in a lump sum the cash amount that the Covered Employee would have received on or prior to the Initial Payment Date under the original schedule but for the delay while waiting for Initial Payment Date in compliance with Section 409A (as defined below) and the effectiveness of the Release (as defined below), with the balance of the cash amount being paid as originally scheduled. Notwithstanding the foregoing, the Company may pay the cash amount in the form of a lump sum, which amount will be paid on the Initial Payment Date, but such lump sum payment shall be made only if the Company, in consultation with its advisors, determines that such payment will not result in adverse taxation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Prorated Annual Bonus</w:t>
      </w:r>
      <w:r>
        <w:rPr>
          <w:rFonts w:ascii="Times New Roman" w:hAnsi="Times New Roman"/>
          <w:sz w:val="20"/>
        </w:rPr>
        <w:t>. The Covered Employee will additionally be eligible to a prorated portion of such Covered Employees target annual bonus (if any), for the year in which the Covered Termination occurs. Such payment to which the Covered Employee is eligible under this Section 4.1.2 will be calculated (i) assuming all articulated performance goals for such bonus (including, but not limited to, corporate and individual performance, if applicable) for the year of the Covered Termination were achieved at target levels, (ii) by reference to the number of days that elapsed in the year of the Covered Employees Covered Termination between the first day of such year and the date of the Covered Termination, divided by 365, and (iii) ignoring any reduction in the Covered Employees base salary that would give rise to their resignation for Good Reason (such bonus, the </w:t>
      </w:r>
      <w:r>
        <w:rPr>
          <w:rFonts w:ascii="Times New Roman" w:hAnsi="Times New Roman"/>
          <w:sz w:val="20"/>
          <w:u w:val="single"/>
        </w:rPr>
        <w:t>Prorated Target Bonus</w:t>
      </w:r>
      <w:r>
        <w:rPr>
          <w:rFonts w:ascii="Times New Roman" w:hAnsi="Times New Roman"/>
          <w:sz w:val="20"/>
        </w:rPr>
        <w:t xml:space="preserve">). The Prorated Target Bonus shall be paid, less applicable tax withholdings, in equal installments on the Companys regular payroll schedule over the Standard Severance Period, provided, that no payment shall be made prior to the Initial Payment Date. On the Initial Payment Date, the Company shall pay the Covered Employee in a lump sum the amount of the Prorated Target Bonus that the Covered Employee would have received on or prior to the Initial Payment Date under the original schedule but for the delay while waiting for Initial Payment Date in compliance with Section 409A and the effectiveness of the Release, with the balance of the Prorated Target Bonus being paid as originally scheduled. Notwithstanding the foregoing, the Company may pay the Prorated Target Bonus in the form of a lump sum, which amount will be paid on the Initial Payment Date, but such lump sum payment shall be made only if the Company, in consultation with its advisors, determines that such payment will not result in adverse taxation under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COBRA Premiums</w:t>
      </w:r>
      <w:r>
        <w:rPr>
          <w:rFonts w:ascii="Times New Roman" w:hAnsi="Times New Roman"/>
          <w:sz w:val="20"/>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the Standard Severance Period (such period of months, the </w:t>
      </w:r>
      <w:r>
        <w:rPr>
          <w:rFonts w:ascii="Times New Roman" w:hAnsi="Times New Roman"/>
          <w:sz w:val="20"/>
          <w:u w:val="single"/>
        </w:rPr>
        <w:t>Standard COBRA Payment Period</w:t>
      </w:r>
      <w:r>
        <w:rPr>
          <w:rFonts w:ascii="Times New Roman" w:hAnsi="Times New Roman"/>
          <w:sz w:val="20"/>
        </w:rPr>
        <w:t>)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 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on the Covered Employees behalf, the Company will instead pay such Covered Employee on the last day of each remaining month of the Standard COBRA Payment Period a fully taxable cash payment equal to the COBRA premium for that month, subject to applicable tax withholding (such amount, the </w:t>
      </w:r>
      <w:r>
        <w:rPr>
          <w:rFonts w:ascii="Times New Roman" w:hAnsi="Times New Roman"/>
          <w:sz w:val="20"/>
          <w:u w:val="single"/>
        </w:rPr>
        <w:t>Special Severance Payment</w:t>
      </w:r>
      <w:r>
        <w:rPr>
          <w:rFonts w:ascii="Times New Roman" w:hAnsi="Times New Roman"/>
          <w:sz w:val="20"/>
        </w:rPr>
        <w:t xml:space="preserve">), such Special Severance Payment to be made without regard to the Covered Employees election of COBRA coverage or payment of COBRA premiums and without regard to such Covered Employees continued eligibility for COBRA coverage during the Standard COBRA Payment Period. Such Special Severance Payment shall end upon expiration of the Standard COBRA Payment Period.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Covered Termination During the Change in Control Period</w:t>
      </w:r>
      <w:r>
        <w:rPr>
          <w:rFonts w:ascii="Times New Roman" w:hAnsi="Times New Roman"/>
          <w:sz w:val="20"/>
        </w:rPr>
        <w:t>. If, at any time during the Change in Control Period, a Covered Employee experiences a Covered Termination, then, subject to the Covered Employees compliance with Section 5, the Covered Employee shall receive the following Severance Benefits from the Company (the </w:t>
      </w:r>
      <w:r>
        <w:rPr>
          <w:rFonts w:ascii="Times New Roman" w:hAnsi="Times New Roman"/>
          <w:sz w:val="20"/>
          <w:u w:val="single"/>
        </w:rPr>
        <w:t>CIC Severance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Cash Severance Benefits</w:t>
      </w:r>
      <w:r>
        <w:rPr>
          <w:rFonts w:ascii="Times New Roman" w:hAnsi="Times New Roman"/>
          <w:sz w:val="20"/>
        </w:rPr>
        <w:t>. The Covered Employee shall receive cash severance in an amount equal to the Covered Employees base salary (as in effect immediately prior to any reduction giving rise to Good Reason, if applicable) for the number of months set forth in the Covered Employees Participation Agreement (the </w:t>
      </w:r>
      <w:r>
        <w:rPr>
          <w:rFonts w:ascii="Times New Roman" w:hAnsi="Times New Roman"/>
          <w:sz w:val="20"/>
          <w:u w:val="single"/>
        </w:rPr>
        <w:t>CIC Severance Period</w:t>
      </w:r>
      <w:r>
        <w:rPr>
          <w:rFonts w:ascii="Times New Roman" w:hAnsi="Times New Roman"/>
          <w:sz w:val="20"/>
        </w:rPr>
        <w:t xml:space="preserve">). The cash amount shall be paid, less applicable tax withholdings, in equal installments on the Companys regular payroll schedule, provided, that no payment shall be made prior to the Initial Payment Date. On the Initial Payment Date, the Company shall pay the Covered Employee in a lump sum the cash amount that the Covered Employee would have received on or prior to the Initial Payment Date under the original schedule but for the delay while waiting for Initial Payment Date in compliance with Section 409A and the effectiveness of the Release, with the balance of the cash amount being paid as originally scheduled. Notwithstanding the foregoing, the Company may pay the cash amount in the form of a lump sum, which amount will be paid on the Initial Payment Date, but such lump sum payment shall be made only if the Company, in consultation with its advisors, determines that such payment will not result in adverse taxation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Target Annual Bonus Entitlement</w:t>
      </w:r>
      <w:r>
        <w:rPr>
          <w:rFonts w:ascii="Times New Roman" w:hAnsi="Times New Roman"/>
          <w:sz w:val="20"/>
        </w:rPr>
        <w:t xml:space="preserve">. The Covered Employee will additionally be eligible to a multiple of such Covered Employees target annual bonus, as established by the Board for the year in which the Covered Termination occurs. Such payment shall be paid, less applicable tax withholdings, in equal installments on the Companys regular payroll schedule over the CIC Severance Period, provided, that no payment shall be made prior to the Initial Payment Date. On the Initial Payment Date, the Company shall pay the Covered Employee in a lump sum the cash amount that the Covered Employee would have received on or prior to the Initial Payment Date under the original schedule but for the delay while waiting for Initial Payment Date in compliance with Section 409A and the effectiveness of the Release, with the balance of the cash amount being paid as originally scheduled. Notwithstanding the foregoing, the Company may pay the cash amount in the form of a lump sum, which amount will be paid on the Initial Payment Date, but such lump sum payment shall be made only if the Company, in consultation with its advisors, determines that such payment will not result in adverse taxation under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Prorated Annual Bonus</w:t>
      </w:r>
      <w:r>
        <w:rPr>
          <w:rFonts w:ascii="Times New Roman" w:hAnsi="Times New Roman"/>
          <w:sz w:val="20"/>
        </w:rPr>
        <w:t xml:space="preserve">. The Covered Employee will additionally be eligible to such Covered Employees Prorated Target Bonus for the year in which the Covered Termination occurs. The Prorated Target Bonus shall be paid, less applicable tax withholdings, in equal installments on the Companys regular payroll schedule, provided, that no payment shall be made prior to the Initial Payment Date. On the Initial Payment Date, the Company shall pay the Covered Employee in a lump sum the amount of the Prorated Target Bonus that the Covered Employee would have received on or prior to the Initial Payment Date under the original schedule but for the delay while waiting for Initial Payment Date in compliance with Section 409A and the effectiveness of the Release, with the balance of the Prorated Target Bonus being paid as originally scheduled. Notwithstanding the foregoing, the Company may pay the Prorated Target Bonus in the form of a lump sum, which amount will be paid on the Initial Payment Date, but such lump sum payment shall be made only if the Company, in consultation with its advisors, determines that such payment will not result in adverse taxation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COBRA Premiums</w:t>
      </w:r>
      <w:r>
        <w:rPr>
          <w:rFonts w:ascii="Times New Roman" w:hAnsi="Times New Roman"/>
          <w:sz w:val="20"/>
        </w:rPr>
        <w:t>. Provided the Covered Employee is eligible for and timely makes the necessary elections for continuation coverage pursuant to COBRA the Company shall pay the applicable premiums (inclusive of premiums for the Covered Employees dependents) for such coverage following the date of the Covered Employees Covered Termination for up to the CIC Severance Period (such period of months, the </w:t>
      </w:r>
      <w:r>
        <w:rPr>
          <w:rFonts w:ascii="Times New Roman" w:hAnsi="Times New Roman"/>
          <w:sz w:val="20"/>
          <w:u w:val="single"/>
        </w:rPr>
        <w:t>CIC COBRA Payment Period</w:t>
      </w:r>
      <w:r>
        <w:rPr>
          <w:rFonts w:ascii="Times New Roman" w:hAnsi="Times New Roman"/>
          <w:sz w:val="20"/>
        </w:rPr>
        <w:t xml:space="preserve">) (but in no event after such time as the Covered Employee is eligible for coverage under a health, dental or vision insurance plan of a subsequent employer or as the Covered Employee and the Covered Employees dependents are no longer eligible for COBRA coverage). The Covered Employee shall notify the Company immediately if the Covered Employee becomes covered by a health, dental, or vision insurance plan of a subsequent employer or if the Covered Employees dependents are no longer eligible for COBRA coverage. Notwithstanding the foregoing,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on the Covered Employees behalf, the Company will instead pay such Covered Employee on the last day of each remaining month of the CIC COBRA Payment Period a Special Severance Payment to be made without regard to the Covered Employees election of COBRA coverage or payment of COBRA premiums and without regard to such Covered Employees continued eligibility for COBRA coverage during the CIC COBRA Payment Period. Such Special Severance Payment shall end upon expiration of the CIC COBRA Payment Period.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Equity Vesting</w:t>
      </w:r>
      <w:r>
        <w:rPr>
          <w:rFonts w:ascii="Times New Roman" w:hAnsi="Times New Roman"/>
          <w:sz w:val="20"/>
        </w:rPr>
        <w:t>. Each of the Covered Employees then-outstanding equity awards, subject to time-based vesting shall accelerate and become vested and exercisable as to the percentage of the unvested shares subject to the equity award set forth in the Covered Employees Participation Agreement (the </w:t>
      </w:r>
      <w:r>
        <w:rPr>
          <w:rFonts w:ascii="Times New Roman" w:hAnsi="Times New Roman"/>
          <w:sz w:val="20"/>
          <w:u w:val="single"/>
        </w:rPr>
        <w:t>Equity Acceleration Percentage</w:t>
      </w:r>
      <w:r>
        <w:rPr>
          <w:rFonts w:ascii="Times New Roman" w:hAnsi="Times New Roman"/>
          <w:sz w:val="20"/>
        </w:rPr>
        <w:t xml:space="preserve">), except any award granted after the Effective Date that explicitly overrides this provision in writing. Subject to Section 5, the accelerated vesting described in this paragraph shall be effective as of the later of the Change in Control and the Termination Date. Notwithstanding anything herein to the contrary, nothing in the Plan shall limit the Companys ability to accelerate vesting and/or exercisability of outstanding equity awards pursuant to the terms of the applicable equity incentive plan of the Company. In order to give effect to the intent of the foregoing provision, notwithstanding anything to the contrary set forth in the applicable equity incentive plan of the Company or the applicable equity award agreements that provide that any then-unvested portion of the Covered Employees award will immediately expire upon such Covered Employees termination of service, such Covered Employees equity awards shall remain outstanding following such Covered Employees Covered Termination to give effect to such acceleration as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to Receipt of Severance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Release Agreement</w:t>
      </w:r>
      <w:r>
        <w:rPr>
          <w:rFonts w:ascii="Times New Roman" w:hAnsi="Times New Roman"/>
          <w:sz w:val="20"/>
        </w:rPr>
        <w:t>. As a condition to receiving the Severance Benefits, a Covered Employee must sign a separation agreement containing among other provisions, a release of all claims in favor of the Company and its subsidiaries and affiliates (the </w:t>
      </w:r>
      <w:r>
        <w:rPr>
          <w:rFonts w:ascii="Times New Roman" w:hAnsi="Times New Roman"/>
          <w:sz w:val="20"/>
          <w:u w:val="single"/>
        </w:rPr>
        <w:t>Release</w:t>
      </w:r>
      <w:r>
        <w:rPr>
          <w:rFonts w:ascii="Times New Roman" w:hAnsi="Times New Roman"/>
          <w:sz w:val="20"/>
        </w:rPr>
        <w:t>) in such form as may be provided by the Company. The Release must become effective in accordance with its terms, which must occur in no event more than 60 days following the date of the applicable Covered Termination. In no event shall payment of any benefits under the Plan be made prior to a Covered Employees Termination Date or prior to the effective date of the Release. If the Company determines that any payments or benefits provided under the Plan constitute deferred compensation under Section 409A, and the Covered Employees Termination Date occurs at a time during the calendar year when the Release could become effective in the calendar year following the calendar year in which the Covered Employees separation from service within the meaning of Section 409A of the Code and the final regulations and any guidance promulgated thereunder (</w:t>
      </w:r>
      <w:r>
        <w:rPr>
          <w:rFonts w:ascii="Times New Roman" w:hAnsi="Times New Roman"/>
          <w:sz w:val="20"/>
          <w:u w:val="single"/>
        </w:rPr>
        <w:t>Section 409A</w:t>
      </w:r>
      <w:r>
        <w:rPr>
          <w:rFonts w:ascii="Times New Roman" w:hAnsi="Times New Roman"/>
          <w:sz w:val="20"/>
        </w:rPr>
        <w:t xml:space="preserve">) occurs, then regardless of when the Release is returned to the Company and becomes effective, the Release will not be deemed effective any earlier than the latest permitted effective date; provided, that except to the extent that payments may be delayed in accordance with Section 8, on the first regular payroll date following the effective date of a Covered Employees Release, the Company shall (i) pay the Covered Employee a lump sum amount equal to the sum of the Severance Benefits that the Covered Employee would otherwise have received through such payroll date but for the delay in payment related to the effectiveness of the Release and (ii) commence paying the balance, if any, of the Severance Benefits in accordance with the applicable payment schedule.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Other Requirements</w:t>
      </w:r>
      <w:r>
        <w:rPr>
          <w:rFonts w:ascii="Times New Roman" w:hAnsi="Times New Roman"/>
          <w:sz w:val="20"/>
        </w:rPr>
        <w:t xml:space="preserve">. A Covered Employees receipt of Severance Benefits pursuant to Section 4 will be subject to such Covered Employee continued material compliance with the terms of the Release, the Participation Agreement, the non-disparagement provisions of a separation agreement provided by the Company, and any confidential information agreement, proprietary information and inventions agreement and any other agreement between the Covered Employee and the Company. Severance Benefits under this Plan shall terminate immediately for a Covered Employee if such Covered Employee is in material violation, at any time, of any legal or contractual obligation owed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Section 280G</w:t>
      </w:r>
      <w:r>
        <w:rPr>
          <w:rFonts w:ascii="Times New Roman" w:hAnsi="Times New Roman"/>
          <w:sz w:val="20"/>
        </w:rPr>
        <w:t>. Any provision of the Plan to the contrary notwithstanding, if any payment or benefit a Covered Employee would receive from the Company and its subsidiaries or an acquiror pursuant to the Plan or otherwise (a </w:t>
      </w:r>
      <w:r>
        <w:rPr>
          <w:rFonts w:ascii="Times New Roman" w:hAnsi="Times New Roman"/>
          <w:sz w:val="20"/>
          <w:u w:val="single"/>
        </w:rPr>
        <w:t>Payment</w:t>
      </w:r>
      <w:r>
        <w:rPr>
          <w:rFonts w:ascii="Times New Roman" w:hAnsi="Times New Roman"/>
          <w:sz w:val="20"/>
        </w:rPr>
        <w:t>) would (i) constitute a parachute payment within the meaning of Section 280G of the Code, and (ii) but for this sentence, be subject to the excise tax imposed by Section 4999 of the Code (the </w:t>
      </w:r>
      <w:r>
        <w:rPr>
          <w:rFonts w:ascii="Times New Roman" w:hAnsi="Times New Roman"/>
          <w:sz w:val="20"/>
          <w:u w:val="single"/>
        </w:rPr>
        <w:t>Excise Tax</w:t>
      </w:r>
      <w:r>
        <w:rPr>
          <w:rFonts w:ascii="Times New Roman" w:hAnsi="Times New Roman"/>
          <w:sz w:val="20"/>
        </w:rPr>
        <w:t>), then such Payment will be equal to the Higher Amount (defined below). The </w:t>
      </w:r>
      <w:r>
        <w:rPr>
          <w:rFonts w:ascii="Times New Roman" w:hAnsi="Times New Roman"/>
          <w:sz w:val="20"/>
          <w:u w:val="single"/>
        </w:rPr>
        <w:t>Higher Amount</w:t>
      </w:r>
      <w:r>
        <w:rPr>
          <w:rFonts w:ascii="Times New Roman" w:hAnsi="Times New Roman"/>
          <w:sz w:val="20"/>
        </w:rPr>
        <w:t xml:space="preserve"> will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Covered Employees receipt, on an after-tax basis, of the greater economic benefit notwithstanding that all or some portion of the Payment may be subject to the Excise Tax. If a reduction in payments or benefits constituting parachute payments within the meaning of Section 280G of the Code is necessary so that the Payment equals the Higher Amount, reduction will occur in the manner that results in the greatest economic benefit for a Covered Employee and, to the extent applicable, complies with Section 409A. In no event will the Company, any subsidiary or any stockholder be liable to any Covered Employee for any amounts not paid as a result of the operation of this Section 5.3. The Company will use commercially reasonable efforts to cause the accounting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firm engaged to make the determinations hereunder to provide its calculations, together with detailed supporting documentation, to a Covered Employee and the Company within 15 calendar days after the date on which such Covered Employees right to a Payment is triggered (if requested at that time by such Covered Employee or the Company) or such other time as requested by such Covered Employee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Non-Duplication of Benefits</w:t>
      </w:r>
      <w:r>
        <w:rPr>
          <w:rFonts w:ascii="Times New Roman" w:hAnsi="Times New Roman"/>
          <w:sz w:val="20"/>
        </w:rPr>
        <w:t xml:space="preserve">. Notwithstanding any other provision in the Plan to the contrary, the Severance Benefits provided to a Covered Employee are intended to be and are exclusive and in lieu of any other change in control severance benefits or payments to which such Covered Employee may otherwise be eligible, either at law, tort, or contract, in equity, or under the Plan, in the event of any termination of such Covered Employees employment. The Covered Employee will be eligible to no change in control severance benefits or payments upon a termination of employment that constitutes a Covered Termination other than those benefits expressly set forth herein and those benefits required to be provided by applicable law or as negotiated in accordance with applicable law (including any severance benefits that may be included in a severance agreement, employment agreement or similar contract between the Company or a subsidiary of the Company and the Covered Employee). Notwithstanding the foregoing, if a Covered Employee is eligible to any benefits other than the benefits under the Plan by operation of applicable law or as negotiated in accordance with applicable law, such Covered Employees benefits under the Plan shall be provided only to the extent more favorable than such other arrangement. The Administrator, in its sole discretion, shall have the authority to reduce or otherwise adjust a Covered Employees benefits under the Plan, in whole or in part, by any other severance benefits, pay and benefits in lieu of notice, or other similar benefits payable to such Covered Employee under the Plan that become payable in connection with the Covered Employees termination of employment pursuant to (i) any applicable legal requirement, including the Worker Adjustment and Retraining Notification Act or any other similar state law, or (ii) any policy or practice of the Company providing for the Covered Employee to remain on payroll for a limited period of time after being given notice of termination. The benefits provided under the Plan are intended to satisfy, in whole or in part, any and all statutory obligations of the Company that may arise out of a Covered Employees termination of employment, and the Administrator shall so construe and implement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Clawback; Recovery</w:t>
      </w:r>
      <w:r>
        <w:rPr>
          <w:rFonts w:ascii="Times New Roman" w:hAnsi="Times New Roman"/>
          <w:sz w:val="20"/>
        </w:rPr>
        <w:t xml:space="preserve">. 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as the Administrator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Section 409A</w:t>
      </w:r>
      <w:r>
        <w:rPr>
          <w:rFonts w:ascii="Times New Roman" w:hAnsi="Times New Roman"/>
          <w:sz w:val="20"/>
        </w:rPr>
        <w:t xml:space="preserve">. Notwithstanding anything to the contrary in the Plan, no severance payments or benefits will become payable until the Covered Employee has a separation from service within the meaning of Section 409A. Further, if some or all of the Covered Employees Severance Benefits are subject to Section 409A and such Covered Employee is a specified employee within the meaning of Section 409A at the time of such Covered Employees separation from service (other than due to death), then such Severance Benefits otherwise due to such Covered Employee on or within the six-month period following such Covered Employees separation from service will accrue during such six-month period and will become payable in a lump sum payment (less applicable withholding taxes) on the date six months and one day following the date of the Covered Employees separation from service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to avoid adverse taxation under Section 409A. All subsequent payments, if any, will be payable in accordance with the payment schedule applicable to each payment or benefit. Notwithstanding anything herein to the contrary, if the Covered Employee dies following such Covered Employees separation from service but prior to the six-month anniversary of such Covered Employees date of separation, then any payments delayed in accordance with this paragraph will be payable in a lump sum (less applicable withholding taxes) to the Covered Employees estate as soon as administratively practicable after the date of such Covered Employees death and all other benefits will be payable in accordance with the payment schedule applicable to each payment or benefit. Each payment and benefit payable under the Plan is intended to constitute a separate payment for purposes of Section 409A. It is the intent of this Plan to comply with or be exempt from the requirements of Section 409A so that none of the severance payments and benefits to be provided hereunder will be subject to the additional tax imposed under Section 409A, and any ambiguities herein will be interpreted to so comply. Notwithstanding the foregoing, the Company makes no representations that the payments and benefits provided under the Plan comply with Section 409A, and in no event shall the Company or any of its representatives be liable for all or any portion of any taxes, penalties, interest, or other expenses that may be incurred by the Covered Employee on account of non-compliance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Withholding</w:t>
      </w:r>
      <w:r>
        <w:rPr>
          <w:rFonts w:ascii="Times New Roman" w:hAnsi="Times New Roman"/>
          <w:sz w:val="20"/>
        </w:rPr>
        <w:t xml:space="preserve">. The Company will withhold from any Severance Benefits all federal, state, local and other taxes required to be withheld therefrom and any other required payroll deductions.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Administration</w:t>
      </w:r>
      <w:r>
        <w:rPr>
          <w:rFonts w:ascii="Times New Roman" w:hAnsi="Times New Roman"/>
          <w:sz w:val="20"/>
        </w:rPr>
        <w:t xml:space="preserve">. The Plan will be administered and interpreted by the Administrator (in the Administrators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Any decision made or other action taken by the Administrator with respect to the Plan, and any interpretation by the Administrator of any term or condition of the Plan, or any related document that (i) does not affect the benefits payable under the Plan shall not be subject to review unless found to be arbitrary and capricious or (ii) does affect the benefits payable under the Plan shall not be subject to review unless found to be unreasonable or not to have been made in good faith.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Amendment or Termination</w:t>
      </w:r>
      <w:r>
        <w:rPr>
          <w:rFonts w:ascii="Times New Roman" w:hAnsi="Times New Roman"/>
          <w:sz w:val="20"/>
        </w:rPr>
        <w:t xml:space="preserve">. The Company, by action of the Administrator, reserves the right to amend or terminate the Plan at any time, without advance notice to any Covered Employee and without regard to the effect of the amendment or termination on any Covered Employee or on any other individual. Any amendment or termination of the Plan will be in writing. Notwithstanding the foregoing, a Covered Employees rights to receive payments and benefits pursuant to this Plan under an effective Participation Agreement may not be adversely affected, without the Covered Employees written consent, by an amendment or termination of this Plan.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Claims Procedure</w:t>
      </w:r>
      <w:r>
        <w:rPr>
          <w:rFonts w:ascii="Times New Roman" w:hAnsi="Times New Roman"/>
          <w:sz w:val="20"/>
        </w:rPr>
        <w:t>. Claims for benefits under the Plan shall be administered in accordance with Section 503 of ERISA and the Department of Labor Regulations thereunder. Any employee or other person who believes they are entitled to any payment under the Plan (a </w:t>
      </w:r>
      <w:r>
        <w:rPr>
          <w:rFonts w:ascii="Times New Roman" w:hAnsi="Times New Roman"/>
          <w:sz w:val="20"/>
          <w:u w:val="single"/>
        </w:rPr>
        <w:t>claimant</w:t>
      </w:r>
      <w:r>
        <w:rPr>
          <w:rFonts w:ascii="Times New Roman" w:hAnsi="Times New Roman"/>
          <w:sz w:val="20"/>
        </w:rPr>
        <w:t xml:space="preserve">) may submit a claim in writing to the Administrator within 90 days of the earlier of (i) the date the claimant learned the amount of such claimants Severance Benefits under the Plan or (ii) the date the claimant learned that they will not be eligible to any benefits under the Plan. In determining claims for benefits, the Administrator or its delegate has the authority to interpret the Plan, to resolve ambiguities, to make factual determinations, and to resolve questions relating to eligibility for and amount of benefits. If the claim is denied (in full or in part), the claimant will be provided a written notice explaining the specific reasons for the denial and referring to the provisions of the Plan on which the denial is based. The notice will also describe any additional information or material that the Administrator needs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complete the review and an explanation of why such information or material is necessary and the Plans procedures for appealing the denial (including a statement of the applicants right to bring a civil action under Section 502(a) of ERISA following a denial on review of the claim, as described below). The denial notice will be provided within 90 days after the claim is received. If special circumstances require an extension of time (up to 90 days), written notice of the extension will be given to the claimant (or representative) within the initial 90-day period. This notice of extension will indicate the special circumstances requiring the extension of time and the date by which the Administrator expects to render its decision on the claim. If the extension is provided due to a claimants failure to provide sufficient information, the time frame for rendering the decision will be tolled from the date the notification is sent to the claimant about the failure to the date on which the claimant responds to the request for additional information. The Administrator has delegated the claims review responsibility to the Companys Chief Financial Officer or such other individual designated by the Administrator, except in the case of a claim filed by or on behalf of the Companys Chief Financial Officer or such other individual designated by the Administrator, in which case, the claim will be reviewed by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Appeal Procedure</w:t>
      </w:r>
      <w:r>
        <w:rPr>
          <w:rFonts w:ascii="Times New Roman" w:hAnsi="Times New Roman"/>
          <w:sz w:val="20"/>
        </w:rPr>
        <w:t xml:space="preserve">. If the claimants claim is denied, the claimant (or such claimants authorized representative) may apply in writing to an appeals official appointed by the Administrator (which may be a person, committee or other entity) for a review of the decision denying the claim. Review must be requested within 60 days following the date the claimant received the written notice of a claim denial or else the claimant will lose the right to such review. A request for review must set forth all the grounds on which such request is based, all facts in support of the request, and any other matters that the claimant feels are pertinent. In connection with the request for review, the claimant (or representative) has the right to review and obtain copies of all documents and other information relevant to the claim, upon request and at no charge, and to submit written comments, documents, records and other information relating to such claimants claim. The review shall take into account all comments, documents, records and other information submitted by the claimant (or representative) relating to the claim, without regard to whether such information was submitted or considered in the initial benefit determination. The appeals official will provide written notice of its decision on review within 60 days after it receives a review request. If special circumstances require an extension of time (up to 60 days), written notice of the extension will be given to the claimant (or representative) within the initial 60-day period. This notice of extension will indicate the special circumstances requiring the extension of time and the date by which the appeals official expects to render its decision. If the extension is provided due to a claimants failure to provide sufficient information, the time frame for rendering the decision on review is tolled from the date the notification is sent to the claimant about the failure to the date on which the claimant responds to the request for additional information. If the claim is denied (in full or in part) upon review, the claimant will be provided a written notice explaining the specific reasons for the denial and referring to the provisions of the Plan on which the denial is based. The notice shall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 The Administrator has delegated the appeals review responsibility to the Companys Chief Financial Officer, except in the case of an appeal filed by or on behalf of the Companys Chief Financial Officer, in which case, the appeal will be reviewed by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Arbitration</w:t>
      </w:r>
      <w:r>
        <w:rPr>
          <w:rFonts w:ascii="Times New Roman" w:hAnsi="Times New Roman"/>
          <w:sz w:val="20"/>
        </w:rPr>
        <w:t>. No arbitration proceeding shall be brought to recover benefits under the Plan until the claims procedures described in Sections 12 and 13 have been exhausted and the Plan benefits requested have been denied in whole or in part. Notwithstanding any other provision of the Plan, to ensure the timely and economical resolution of disputes, all disputes, claims, or causes of action arising from or relating to the enforcement, breach, performance or interpretation of this Plan will be resolved to the fullest extent permitted by law by final, binding and confidential arbitration, by a single arbitrator, in conducted by JAMS, Inc. (</w:t>
      </w:r>
      <w:r>
        <w:rPr>
          <w:rFonts w:ascii="Times New Roman" w:hAnsi="Times New Roman"/>
          <w:sz w:val="20"/>
          <w:u w:val="single"/>
        </w:rPr>
        <w:t>JAMS</w:t>
      </w:r>
      <w:r>
        <w:rPr>
          <w:rFonts w:ascii="Times New Roman" w:hAnsi="Times New Roman"/>
          <w:sz w:val="20"/>
        </w:rPr>
        <w:t xml:space="preserve">) under the then-applicable JAMS rules (available at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web address: https://www.jamsadr.com/rules-employment). By agreeing to this arbitration procedure, each Covered Employee and the Company waive the right to resolve any such dispute through a trial by jury or judge or administrative proceeding. Covered Employees will have the right to be represented by legal counsel at any arbitration proceeding. In addition, all claims, disputes, or causes of action under this section, whether by a Covered Employee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a Covered Employee or the Company would be eligible to seek in a court of law. The Company shall pay all JAMS arbitration fees in excess of the amount of court fees that would be required of a Covered Employee if the dispute were decided in a court of law. Nothing in this paragraph is intended to prevent either a Covered Employee or the Company from obtaining injunctive relief in court to prevent irreparable harm pending the conclusion of any such arbitration. Any awards or orders in such arbitrations may be entered and enforced as judgments in the federal and state courts of any competent jurisdiction. Any arbitration must be commenced within one year after the Covered Employees receipt of notification that their appeal was denied. The foregoing provisions shall apply to the extent consistent with and permitted by ERISA.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Source of Payments</w:t>
      </w:r>
      <w:r>
        <w:rPr>
          <w:rFonts w:ascii="Times New Roman" w:hAnsi="Times New Roman"/>
          <w:sz w:val="20"/>
        </w:rPr>
        <w:t xml:space="preserve">. All Severance Benefits will be paid in cash from the general funds of the Company; no separate fund will be established under the Plan, and the Plan will have no assets. No right of any person to receive any payment under the Plan will be any greater than the right of any other general unsecured creditor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Inalienability</w:t>
      </w:r>
      <w:r>
        <w:rPr>
          <w:rFonts w:ascii="Times New Roman" w:hAnsi="Times New Roman"/>
          <w:sz w:val="20"/>
        </w:rPr>
        <w:t xml:space="preserve">. In no event may any current or former employee of the Company or any of its subsidiaries or affiliates sell, transfer, anticipate, assign or otherwise dispose of any right or interest under the Plan. At no time will any such right or interest be subject to the claims of creditors nor liable to attachment, execution or other legal process.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Enlargement of Employment Rights</w:t>
      </w:r>
      <w:r>
        <w:rPr>
          <w:rFonts w:ascii="Times New Roman" w:hAnsi="Times New Roman"/>
          <w:sz w:val="20"/>
        </w:rPr>
        <w:t xml:space="preserve">. Neither the establishment nor maintenance of the Plan, any amendment of the Plan, nor the making of any benefit payment hereunder, will be construed to confer upon any individual any right to be continued as an employee of the Company. The Company expressly reserves the right to discharge any of its employees at any time, with or without Cause. However, as described in the Plan, a Covered Employee may be eligible to benefits under the Plan depending upon the circumstances of such Covered Employees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Successors</w:t>
      </w:r>
      <w:r>
        <w:rPr>
          <w:rFonts w:ascii="Times New Roman" w:hAnsi="Times New Roman"/>
          <w:sz w:val="20"/>
        </w:rPr>
        <w:t>. Any successor to the Company of all or substantially all of the Companys business or assets (whether direct or indirect and whether by purchase, merger, consolidation, liquidation or otherwise)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w:t>
      </w:r>
      <w:r>
        <w:rPr>
          <w:rFonts w:ascii="Times New Roman" w:hAnsi="Times New Roman"/>
          <w:sz w:val="20"/>
          <w:u w:val="single"/>
        </w:rPr>
        <w:t>Company</w:t>
      </w:r>
      <w:r>
        <w:rPr>
          <w:rFonts w:ascii="Times New Roman" w:hAnsi="Times New Roman"/>
          <w:sz w:val="20"/>
        </w:rPr>
        <w:t xml:space="preserve"> will include any successor to the Companys business or assets which become bound by the terms of the Plan by operation of law,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Applicable Law</w:t>
      </w:r>
      <w:r>
        <w:rPr>
          <w:rFonts w:ascii="Times New Roman" w:hAnsi="Times New Roman"/>
          <w:sz w:val="20"/>
        </w:rPr>
        <w:t xml:space="preserve">. The provisions of the Plan will be construed, administered and enforced in accordance with ERISA and, to the extent applicable, the internal substantive laws of the State of Connecticut (except its conflict of laws provisions).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Severability</w:t>
      </w:r>
      <w:r>
        <w:rPr>
          <w:rFonts w:ascii="Times New Roman" w:hAnsi="Times New Roman"/>
          <w:sz w:val="20"/>
        </w:rPr>
        <w:t xml:space="preserve">. If any provision of the Plan is held invalid or unenforceable, its invalidity or unenforceability will not affect any other provision of the Plan, and the Plan will be construed and enforced as if such provision had not been included.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Headings</w:t>
      </w:r>
      <w:r>
        <w:rPr>
          <w:rFonts w:ascii="Times New Roman" w:hAnsi="Times New Roman"/>
          <w:sz w:val="20"/>
        </w:rPr>
        <w:t xml:space="preserve">. Headings in this Plan document are for purposes of reference only and will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Additional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1"/>
        <w:gridCol w:w="122"/>
        <w:gridCol w:w="7972"/>
      </w:tblGrid>
      <w:tr>
        <w:trPr/>
        <w:tc>
          <w:tcPr>
            <w:tcW w:w="21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972" w:type="dxa"/>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Plan Name:</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Tectonic Therapeutic, Inc. Severance Plan</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Plan Sponsor:</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Tectonic Therapeutic, Inc.</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Plan Year:</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Fiscal year ending</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Plan Administrator:</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sz w:val="4"/>
                <w:szCs w:val="4"/>
              </w:rPr>
            </w:pPr>
            <w:r>
              <w:rPr>
                <w:sz w:val="4"/>
                <w:szCs w:val="4"/>
              </w:rPr>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Attention: Administrator of the Tectonic Therapeutic, Inc. Severance Plan</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Agent for Service of</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Legal Process:</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Attention: Administrator of the Tectonic Therapeutic, Inc. Severance Plan</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Service of process may also be made upon the Administrator.</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Type of Plan:</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Severance Plan/Employee Welfare Benefit Plan</w:t>
            </w:r>
          </w:p>
        </w:tc>
      </w:tr>
      <w:tr>
        <w:trPr>
          <w:trHeight w:val="120" w:hRule="atLeast"/>
        </w:trPr>
        <w:tc>
          <w:tcPr>
            <w:tcW w:w="2111" w:type="dxa"/>
            <w:tcBorders/>
            <w:vAlign w:val="center"/>
          </w:tcPr>
          <w:p>
            <w:pPr>
              <w:pStyle w:val="TableContents"/>
              <w:bidi w:val="0"/>
              <w:spacing w:before="0" w:after="283"/>
              <w:jc w:val="left"/>
              <w:rPr>
                <w:sz w:val="4"/>
                <w:szCs w:val="4"/>
              </w:rPr>
            </w:pPr>
            <w:r>
              <w:rPr>
                <w:sz w:val="4"/>
                <w:szCs w:val="4"/>
              </w:rPr>
            </w:r>
          </w:p>
        </w:tc>
        <w:tc>
          <w:tcPr>
            <w:tcW w:w="8094" w:type="dxa"/>
            <w:gridSpan w:val="2"/>
            <w:tcBorders/>
            <w:vAlign w:val="center"/>
          </w:tcPr>
          <w:p>
            <w:pPr>
              <w:pStyle w:val="TableContents"/>
              <w:bidi w:val="0"/>
              <w:spacing w:before="0" w:after="283"/>
              <w:jc w:val="left"/>
              <w:rPr>
                <w:sz w:val="4"/>
                <w:szCs w:val="4"/>
              </w:rPr>
            </w:pPr>
            <w:r>
              <w:rPr>
                <w:sz w:val="4"/>
                <w:szCs w:val="4"/>
              </w:rPr>
            </w:r>
          </w:p>
        </w:tc>
      </w:tr>
      <w:tr>
        <w:trPr/>
        <w:tc>
          <w:tcPr>
            <w:tcW w:w="2111" w:type="dxa"/>
            <w:tcBorders/>
          </w:tcPr>
          <w:p>
            <w:pPr>
              <w:pStyle w:val="TableContents"/>
              <w:bidi w:val="0"/>
              <w:spacing w:before="0" w:after="283"/>
              <w:jc w:val="left"/>
              <w:rPr/>
            </w:pPr>
            <w:r>
              <w:rPr/>
              <w:t>Plan Costs:</w:t>
            </w:r>
          </w:p>
        </w:tc>
        <w:tc>
          <w:tcPr>
            <w:tcW w:w="122" w:type="dxa"/>
            <w:tcBorders/>
            <w:vAlign w:val="bottom"/>
          </w:tcPr>
          <w:p>
            <w:pPr>
              <w:pStyle w:val="TableContents"/>
              <w:bidi w:val="0"/>
              <w:spacing w:before="0" w:after="283"/>
              <w:jc w:val="left"/>
              <w:rPr/>
            </w:pPr>
            <w:r>
              <w:rPr/>
              <w:t>  </w:t>
            </w:r>
          </w:p>
        </w:tc>
        <w:tc>
          <w:tcPr>
            <w:tcW w:w="7972" w:type="dxa"/>
            <w:tcBorders/>
          </w:tcPr>
          <w:p>
            <w:pPr>
              <w:pStyle w:val="TableContents"/>
              <w:bidi w:val="0"/>
              <w:spacing w:before="0" w:after="283"/>
              <w:jc w:val="left"/>
              <w:rPr/>
            </w:pPr>
            <w:r>
              <w:rPr/>
              <w:t>The cost of the Plan is paid by the Company.</w:t>
            </w:r>
          </w:p>
        </w:tc>
      </w:tr>
    </w:tbl>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Statement of ERISA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Covered Employee under the Plan, you have certain rights and protections under ERISA: </w:t>
      </w:r>
    </w:p>
    <w:p>
      <w:pPr>
        <w:pStyle w:val="TextBody"/>
        <w:bidi w:val="0"/>
        <w:spacing w:before="240" w:after="0"/>
        <w:jc w:val="left"/>
        <w:rPr>
          <w:rFonts w:ascii="Times New Roman" w:hAnsi="Times New Roman"/>
          <w:sz w:val="20"/>
        </w:rPr>
      </w:pPr>
      <w:r>
        <w:rPr>
          <w:rFonts w:ascii="Times New Roman" w:hAnsi="Times New Roman"/>
          <w:sz w:val="20"/>
        </w:rPr>
        <w:t xml:space="preserve">(a) You may examine (without charge) all Plan documents, including any amendments and copies of all documents filed with the U.S. Department of Labor. These documents are available for your review in the office of the Companys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(b) You may obtain copies of all Plan documents and other Plan information upon written request to the Administrator. A reasonable charge may be made for such copies. </w:t>
      </w:r>
    </w:p>
    <w:p>
      <w:pPr>
        <w:pStyle w:val="TextBody"/>
        <w:bidi w:val="0"/>
        <w:spacing w:before="240" w:after="0"/>
        <w:jc w:val="left"/>
        <w:rPr>
          <w:rFonts w:ascii="Times New Roman" w:hAnsi="Times New Roman"/>
          <w:sz w:val="20"/>
        </w:rPr>
      </w:pPr>
      <w:r>
        <w:rPr>
          <w:rFonts w:ascii="Times New Roman" w:hAnsi="Times New Roman"/>
          <w:sz w:val="20"/>
        </w:rPr>
        <w:t>In addition to creating rights for Covered Employees, ERISA imposes duties upon the people who are responsible for the operation of the Plan. The people who operate the Plan (called </w:t>
      </w:r>
      <w:r>
        <w:rPr>
          <w:rFonts w:ascii="Times New Roman" w:hAnsi="Times New Roman"/>
          <w:sz w:val="20"/>
          <w:u w:val="single"/>
        </w:rPr>
        <w:t>fiduciaries</w:t>
      </w:r>
      <w:r>
        <w:rPr>
          <w:rFonts w:ascii="Times New Roman" w:hAnsi="Times New Roman"/>
          <w:sz w:val="20"/>
        </w:rPr>
        <w:t xml:space="preserve">) have a duty to do so prudently and in the interests of you and the other Covered Employees. No one, including the Company or any other person, may fire you or otherwise discriminate against you in any way to prevent you from obtaining a benefit under the Plan or exercising your rights under ERISA. If your claim for a severance benefit is denied, in whole or in part, you have a right to know why it was denied, to obtain copies of documents relating to the decision without charge, and to appeal any denial, all within certain time schedules. The claim review procedure is explained in Sections 12 and 13,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to pay you up to $110 a day until you receive the materials, unless the materials were not sent because of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the Plan, please contact the Administrator. If you have any questions about this statement or about your rights under ERISA, you may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 at 1-866-444-3272.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10.47 </w:t>
      </w:r>
    </w:p>
    <w:p>
      <w:pPr>
        <w:pStyle w:val="TextBody"/>
        <w:bidi w:val="0"/>
        <w:spacing w:before="48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SEVERANCE PLAN </w:t>
      </w:r>
    </w:p>
    <w:p>
      <w:pPr>
        <w:pStyle w:val="TextBody"/>
        <w:bidi w:val="0"/>
        <w:spacing w:before="240" w:after="0"/>
        <w:jc w:val="center"/>
        <w:rPr>
          <w:rFonts w:ascii="Times New Roman" w:hAnsi="Times New Roman"/>
          <w:b/>
          <w:sz w:val="20"/>
        </w:rPr>
      </w:pPr>
      <w:r>
        <w:rPr>
          <w:rFonts w:ascii="Times New Roman" w:hAnsi="Times New Roman"/>
          <w:b/>
          <w:sz w:val="20"/>
        </w:rPr>
        <w:t xml:space="preserve">Participation Agreement </w:t>
      </w:r>
    </w:p>
    <w:p>
      <w:pPr>
        <w:pStyle w:val="TextBody"/>
        <w:bidi w:val="0"/>
        <w:spacing w:before="240" w:after="0"/>
        <w:jc w:val="left"/>
        <w:rPr>
          <w:rFonts w:ascii="Times New Roman" w:hAnsi="Times New Roman"/>
          <w:sz w:val="20"/>
        </w:rPr>
      </w:pPr>
      <w:r>
        <w:rPr>
          <w:rFonts w:ascii="Times New Roman" w:hAnsi="Times New Roman"/>
          <w:sz w:val="20"/>
        </w:rPr>
        <w:t>Tectonic Therapeutic, Inc. (the </w:t>
      </w:r>
      <w:r>
        <w:rPr>
          <w:rFonts w:ascii="Times New Roman" w:hAnsi="Times New Roman"/>
          <w:sz w:val="20"/>
          <w:u w:val="single"/>
        </w:rPr>
        <w:t>Company</w:t>
      </w:r>
      <w:r>
        <w:rPr>
          <w:rFonts w:ascii="Times New Roman" w:hAnsi="Times New Roman"/>
          <w:sz w:val="20"/>
        </w:rPr>
        <w:t>) is pleased to inform you,   , that you have been selected to participate in the Companys Severance Plan (the </w:t>
      </w:r>
      <w:r>
        <w:rPr>
          <w:rFonts w:ascii="Times New Roman" w:hAnsi="Times New Roman"/>
          <w:sz w:val="20"/>
          <w:u w:val="single"/>
        </w:rPr>
        <w:t>Plan</w:t>
      </w:r>
      <w:r>
        <w:rPr>
          <w:rFonts w:ascii="Times New Roman" w:hAnsi="Times New Roman"/>
          <w:sz w:val="20"/>
        </w:rPr>
        <w:t xml:space="preserve">) as a Covered Employee. A copy of the Plan was delivered to you with this Participation Agreement. Your participation in the Plan is subject to all of the terms and conditions of the Plan. The capitalized terms used but not defined herein will have the meanings ascribed to them in the Plan. </w:t>
      </w:r>
    </w:p>
    <w:p>
      <w:pPr>
        <w:pStyle w:val="TextBody"/>
        <w:bidi w:val="0"/>
        <w:spacing w:before="240" w:after="0"/>
        <w:jc w:val="left"/>
        <w:rPr>
          <w:rFonts w:ascii="Times New Roman" w:hAnsi="Times New Roman"/>
          <w:sz w:val="20"/>
        </w:rPr>
      </w:pPr>
      <w:r>
        <w:rPr>
          <w:rFonts w:ascii="Times New Roman" w:hAnsi="Times New Roman"/>
          <w:sz w:val="20"/>
        </w:rPr>
        <w:t xml:space="preserve">In order to become a Covered Employee under the Plan, you must complete and sign this Participation Agreement and return it to   no later than   . </w:t>
      </w:r>
    </w:p>
    <w:p>
      <w:pPr>
        <w:pStyle w:val="TextBody"/>
        <w:bidi w:val="0"/>
        <w:spacing w:before="240" w:after="0"/>
        <w:jc w:val="left"/>
        <w:rPr>
          <w:rFonts w:ascii="Times New Roman" w:hAnsi="Times New Roman"/>
          <w:sz w:val="20"/>
        </w:rPr>
      </w:pPr>
      <w:r>
        <w:rPr>
          <w:rFonts w:ascii="Times New Roman" w:hAnsi="Times New Roman"/>
          <w:sz w:val="20"/>
        </w:rPr>
        <w:t xml:space="preserve">The Plan describes in detail certain circumstances under which you may become eligible for Severance Benefits and the amount of those benefits. As described more fully in the Plan, you may become eligible for certain Severance Benefits if you experience a Covered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you become eligible for Standard Severance Benefits under Section 4.1 of the Plan, then subject to the terms and conditions of the Plan, you will receive: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0"/>
        <w:gridCol w:w="120"/>
        <w:gridCol w:w="4915"/>
      </w:tblGrid>
      <w:tr>
        <w:trPr/>
        <w:tc>
          <w:tcPr>
            <w:tcW w:w="5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5" w:type="dxa"/>
            <w:tcBorders/>
            <w:vAlign w:val="center"/>
          </w:tcPr>
          <w:p>
            <w:pPr>
              <w:pStyle w:val="TableContents"/>
              <w:bidi w:val="0"/>
              <w:spacing w:before="0" w:after="283"/>
              <w:jc w:val="left"/>
              <w:rPr>
                <w:sz w:val="4"/>
                <w:szCs w:val="4"/>
              </w:rPr>
            </w:pPr>
            <w:r>
              <w:rPr>
                <w:sz w:val="4"/>
                <w:szCs w:val="4"/>
              </w:rPr>
            </w:r>
          </w:p>
        </w:tc>
      </w:tr>
      <w:tr>
        <w:trPr/>
        <w:tc>
          <w:tcPr>
            <w:tcW w:w="5170" w:type="dxa"/>
            <w:tcBorders/>
          </w:tcPr>
          <w:p>
            <w:pPr>
              <w:pStyle w:val="TableContents"/>
              <w:bidi w:val="0"/>
              <w:spacing w:before="0" w:after="283"/>
              <w:jc w:val="left"/>
              <w:rPr/>
            </w:pPr>
            <w:r>
              <w:rPr/>
              <w:t>Cash Severance Benefits</w:t>
            </w:r>
          </w:p>
        </w:tc>
        <w:tc>
          <w:tcPr>
            <w:tcW w:w="120"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pPr>
            <w:r>
              <w:rPr/>
              <w:t>months</w:t>
            </w:r>
          </w:p>
        </w:tc>
      </w:tr>
      <w:tr>
        <w:trPr/>
        <w:tc>
          <w:tcPr>
            <w:tcW w:w="5170" w:type="dxa"/>
            <w:tcBorders/>
          </w:tcPr>
          <w:p>
            <w:pPr>
              <w:pStyle w:val="TableContents"/>
              <w:bidi w:val="0"/>
              <w:spacing w:before="0" w:after="283"/>
              <w:jc w:val="left"/>
              <w:rPr/>
            </w:pPr>
            <w:r>
              <w:rPr/>
              <w:t>COBRA Premiums</w:t>
            </w:r>
          </w:p>
        </w:tc>
        <w:tc>
          <w:tcPr>
            <w:tcW w:w="120"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pPr>
            <w:r>
              <w:rPr/>
              <w:t>months</w:t>
            </w:r>
          </w:p>
        </w:tc>
      </w:tr>
      <w:tr>
        <w:trPr/>
        <w:tc>
          <w:tcPr>
            <w:tcW w:w="5170" w:type="dxa"/>
            <w:tcBorders/>
          </w:tcPr>
          <w:p>
            <w:pPr>
              <w:pStyle w:val="TableContents"/>
              <w:bidi w:val="0"/>
              <w:spacing w:before="0" w:after="283"/>
              <w:jc w:val="left"/>
              <w:rPr/>
            </w:pPr>
            <w:r>
              <w:rPr/>
              <w:t>Prorated Target Bonus</w:t>
            </w:r>
          </w:p>
        </w:tc>
        <w:tc>
          <w:tcPr>
            <w:tcW w:w="120" w:type="dxa"/>
            <w:tcBorders/>
            <w:vAlign w:val="bottom"/>
          </w:tcPr>
          <w:p>
            <w:pPr>
              <w:pStyle w:val="TableContents"/>
              <w:bidi w:val="0"/>
              <w:spacing w:before="0" w:after="283"/>
              <w:jc w:val="left"/>
              <w:rPr/>
            </w:pPr>
            <w:r>
              <w:rPr/>
              <w:t>  </w:t>
            </w:r>
          </w:p>
        </w:tc>
        <w:tc>
          <w:tcPr>
            <w:tcW w:w="4915" w:type="dxa"/>
            <w:tcBorders/>
          </w:tcPr>
          <w:p>
            <w:pPr>
              <w:pStyle w:val="TableContents"/>
              <w:bidi w:val="0"/>
              <w:spacing w:before="0" w:after="283"/>
              <w:jc w:val="left"/>
              <w:rPr/>
            </w:pPr>
            <w:r>
              <w:rPr/>
              <w:t>To be determined based on date of Covered Termination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become eligible for CIC Severance Benefits under Section 4.2 of the Plan, then subject to the terms and conditions of the Plan, you will receive: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8"/>
        <w:gridCol w:w="123"/>
        <w:gridCol w:w="4894"/>
      </w:tblGrid>
      <w:tr>
        <w:trPr/>
        <w:tc>
          <w:tcPr>
            <w:tcW w:w="51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4" w:type="dxa"/>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left"/>
              <w:rPr/>
            </w:pPr>
            <w:r>
              <w:rPr/>
              <w:t>Cash Severance Benefits</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months</w:t>
            </w:r>
          </w:p>
        </w:tc>
      </w:tr>
      <w:tr>
        <w:trPr/>
        <w:tc>
          <w:tcPr>
            <w:tcW w:w="5188" w:type="dxa"/>
            <w:tcBorders/>
          </w:tcPr>
          <w:p>
            <w:pPr>
              <w:pStyle w:val="TableContents"/>
              <w:bidi w:val="0"/>
              <w:spacing w:before="0" w:after="283"/>
              <w:jc w:val="left"/>
              <w:rPr/>
            </w:pPr>
            <w:r>
              <w:rPr/>
              <w:t>Target Annual Bonus Entitlement</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x</w:t>
            </w:r>
          </w:p>
        </w:tc>
      </w:tr>
      <w:tr>
        <w:trPr/>
        <w:tc>
          <w:tcPr>
            <w:tcW w:w="5188" w:type="dxa"/>
            <w:tcBorders/>
          </w:tcPr>
          <w:p>
            <w:pPr>
              <w:pStyle w:val="TableContents"/>
              <w:bidi w:val="0"/>
              <w:spacing w:before="0" w:after="283"/>
              <w:jc w:val="left"/>
              <w:rPr/>
            </w:pPr>
            <w:r>
              <w:rPr/>
              <w:t>Prorated Target Bonus</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To be determined based on date of Covered Termination</w:t>
            </w:r>
          </w:p>
        </w:tc>
      </w:tr>
      <w:tr>
        <w:trPr/>
        <w:tc>
          <w:tcPr>
            <w:tcW w:w="5188" w:type="dxa"/>
            <w:tcBorders/>
          </w:tcPr>
          <w:p>
            <w:pPr>
              <w:pStyle w:val="TableContents"/>
              <w:bidi w:val="0"/>
              <w:spacing w:before="0" w:after="283"/>
              <w:jc w:val="left"/>
              <w:rPr/>
            </w:pPr>
            <w:r>
              <w:rPr/>
              <w:t>Equity Acceleration Percentage</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100%</w:t>
            </w:r>
          </w:p>
        </w:tc>
      </w:tr>
      <w:tr>
        <w:trPr/>
        <w:tc>
          <w:tcPr>
            <w:tcW w:w="5188" w:type="dxa"/>
            <w:tcBorders/>
          </w:tcPr>
          <w:p>
            <w:pPr>
              <w:pStyle w:val="TableContents"/>
              <w:bidi w:val="0"/>
              <w:spacing w:before="0" w:after="283"/>
              <w:jc w:val="left"/>
              <w:rPr/>
            </w:pPr>
            <w:r>
              <w:rPr/>
              <w:t>COBRA Premiums</w:t>
            </w:r>
          </w:p>
        </w:tc>
        <w:tc>
          <w:tcPr>
            <w:tcW w:w="123" w:type="dxa"/>
            <w:tcBorders/>
            <w:vAlign w:val="bottom"/>
          </w:tcPr>
          <w:p>
            <w:pPr>
              <w:pStyle w:val="TableContents"/>
              <w:bidi w:val="0"/>
              <w:spacing w:before="0" w:after="283"/>
              <w:jc w:val="left"/>
              <w:rPr/>
            </w:pPr>
            <w:r>
              <w:rPr/>
              <w:t>  </w:t>
            </w:r>
          </w:p>
        </w:tc>
        <w:tc>
          <w:tcPr>
            <w:tcW w:w="4894" w:type="dxa"/>
            <w:tcBorders/>
          </w:tcPr>
          <w:p>
            <w:pPr>
              <w:pStyle w:val="TableContents"/>
              <w:bidi w:val="0"/>
              <w:spacing w:before="0" w:after="283"/>
              <w:jc w:val="left"/>
              <w:rPr/>
            </w:pPr>
            <w:r>
              <w:rPr/>
              <w:t>months</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(x) you experience a Covered Termination prior to a Change in Control and become eligible to receive Standard Severance Benefits under Section 4.1 of the Plan and (y) a Change in Control subsequently occurs within three (3) months following such Covered Termination and you therefore become eligible to receive CIC Severance Benefits under Section 4.2 of the Plan, then (i) you will cease receiving the Standard Severance Benefits under Section 4.1 of the Plan and (ii) you will commence receiving the CIC Severance Benefits under Section 4.2 of the Plan, which will be offset by the corresponding Standard Severance Benefits you previously received prior to becoming eligible for the CIC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In order to receive any Severance Benefits for which you otherwise become eligible under the Plan, you must sign and deliver to the Company the Release, which must have become effective and irrevocable, and otherwise comply with the requirements under Section 5 of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with Section 6 of the Plan, the benefits, if any, provided under the Plan are intended to be the exclusive benefits for you related to your termination of employment in connection with a Change in Control of the Company and will supersede and replace any change in control severance benefits to which you otherwise would eligible to participate in any other Company change in control severance policy, plan, agreement or other arrangement (whether or not subject to ERISA). </w:t>
      </w:r>
    </w:p>
    <w:p>
      <w:pPr>
        <w:pStyle w:val="TextBody"/>
        <w:bidi w:val="0"/>
        <w:spacing w:before="240" w:after="0"/>
        <w:jc w:val="left"/>
        <w:rPr>
          <w:rFonts w:ascii="Times New Roman" w:hAnsi="Times New Roman"/>
          <w:sz w:val="20"/>
        </w:rPr>
      </w:pPr>
      <w:r>
        <w:rPr>
          <w:rFonts w:ascii="Times New Roman" w:hAnsi="Times New Roman"/>
          <w:sz w:val="20"/>
        </w:rPr>
        <w:t xml:space="preserve">By your signature below, you and the Company agree that your participation in the Plan is governed by this Participation Agreement and the provisions of the Plan. Your signature below confirms that: (i) you have received a copy of the Plan; (ii) you have carefully read this Participation Agreement and the Plan and you acknowledge and agree to its terms, including, but not limited to, Section 6 of the Plan; (iii) you agree that this Participation Agreement and the provisions of the Plan supersede any individual agreement between you and the Company and any other plan, policy or practice, whether written or unwritten, maintained by the Company with respect to equity acceleration or severance benefits upon your separation from the Company; and (iv) decisions and determinations by the Administrator under the Plan will be final and binding on you and your successors. </w:t>
      </w:r>
    </w:p>
    <w:p>
      <w:pPr>
        <w:pStyle w:val="TextBody"/>
        <w:bidi w:val="0"/>
        <w:spacing w:before="0" w:after="0"/>
        <w:jc w:val="left"/>
        <w:rPr/>
      </w:pPr>
      <w:r>
        <w:rPr/>
        <w:t> </w:t>
      </w:r>
    </w:p>
    <w:tbl>
      <w:tblPr>
        <w:tblW w:w="14970" w:type="dxa"/>
        <w:jc w:val="center"/>
        <w:tblInd w:w="0" w:type="dxa"/>
        <w:tblLayout w:type="fixed"/>
        <w:tblCellMar>
          <w:top w:w="0" w:type="dxa"/>
          <w:left w:w="0" w:type="dxa"/>
          <w:bottom w:w="0" w:type="dxa"/>
          <w:right w:w="0" w:type="dxa"/>
        </w:tblCellMar>
      </w:tblPr>
      <w:tblGrid>
        <w:gridCol w:w="7415"/>
        <w:gridCol w:w="60"/>
        <w:gridCol w:w="260"/>
        <w:gridCol w:w="120"/>
        <w:gridCol w:w="7115"/>
      </w:tblGrid>
      <w:tr>
        <w:trPr/>
        <w:tc>
          <w:tcPr>
            <w:tcW w:w="7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15" w:type="dxa"/>
            <w:tcBorders/>
            <w:vAlign w:val="center"/>
          </w:tcPr>
          <w:p>
            <w:pPr>
              <w:pStyle w:val="TableContents"/>
              <w:bidi w:val="0"/>
              <w:spacing w:before="0" w:after="283"/>
              <w:jc w:val="left"/>
              <w:rPr>
                <w:sz w:val="4"/>
                <w:szCs w:val="4"/>
              </w:rPr>
            </w:pPr>
            <w:r>
              <w:rPr>
                <w:sz w:val="4"/>
                <w:szCs w:val="4"/>
              </w:rPr>
            </w:r>
          </w:p>
        </w:tc>
      </w:tr>
      <w:tr>
        <w:trPr/>
        <w:tc>
          <w:tcPr>
            <w:tcW w:w="7415" w:type="dxa"/>
            <w:tcBorders/>
          </w:tcPr>
          <w:p>
            <w:pPr>
              <w:pStyle w:val="TableContents"/>
              <w:bidi w:val="0"/>
              <w:spacing w:before="0" w:after="283"/>
              <w:jc w:val="left"/>
              <w:rPr>
                <w:b/>
              </w:rPr>
            </w:pPr>
            <w:r>
              <w:rPr>
                <w:b/>
              </w:rPr>
              <w:t xml:space="preserve">TECTONIC THERAPEUTIC, INC. </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15" w:type="dxa"/>
            <w:tcBorders/>
          </w:tcPr>
          <w:p>
            <w:pPr>
              <w:pStyle w:val="TableContents"/>
              <w:bidi w:val="0"/>
              <w:spacing w:before="0" w:after="283"/>
              <w:jc w:val="left"/>
              <w:rPr>
                <w:b/>
              </w:rPr>
            </w:pPr>
            <w:r>
              <w:rPr>
                <w:b/>
              </w:rPr>
              <w:t>COVERED EMPLOYEE</w:t>
            </w:r>
          </w:p>
        </w:tc>
      </w:tr>
      <w:tr>
        <w:trPr>
          <w:trHeight w:val="240" w:hRule="atLeast"/>
        </w:trPr>
        <w:tc>
          <w:tcPr>
            <w:tcW w:w="7415"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7235" w:type="dxa"/>
            <w:gridSpan w:val="2"/>
            <w:tcBorders/>
            <w:vAlign w:val="center"/>
          </w:tcPr>
          <w:p>
            <w:pPr>
              <w:pStyle w:val="TableContents"/>
              <w:bidi w:val="0"/>
              <w:spacing w:before="0" w:after="283"/>
              <w:jc w:val="left"/>
              <w:rPr>
                <w:sz w:val="4"/>
                <w:szCs w:val="4"/>
              </w:rPr>
            </w:pPr>
            <w:r>
              <w:rPr>
                <w:sz w:val="4"/>
                <w:szCs w:val="4"/>
              </w:rPr>
            </w:r>
          </w:p>
        </w:tc>
      </w:tr>
      <w:tr>
        <w:trPr/>
        <w:tc>
          <w:tcPr>
            <w:tcW w:w="7415" w:type="dxa"/>
            <w:tcBorders/>
          </w:tcPr>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5" w:type="dxa"/>
            <w:tcBorders/>
          </w:tcPr>
          <w:p>
            <w:pPr>
              <w:pStyle w:val="TableContents"/>
              <w:pBdr>
                <w:bottom w:val="single" w:sz="2" w:space="1" w:color="000000"/>
              </w:pBdr>
              <w:bidi w:val="0"/>
              <w:spacing w:before="0" w:after="20"/>
              <w:jc w:val="left"/>
              <w:rPr/>
            </w:pPr>
            <w:r>
              <w:rPr/>
              <w:t> </w:t>
            </w:r>
          </w:p>
        </w:tc>
      </w:tr>
      <w:tr>
        <w:trPr/>
        <w:tc>
          <w:tcPr>
            <w:tcW w:w="7415" w:type="dxa"/>
            <w:tcBorders/>
          </w:tcPr>
          <w:p>
            <w:pPr>
              <w:pStyle w:val="TableContents"/>
              <w:bidi w:val="0"/>
              <w:spacing w:before="0" w:after="283"/>
              <w:jc w:val="center"/>
              <w:rPr/>
            </w:pPr>
            <w:r>
              <w:rPr/>
              <w:t>Signature</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5" w:type="dxa"/>
            <w:tcBorders/>
          </w:tcPr>
          <w:p>
            <w:pPr>
              <w:pStyle w:val="TableContents"/>
              <w:bidi w:val="0"/>
              <w:spacing w:before="0" w:after="283"/>
              <w:jc w:val="center"/>
              <w:rPr/>
            </w:pPr>
            <w:r>
              <w:rPr/>
              <w:t>Signature</w:t>
            </w:r>
          </w:p>
        </w:tc>
      </w:tr>
      <w:tr>
        <w:trPr>
          <w:trHeight w:val="240" w:hRule="atLeast"/>
        </w:trPr>
        <w:tc>
          <w:tcPr>
            <w:tcW w:w="7415"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7235" w:type="dxa"/>
            <w:gridSpan w:val="2"/>
            <w:tcBorders/>
            <w:vAlign w:val="center"/>
          </w:tcPr>
          <w:p>
            <w:pPr>
              <w:pStyle w:val="TableContents"/>
              <w:bidi w:val="0"/>
              <w:spacing w:before="0" w:after="283"/>
              <w:jc w:val="left"/>
              <w:rPr>
                <w:sz w:val="4"/>
                <w:szCs w:val="4"/>
              </w:rPr>
            </w:pPr>
            <w:r>
              <w:rPr>
                <w:sz w:val="4"/>
                <w:szCs w:val="4"/>
              </w:rPr>
            </w:r>
          </w:p>
        </w:tc>
      </w:tr>
      <w:tr>
        <w:trPr/>
        <w:tc>
          <w:tcPr>
            <w:tcW w:w="7415" w:type="dxa"/>
            <w:tcBorders/>
          </w:tcPr>
          <w:p>
            <w:pPr>
              <w:pStyle w:val="TableContents"/>
              <w:bidi w:val="0"/>
              <w:spacing w:before="0" w:after="283"/>
              <w:jc w:val="left"/>
              <w:rPr/>
            </w:pPr>
            <w:r>
              <w:rPr/>
              <w:t>Name: </w:t>
            </w:r>
            <w:r>
              <w:rPr>
                <w:u w:val="single"/>
              </w:rPr>
              <w:t>                                                                                                                </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5" w:type="dxa"/>
            <w:tcBorders/>
          </w:tcPr>
          <w:p>
            <w:pPr>
              <w:pStyle w:val="TableContents"/>
              <w:bidi w:val="0"/>
              <w:spacing w:before="0" w:after="283"/>
              <w:jc w:val="left"/>
              <w:rPr/>
            </w:pPr>
            <w:r>
              <w:rPr/>
              <w:t>Name: </w:t>
            </w:r>
            <w:r>
              <w:rPr>
                <w:u w:val="single"/>
              </w:rPr>
              <w:t>                                                                                                          </w:t>
            </w:r>
          </w:p>
        </w:tc>
      </w:tr>
      <w:tr>
        <w:trPr>
          <w:trHeight w:val="240" w:hRule="atLeast"/>
        </w:trPr>
        <w:tc>
          <w:tcPr>
            <w:tcW w:w="7415"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7235" w:type="dxa"/>
            <w:gridSpan w:val="2"/>
            <w:tcBorders/>
            <w:vAlign w:val="center"/>
          </w:tcPr>
          <w:p>
            <w:pPr>
              <w:pStyle w:val="TableContents"/>
              <w:bidi w:val="0"/>
              <w:spacing w:before="0" w:after="283"/>
              <w:jc w:val="left"/>
              <w:rPr>
                <w:sz w:val="4"/>
                <w:szCs w:val="4"/>
              </w:rPr>
            </w:pPr>
            <w:r>
              <w:rPr>
                <w:sz w:val="4"/>
                <w:szCs w:val="4"/>
              </w:rPr>
            </w:r>
          </w:p>
        </w:tc>
      </w:tr>
      <w:tr>
        <w:trPr/>
        <w:tc>
          <w:tcPr>
            <w:tcW w:w="7415" w:type="dxa"/>
            <w:tcBorders/>
          </w:tcPr>
          <w:p>
            <w:pPr>
              <w:pStyle w:val="TableContents"/>
              <w:bidi w:val="0"/>
              <w:spacing w:before="0" w:after="283"/>
              <w:jc w:val="left"/>
              <w:rPr/>
            </w:pPr>
            <w:r>
              <w:rPr/>
              <w:t>Title: </w:t>
            </w:r>
            <w:r>
              <w:rPr>
                <w:u w:val="single"/>
              </w:rPr>
              <w:t>                                                                                                                  </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5" w:type="dxa"/>
            <w:tcBorders/>
          </w:tcPr>
          <w:p>
            <w:pPr>
              <w:pStyle w:val="TableContents"/>
              <w:bidi w:val="0"/>
              <w:spacing w:before="0" w:after="283"/>
              <w:jc w:val="left"/>
              <w:rPr/>
            </w:pPr>
            <w:r>
              <w:rPr/>
              <w:t>Title: </w:t>
            </w:r>
            <w:r>
              <w:rPr>
                <w:u w:val="single"/>
              </w:rPr>
              <w:t>                                                                                                             </w:t>
            </w:r>
          </w:p>
        </w:tc>
      </w:tr>
      <w:tr>
        <w:trPr>
          <w:trHeight w:val="240" w:hRule="atLeast"/>
        </w:trPr>
        <w:tc>
          <w:tcPr>
            <w:tcW w:w="7415" w:type="dxa"/>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7235" w:type="dxa"/>
            <w:gridSpan w:val="2"/>
            <w:tcBorders/>
            <w:vAlign w:val="center"/>
          </w:tcPr>
          <w:p>
            <w:pPr>
              <w:pStyle w:val="TableContents"/>
              <w:bidi w:val="0"/>
              <w:spacing w:before="0" w:after="283"/>
              <w:jc w:val="left"/>
              <w:rPr>
                <w:sz w:val="4"/>
                <w:szCs w:val="4"/>
              </w:rPr>
            </w:pPr>
            <w:r>
              <w:rPr>
                <w:sz w:val="4"/>
                <w:szCs w:val="4"/>
              </w:rPr>
            </w:r>
          </w:p>
        </w:tc>
      </w:tr>
      <w:tr>
        <w:trPr/>
        <w:tc>
          <w:tcPr>
            <w:tcW w:w="7415" w:type="dxa"/>
            <w:tcBorders/>
          </w:tcPr>
          <w:p>
            <w:pPr>
              <w:pStyle w:val="TableContents"/>
              <w:bidi w:val="0"/>
              <w:spacing w:before="0" w:after="283"/>
              <w:jc w:val="left"/>
              <w:rPr/>
            </w:pPr>
            <w:r>
              <w:rPr/>
              <w:t>Date: </w:t>
            </w:r>
            <w:r>
              <w:rPr>
                <w:u w:val="single"/>
              </w:rPr>
              <w:t>                                                                                                                  </w:t>
            </w:r>
          </w:p>
        </w:tc>
        <w:tc>
          <w:tcPr>
            <w:tcW w:w="6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5" w:type="dxa"/>
            <w:tcBorders/>
          </w:tcPr>
          <w:p>
            <w:pPr>
              <w:pStyle w:val="TableContents"/>
              <w:bidi w:val="0"/>
              <w:spacing w:before="0" w:after="283"/>
              <w:jc w:val="left"/>
              <w:rPr/>
            </w:pPr>
            <w:r>
              <w:rPr/>
              <w:t>Date: </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 Tectonic Therapeutic, Inc. Severance Plan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TECTONIC THERAPEUTIC, INC. SEVERANCE PLAN] </w:t>
      </w:r>
    </w:p>
    <w:p>
      <w:pPr>
        <w:pStyle w:val="TextBody"/>
        <w:bidi w:val="0"/>
        <w:spacing w:before="0" w:after="0"/>
        <w:jc w:val="right"/>
        <w:rPr>
          <w:rFonts w:ascii="Times New Roman" w:hAnsi="Times New Roman"/>
          <w:b/>
          <w:sz w:val="20"/>
        </w:rPr>
      </w:pPr>
      <w:bookmarkStart w:id="353" w:name="d770053dex231.htm"/>
      <w:bookmarkStart w:id="354" w:name="ksd770053dex231"/>
      <w:bookmarkEnd w:id="353"/>
      <w:bookmarkEnd w:id="354"/>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(No. 333-277048) on Form S-4 of our report dated April 12, 2024, relating to the financial statements of Tectonic Therapeutic, Inc.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Deloitte &amp; Touche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April 12, 2024</w:t>
            </w:r>
          </w:p>
        </w:tc>
      </w:tr>
    </w:tbl>
    <w:p>
      <w:pPr>
        <w:pStyle w:val="TextBody"/>
        <w:bidi w:val="0"/>
        <w:spacing w:before="0" w:after="0"/>
        <w:jc w:val="right"/>
        <w:rPr>
          <w:rFonts w:ascii="Times New Roman" w:hAnsi="Times New Roman"/>
          <w:b/>
          <w:sz w:val="20"/>
        </w:rPr>
      </w:pPr>
      <w:bookmarkStart w:id="355" w:name="d770053dex232.htm"/>
      <w:bookmarkStart w:id="356" w:name="ksd770053dex232"/>
      <w:bookmarkEnd w:id="355"/>
      <w:bookmarkEnd w:id="356"/>
      <w:r>
        <w:rPr>
          <w:rFonts w:ascii="Times New Roman" w:hAnsi="Times New Roman"/>
          <w:b/>
          <w:sz w:val="20"/>
        </w:rPr>
        <w:t xml:space="preserve">Exhibit 23.2 </w:t>
      </w:r>
      <w:r>
        <w:br w:type="page"/>
      </w:r>
    </w:p>
    <w:p>
      <w:pPr>
        <w:pStyle w:val="TextBody"/>
        <w:bidi w:val="0"/>
        <w:spacing w:before="36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14, 2024, in Amendment No. 2 to the Registration Statement (Form S-4 No. 333-277048) and related Proxy Statement/Prospectus of AVROBIO, Inc. for the registration of shares of its common stock.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April 15, 2024 </w:t>
      </w:r>
    </w:p>
    <w:p>
      <w:pPr>
        <w:pStyle w:val="TextBody"/>
        <w:bidi w:val="0"/>
        <w:spacing w:before="0" w:after="0"/>
        <w:jc w:val="right"/>
        <w:rPr>
          <w:rFonts w:ascii="Times New Roman" w:hAnsi="Times New Roman"/>
          <w:b/>
          <w:sz w:val="20"/>
        </w:rPr>
      </w:pPr>
      <w:bookmarkStart w:id="357" w:name="d770053dex993.htm"/>
      <w:bookmarkStart w:id="358" w:name="ksd770053dex993"/>
      <w:bookmarkEnd w:id="357"/>
      <w:bookmarkEnd w:id="358"/>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In connection with the filing by AVROBIO, Inc. (the </w:t>
      </w:r>
      <w:r>
        <w:rPr>
          <w:rFonts w:ascii="Times New Roman" w:hAnsi="Times New Roman"/>
          <w:b/>
          <w:i/>
          <w:sz w:val="20"/>
        </w:rPr>
        <w:t>Company</w:t>
      </w:r>
      <w:r>
        <w:rPr>
          <w:rFonts w:ascii="Times New Roman" w:hAnsi="Times New Roman"/>
          <w:sz w:val="20"/>
        </w:rPr>
        <w:t>) of the Registration Statement on Form S-4 with the Securities and Exchange Commission under the Securities Act of 1933, as amended (the </w:t>
      </w:r>
      <w:r>
        <w:rPr>
          <w:rFonts w:ascii="Times New Roman" w:hAnsi="Times New Roman"/>
          <w:b/>
          <w:i/>
          <w:sz w:val="20"/>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who has agreed to serve as a director of the Company following its merger with Tectonic Therapeutic, Inc. (which shall be known as Tectonic Therapeutic, Inc.) as described in the Registration Statement. I also consent to the filing of this consent as an exhibit to such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Dated: April 15,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Terrance McGuire</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Terrance McGuire</w:t>
            </w:r>
          </w:p>
        </w:tc>
      </w:tr>
    </w:tbl>
    <w:p>
      <w:pPr>
        <w:pStyle w:val="TextBody"/>
        <w:bidi w:val="0"/>
        <w:spacing w:before="0" w:after="0"/>
        <w:jc w:val="right"/>
        <w:rPr>
          <w:rFonts w:ascii="Times New Roman" w:hAnsi="Times New Roman"/>
          <w:b/>
          <w:sz w:val="20"/>
        </w:rPr>
      </w:pPr>
      <w:bookmarkStart w:id="359" w:name="d770053dex994.htm"/>
      <w:bookmarkStart w:id="360" w:name="ksd770053dex994"/>
      <w:bookmarkEnd w:id="359"/>
      <w:bookmarkEnd w:id="360"/>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In connection with the filing by AVROBIO, Inc. (the </w:t>
      </w:r>
      <w:r>
        <w:rPr>
          <w:rFonts w:ascii="Times New Roman" w:hAnsi="Times New Roman"/>
          <w:b/>
          <w:i/>
          <w:sz w:val="20"/>
        </w:rPr>
        <w:t>Company</w:t>
      </w:r>
      <w:r>
        <w:rPr>
          <w:rFonts w:ascii="Times New Roman" w:hAnsi="Times New Roman"/>
          <w:sz w:val="20"/>
        </w:rPr>
        <w:t>) of the Registration Statement on Form S-4 with the Securities and Exchange Commission under the Securities Act of 1933, as amended (the </w:t>
      </w:r>
      <w:r>
        <w:rPr>
          <w:rFonts w:ascii="Times New Roman" w:hAnsi="Times New Roman"/>
          <w:b/>
          <w:i/>
          <w:sz w:val="20"/>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who has agreed to serve as a director of the Company following its merger with Tectonic Therapeutic, Inc. (which shall be known as Tectonic Therapeutic, Inc.) as described in the Registration Statement. I also consent to the filing of this consent as an exhibit to such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Dated: April 15,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0"/>
        <w:gridCol w:w="3350"/>
      </w:tblGrid>
      <w:tr>
        <w:trPr/>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0" w:type="dxa"/>
            <w:tcBorders>
              <w:bottom w:val="single" w:sz="2" w:space="0" w:color="000000"/>
            </w:tcBorders>
            <w:tcMar>
              <w:bottom w:w="28" w:type="dxa"/>
            </w:tcMar>
          </w:tcPr>
          <w:p>
            <w:pPr>
              <w:pStyle w:val="TableContents"/>
              <w:bidi w:val="0"/>
              <w:spacing w:before="0" w:after="283"/>
              <w:jc w:val="left"/>
              <w:rPr/>
            </w:pPr>
            <w:r>
              <w:rPr/>
              <w:t>/s/ Timothy A. Springer</w:t>
            </w:r>
          </w:p>
        </w:tc>
      </w:tr>
      <w:tr>
        <w:trPr/>
        <w:tc>
          <w:tcPr>
            <w:tcW w:w="67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0" w:type="dxa"/>
            <w:tcBorders/>
          </w:tcPr>
          <w:p>
            <w:pPr>
              <w:pStyle w:val="TableContents"/>
              <w:bidi w:val="0"/>
              <w:spacing w:before="0" w:after="283"/>
              <w:jc w:val="left"/>
              <w:rPr/>
            </w:pPr>
            <w:r>
              <w:rPr/>
              <w:t>Timothy A. Springer</w:t>
            </w:r>
          </w:p>
        </w:tc>
      </w:tr>
    </w:tbl>
    <w:p>
      <w:pPr>
        <w:pStyle w:val="TextBody"/>
        <w:bidi w:val="0"/>
        <w:spacing w:before="0" w:after="0"/>
        <w:jc w:val="right"/>
        <w:rPr>
          <w:rFonts w:ascii="Times New Roman" w:hAnsi="Times New Roman"/>
          <w:b/>
          <w:sz w:val="20"/>
        </w:rPr>
      </w:pPr>
      <w:bookmarkStart w:id="361" w:name="d770053dex995.htm"/>
      <w:bookmarkStart w:id="362" w:name="ksd770053dex995"/>
      <w:bookmarkEnd w:id="361"/>
      <w:bookmarkEnd w:id="362"/>
      <w:r>
        <w:rPr>
          <w:rFonts w:ascii="Times New Roman" w:hAnsi="Times New Roman"/>
          <w:b/>
          <w:sz w:val="20"/>
        </w:rPr>
        <w:t xml:space="preserve">Exhibit 99.5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In connection with the filing by AVROBIO, Inc. (the </w:t>
      </w:r>
      <w:r>
        <w:rPr>
          <w:rFonts w:ascii="Times New Roman" w:hAnsi="Times New Roman"/>
          <w:b/>
          <w:i/>
          <w:sz w:val="20"/>
        </w:rPr>
        <w:t>Company</w:t>
      </w:r>
      <w:r>
        <w:rPr>
          <w:rFonts w:ascii="Times New Roman" w:hAnsi="Times New Roman"/>
          <w:sz w:val="20"/>
        </w:rPr>
        <w:t>) of the Registration Statement on Form S-4 with the Securities and Exchange Commission under the Securities Act of 1933, as amended (the </w:t>
      </w:r>
      <w:r>
        <w:rPr>
          <w:rFonts w:ascii="Times New Roman" w:hAnsi="Times New Roman"/>
          <w:b/>
          <w:i/>
          <w:sz w:val="20"/>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who has agreed to serve as a director of the Company following its merger with Tectonic Therapeutic, Inc. (which shall be known as Tectonic Therapeutic, Inc.) as described in the Registration Statement. I also consent to the filing of this consent as an exhibit to such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Dated: April 15,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Praveen Tipirneni</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Praveen Tipirneni</w:t>
            </w:r>
          </w:p>
        </w:tc>
      </w:tr>
    </w:tbl>
    <w:p>
      <w:pPr>
        <w:pStyle w:val="TextBody"/>
        <w:bidi w:val="0"/>
        <w:spacing w:before="0" w:after="0"/>
        <w:jc w:val="right"/>
        <w:rPr>
          <w:rFonts w:ascii="Times New Roman" w:hAnsi="Times New Roman"/>
          <w:b/>
          <w:sz w:val="20"/>
        </w:rPr>
      </w:pPr>
      <w:bookmarkStart w:id="363" w:name="d770053dex996.htm"/>
      <w:bookmarkStart w:id="364" w:name="ksd770053dex996"/>
      <w:bookmarkEnd w:id="363"/>
      <w:bookmarkEnd w:id="364"/>
      <w:r>
        <w:rPr>
          <w:rFonts w:ascii="Times New Roman" w:hAnsi="Times New Roman"/>
          <w:b/>
          <w:sz w:val="20"/>
        </w:rPr>
        <w:t xml:space="preserve">Exhibit 99.6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In connection with the filing by AVROBIO, Inc. (the </w:t>
      </w:r>
      <w:r>
        <w:rPr>
          <w:rFonts w:ascii="Times New Roman" w:hAnsi="Times New Roman"/>
          <w:b/>
          <w:i/>
          <w:sz w:val="20"/>
        </w:rPr>
        <w:t>Company</w:t>
      </w:r>
      <w:r>
        <w:rPr>
          <w:rFonts w:ascii="Times New Roman" w:hAnsi="Times New Roman"/>
          <w:sz w:val="20"/>
        </w:rPr>
        <w:t>) of the Registration Statement on Form S-4 with the Securities and Exchange Commission under the Securities Act of 1933, as amended (the </w:t>
      </w:r>
      <w:r>
        <w:rPr>
          <w:rFonts w:ascii="Times New Roman" w:hAnsi="Times New Roman"/>
          <w:b/>
          <w:i/>
          <w:sz w:val="20"/>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who has agreed to serve as a director of the Company following its merger with Tectonic Therapeutic, Inc. (which shall be known as Tectonic Therapeutic, Inc.) as described in the Registration Statement. I also consent to the filing of this consent as an exhibit to such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Dated: April 15,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Stefan Vitorovic</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Stefan Vitorovic</w:t>
            </w:r>
          </w:p>
        </w:tc>
      </w:tr>
    </w:tbl>
    <w:p>
      <w:pPr>
        <w:pStyle w:val="TextBody"/>
        <w:bidi w:val="0"/>
        <w:spacing w:before="0" w:after="0"/>
        <w:jc w:val="right"/>
        <w:rPr>
          <w:rFonts w:ascii="Times New Roman" w:hAnsi="Times New Roman"/>
          <w:b/>
          <w:sz w:val="20"/>
        </w:rPr>
      </w:pPr>
      <w:bookmarkStart w:id="365" w:name="d770053dex997.htm"/>
      <w:bookmarkStart w:id="366" w:name="ksd770053dex997"/>
      <w:bookmarkEnd w:id="365"/>
      <w:bookmarkEnd w:id="366"/>
      <w:r>
        <w:rPr>
          <w:rFonts w:ascii="Times New Roman" w:hAnsi="Times New Roman"/>
          <w:b/>
          <w:sz w:val="20"/>
        </w:rPr>
        <w:t xml:space="preserve">Exhibit 99.7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to be Named as a Director </w:t>
      </w:r>
    </w:p>
    <w:p>
      <w:pPr>
        <w:pStyle w:val="TextBody"/>
        <w:bidi w:val="0"/>
        <w:spacing w:before="240" w:after="0"/>
        <w:jc w:val="left"/>
        <w:rPr>
          <w:rFonts w:ascii="Times New Roman" w:hAnsi="Times New Roman"/>
          <w:sz w:val="20"/>
        </w:rPr>
      </w:pPr>
      <w:r>
        <w:rPr>
          <w:rFonts w:ascii="Times New Roman" w:hAnsi="Times New Roman"/>
          <w:sz w:val="20"/>
        </w:rPr>
        <w:t>In connection with the filing by AVROBIO, Inc. (the </w:t>
      </w:r>
      <w:r>
        <w:rPr>
          <w:rFonts w:ascii="Times New Roman" w:hAnsi="Times New Roman"/>
          <w:b/>
          <w:i/>
          <w:sz w:val="20"/>
        </w:rPr>
        <w:t>Company</w:t>
      </w:r>
      <w:r>
        <w:rPr>
          <w:rFonts w:ascii="Times New Roman" w:hAnsi="Times New Roman"/>
          <w:sz w:val="20"/>
        </w:rPr>
        <w:t>) of the Registration Statement on Form S-4 with the Securities and Exchange Commission under the Securities Act of 1933, as amended (the </w:t>
      </w:r>
      <w:r>
        <w:rPr>
          <w:rFonts w:ascii="Times New Roman" w:hAnsi="Times New Roman"/>
          <w:b/>
          <w:i/>
          <w:sz w:val="20"/>
        </w:rPr>
        <w:t>Securities Act</w:t>
      </w:r>
      <w:r>
        <w:rPr>
          <w:rFonts w:ascii="Times New Roman" w:hAnsi="Times New Roman"/>
          <w:sz w:val="20"/>
        </w:rPr>
        <w:t xml:space="preserve">), I hereby consent, pursuant to Rule 438 of the Securities Act, to being named in the Registration Statement and any and all amendments and supplements thereto as a person who has agreed to serve as a director of the Company following its merger with Tectonic Therapeutic, Inc. (which shall be known as Tectonic Therapeutic, Inc.) as described in the Registration Statement. I also consent to the filing of this consent as an exhibit to such Registration Statement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Dated: April 15,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0"/>
        <w:gridCol w:w="3350"/>
      </w:tblGrid>
      <w:tr>
        <w:trPr/>
        <w:tc>
          <w:tcPr>
            <w:tcW w:w="6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0" w:type="dxa"/>
            <w:tcBorders>
              <w:bottom w:val="single" w:sz="2" w:space="0" w:color="000000"/>
            </w:tcBorders>
            <w:tcMar>
              <w:bottom w:w="28" w:type="dxa"/>
            </w:tcMar>
          </w:tcPr>
          <w:p>
            <w:pPr>
              <w:pStyle w:val="TableContents"/>
              <w:bidi w:val="0"/>
              <w:spacing w:before="0" w:after="283"/>
              <w:jc w:val="left"/>
              <w:rPr/>
            </w:pPr>
            <w:r>
              <w:rPr/>
              <w:t>/s/ Alise Reicin</w:t>
            </w:r>
          </w:p>
        </w:tc>
      </w:tr>
      <w:tr>
        <w:trPr/>
        <w:tc>
          <w:tcPr>
            <w:tcW w:w="67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0" w:type="dxa"/>
            <w:tcBorders/>
          </w:tcPr>
          <w:p>
            <w:pPr>
              <w:pStyle w:val="TableContents"/>
              <w:bidi w:val="0"/>
              <w:spacing w:before="0" w:after="283"/>
              <w:jc w:val="left"/>
              <w:rPr/>
            </w:pPr>
            <w:r>
              <w:rPr/>
              <w:t>Alise Reicin</w:t>
            </w:r>
          </w:p>
        </w:tc>
      </w:tr>
    </w:tbl>
    <w:p>
      <w:pPr>
        <w:pStyle w:val="TextBody"/>
        <w:bidi w:val="0"/>
        <w:spacing w:before="0" w:after="0"/>
        <w:jc w:val="right"/>
        <w:rPr>
          <w:rFonts w:ascii="Times New Roman" w:hAnsi="Times New Roman"/>
          <w:b/>
          <w:sz w:val="20"/>
        </w:rPr>
      </w:pPr>
      <w:bookmarkStart w:id="367" w:name="d770053dex9910.htm"/>
      <w:bookmarkStart w:id="368" w:name="ksd770053dex9910"/>
      <w:bookmarkEnd w:id="367"/>
      <w:bookmarkEnd w:id="368"/>
      <w:r>
        <w:rPr>
          <w:rFonts w:ascii="Times New Roman" w:hAnsi="Times New Roman"/>
          <w:b/>
          <w:sz w:val="20"/>
        </w:rPr>
        <w:t xml:space="preserve">Exhibit 99.10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April 15, 2024 </w:t>
      </w:r>
    </w:p>
    <w:p>
      <w:pPr>
        <w:pStyle w:val="TextBody"/>
        <w:bidi w:val="0"/>
        <w:spacing w:before="240" w:after="0"/>
        <w:jc w:val="left"/>
        <w:rPr>
          <w:rFonts w:ascii="Times New Roman" w:hAnsi="Times New Roman"/>
          <w:sz w:val="20"/>
        </w:rPr>
      </w:pPr>
      <w:r>
        <w:rPr>
          <w:rFonts w:ascii="Times New Roman" w:hAnsi="Times New Roman"/>
          <w:sz w:val="20"/>
        </w:rPr>
        <w:t xml:space="preserve">AVROBIO, Inc. </w:t>
      </w:r>
    </w:p>
    <w:p>
      <w:pPr>
        <w:pStyle w:val="TextBody"/>
        <w:bidi w:val="0"/>
        <w:spacing w:before="0" w:after="0"/>
        <w:jc w:val="left"/>
        <w:rPr>
          <w:rFonts w:ascii="Times New Roman" w:hAnsi="Times New Roman"/>
          <w:sz w:val="20"/>
        </w:rPr>
      </w:pPr>
      <w:r>
        <w:rPr>
          <w:rFonts w:ascii="Times New Roman" w:hAnsi="Times New Roman"/>
          <w:sz w:val="20"/>
        </w:rPr>
        <w:t xml:space="preserve">100 Technology Square 6th Floor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Attn: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RE:</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Proxy Statement / Prospectus of AVROBIO, Inc. (AVROBIO), which forms part of Amendment No. 2 to the Registration Statement on Form S-4 of AVROBIO (the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our opinion letter (opinion), dated January 29, 2024, to the Board of Directors of AVROBIO (the Board). We understand that AVROBIO has determined to include our opinion in the Proxy Statement Prospectus of AVROBIO (the Proxy Statement/Prospectus) included in the above referenced Amendment No. 2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was provided for the Board (in its capacity as such) in connection with its consideration of the transaction contemplated therein and may not be used, circulated, quoted or otherwise referred to for any other purpose, nor is it to be filed with, included in or referred to in whole or in part in any registration statement, proxy statement or any other document, except, in each instance, in accordance with our prior written consent. In that regard, we hereby consent to the reference to our opinion in the Proxy Statement/Prospectus included in Amendment No. 2 to the Registration Statement filed with the Securities and Exchange Commission as of the date hereof under the captions, </w:t>
      </w:r>
      <w:r>
        <w:rPr>
          <w:rFonts w:ascii="Times New Roman" w:hAnsi="Times New Roman"/>
          <w:i/>
          <w:sz w:val="20"/>
        </w:rPr>
        <w:t xml:space="preserve">PROSPECTUS SUMMARY  Opinion of Houlihan Lokey to the AVROBIO Board, </w:t>
      </w:r>
      <w:r>
        <w:rPr>
          <w:rFonts w:ascii="Times New Roman" w:hAnsi="Times New Roman"/>
          <w:sz w:val="20"/>
        </w:rPr>
        <w:t></w:t>
      </w:r>
      <w:r>
        <w:rPr>
          <w:rFonts w:ascii="Times New Roman" w:hAnsi="Times New Roman"/>
          <w:i/>
          <w:sz w:val="20"/>
        </w:rPr>
        <w:t>THE MERGER  Background of the Merger,</w:t>
      </w:r>
      <w:r>
        <w:rPr>
          <w:rFonts w:ascii="Times New Roman" w:hAnsi="Times New Roman"/>
          <w:sz w:val="20"/>
        </w:rPr>
        <w:t xml:space="preserve"> </w:t>
      </w:r>
      <w:r>
        <w:rPr>
          <w:rFonts w:ascii="Times New Roman" w:hAnsi="Times New Roman"/>
          <w:i/>
          <w:sz w:val="20"/>
        </w:rPr>
        <w:t xml:space="preserve">THE MERGER AVROBIOs Reasons for the Merger and </w:t>
      </w:r>
      <w:r>
        <w:rPr>
          <w:rFonts w:ascii="Times New Roman" w:hAnsi="Times New Roman"/>
          <w:sz w:val="20"/>
        </w:rPr>
        <w:t></w:t>
      </w:r>
      <w:r>
        <w:rPr>
          <w:rFonts w:ascii="Times New Roman" w:hAnsi="Times New Roman"/>
          <w:i/>
          <w:sz w:val="20"/>
        </w:rPr>
        <w:t xml:space="preserve">THE MERGER  Opinion of Houlihan Lokey to the AVROBIO Board </w:t>
      </w:r>
      <w:r>
        <w:rPr>
          <w:rFonts w:ascii="Times New Roman" w:hAnsi="Times New Roman"/>
          <w:sz w:val="20"/>
        </w:rPr>
        <w:t xml:space="preserve">and to the inclusion of our opinion as Annex B to the Proxy Statement/Prospectus. Notwithstanding the foregoing, it is understood that this consent is being delivered solely in connection with the filing of the above-mentioned Amendment No. 2 to the Registration Statement as of the date hereof and that our opinion is not to be filed with, included in or referred to in whole or in part in any other registration statement (including any other amendments to the above-mentioned Registration Statement), proxy statement or any other document, except, in each instance, in accordance with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Houlihan Lokey Capital, Inc. </w:t>
      </w:r>
    </w:p>
    <w:p>
      <w:pPr>
        <w:pStyle w:val="TextBody"/>
        <w:bidi w:val="0"/>
        <w:spacing w:before="240" w:after="0"/>
        <w:jc w:val="left"/>
        <w:rPr>
          <w:rFonts w:ascii="Times New Roman" w:hAnsi="Times New Roman"/>
          <w:sz w:val="20"/>
        </w:rPr>
      </w:pPr>
      <w:r>
        <w:rPr>
          <w:rFonts w:ascii="Times New Roman" w:hAnsi="Times New Roman"/>
          <w:sz w:val="20"/>
        </w:rPr>
        <w:t xml:space="preserve">HOULIHAN LOKEY CAPITAL, INC.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3.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hyperlink" Target="http://www.sec.gov/Archives/edgar/data/1681087/000095017023041408/avro-ex2_1.htm" TargetMode="External"/><Relationship Id="rId27" Type="http://schemas.openxmlformats.org/officeDocument/2006/relationships/hyperlink" Target="http://www.sec.gov/Archives/edgar/data/0001681087/000119312524034461/d770053dex31.htm" TargetMode="External"/><Relationship Id="rId28" Type="http://schemas.openxmlformats.org/officeDocument/2006/relationships/hyperlink" Target="http://www.sec.gov/Archives/edgar/data/0001681087/000119312524034461/d770053dex32.htm" TargetMode="External"/><Relationship Id="rId29" Type="http://schemas.openxmlformats.org/officeDocument/2006/relationships/hyperlink" Target="http://www.sec.gov/Archives/edgar/data/1681087/000119312518202460/d153924dex31.htm" TargetMode="External"/><Relationship Id="rId30" Type="http://schemas.openxmlformats.org/officeDocument/2006/relationships/hyperlink" Target="http://www.sec.gov/Archives/edgar/data/1681087/000156459020051456/avro-ex32_90.htm" TargetMode="External"/><Relationship Id="rId31" Type="http://schemas.openxmlformats.org/officeDocument/2006/relationships/hyperlink" Target="http://www.sec.gov/Archives/edgar/data/1681087/000119312518202460/d153924dex32.htm" TargetMode="External"/><Relationship Id="rId32" Type="http://schemas.openxmlformats.org/officeDocument/2006/relationships/hyperlink" Target="http://www.sec.gov/Archives/edgar/data/1681087/000119312518188630/d562006dex41.htm" TargetMode="External"/><Relationship Id="rId33" Type="http://schemas.openxmlformats.org/officeDocument/2006/relationships/hyperlink" Target="http://www.sec.gov/Archives/edgar/data/1681087/000119312524076669/d770053dex51.htm" TargetMode="External"/><Relationship Id="rId34" Type="http://schemas.openxmlformats.org/officeDocument/2006/relationships/hyperlink" Target="http://www.sec.gov/Archives/edgar/data/1681087/000119312518175024/d562006dex101.htm" TargetMode="External"/><Relationship Id="rId35" Type="http://schemas.openxmlformats.org/officeDocument/2006/relationships/hyperlink" Target="http://www.sec.gov/Archives/edgar/data/1681087/000119312518188630/d562006dex102.htm" TargetMode="External"/><Relationship Id="rId36" Type="http://schemas.openxmlformats.org/officeDocument/2006/relationships/hyperlink" Target="http://www.sec.gov/Archives/edgar/data/1681087/000156459020028774/avro-ex101_30.htm" TargetMode="External"/><Relationship Id="rId37" Type="http://schemas.openxmlformats.org/officeDocument/2006/relationships/hyperlink" Target="http://www.sec.gov/Archives/edgar/data/1681087/000156459022022999/avro-ex101_6.htm" TargetMode="External"/><Relationship Id="rId38" Type="http://schemas.openxmlformats.org/officeDocument/2006/relationships/hyperlink" Target="http://www.sec.gov/Archives/edgar/data/1681087/000119312518188630/d562006dex103.htm" TargetMode="External"/><Relationship Id="rId39" Type="http://schemas.openxmlformats.org/officeDocument/2006/relationships/hyperlink" Target="http://www.sec.gov/Archives/edgar/data/1681087/000119312518188630/d562006dex104.htm" TargetMode="External"/><Relationship Id="rId40" Type="http://schemas.openxmlformats.org/officeDocument/2006/relationships/hyperlink" Target="http://www.sec.gov/Archives/edgar/data/1681087/000119312518181102/d562006dex105.htm" TargetMode="External"/><Relationship Id="rId41" Type="http://schemas.openxmlformats.org/officeDocument/2006/relationships/hyperlink" Target="http://www.sec.gov/Archives/edgar/data/1681087/000119312518188630/d562006dex106.htm" TargetMode="External"/><Relationship Id="rId42" Type="http://schemas.openxmlformats.org/officeDocument/2006/relationships/hyperlink" Target="http://www.sec.gov/Archives/edgar/data/1681087/000156459020011144/avro-ex107_544.htm" TargetMode="External"/><Relationship Id="rId43" Type="http://schemas.openxmlformats.org/officeDocument/2006/relationships/hyperlink" Target="http://www.sec.gov/Archives/edgar/data/1681087/000156459020011144/avro-ex108_543.htm" TargetMode="External"/><Relationship Id="rId44" Type="http://schemas.openxmlformats.org/officeDocument/2006/relationships/hyperlink" Target="http://www.sec.gov/Archives/edgar/data/1681087/000119312518175024/d562006dex107.htm" TargetMode="External"/><Relationship Id="rId45" Type="http://schemas.openxmlformats.org/officeDocument/2006/relationships/hyperlink" Target="http://www.sec.gov/Archives/edgar/data/1681087/000119312518188630/d562006dex109.htm" TargetMode="External"/><Relationship Id="rId46" Type="http://schemas.openxmlformats.org/officeDocument/2006/relationships/hyperlink" Target="http://www.sec.gov/Archives/edgar/data/1681087/000156459021027619/avro-ex101_113.htm" TargetMode="External"/><Relationship Id="rId47" Type="http://schemas.openxmlformats.org/officeDocument/2006/relationships/hyperlink" Target="http://www.sec.gov/Archives/edgar/data/1681087/000119312518356370/d676576dex101.htm" TargetMode="External"/><Relationship Id="rId48" Type="http://schemas.openxmlformats.org/officeDocument/2006/relationships/hyperlink" Target="http://www.sec.gov/Archives/edgar/data/1681087/000156459021027619/avro-ex102_112.htm" TargetMode="External"/><Relationship Id="rId49" Type="http://schemas.openxmlformats.org/officeDocument/2006/relationships/hyperlink" Target="http://www.sec.gov/Archives/edgar/data/1681087/000119312519085321/d677215dex1013.htm" TargetMode="External"/><Relationship Id="rId50" Type="http://schemas.openxmlformats.org/officeDocument/2006/relationships/hyperlink" Target="http://www.sec.gov/Archives/edgar/data/1681087/000156459021027619/avro-ex103_111.htm" TargetMode="External"/><Relationship Id="rId51" Type="http://schemas.openxmlformats.org/officeDocument/2006/relationships/hyperlink" Target="http://www.sec.gov/Archives/edgar/data/1681087/000156459020011144/avro-ex1016_545.htm" TargetMode="External"/><Relationship Id="rId52" Type="http://schemas.openxmlformats.org/officeDocument/2006/relationships/hyperlink" Target="http://www.sec.gov/Archives/edgar/data/1681087/000156459021027619/avro-ex106_108.htm" TargetMode="External"/><Relationship Id="rId53" Type="http://schemas.openxmlformats.org/officeDocument/2006/relationships/hyperlink" Target="http://www.sec.gov/Archives/edgar/data/1681087/000156459022010895/avro-ex1022_34.htm" TargetMode="External"/><Relationship Id="rId54" Type="http://schemas.openxmlformats.org/officeDocument/2006/relationships/hyperlink" Target="http://www.sec.gov/Archives/edgar/data/0001681087/000119312524034461/d770053dex1021.htm" TargetMode="External"/><Relationship Id="rId55" Type="http://schemas.openxmlformats.org/officeDocument/2006/relationships/hyperlink" Target="http://www.sec.gov/Archives/edgar/data/0001681087/000119312524034461/d770053dex1022.htm" TargetMode="External"/><Relationship Id="rId56" Type="http://schemas.openxmlformats.org/officeDocument/2006/relationships/hyperlink" Target="http://www.sec.gov/Archives/edgar/data/1681087/000119312518188630/d562006dex1014.htm" TargetMode="External"/><Relationship Id="rId57" Type="http://schemas.openxmlformats.org/officeDocument/2006/relationships/hyperlink" Target="http://www.sec.gov/Archives/edgar/data/1681087/000119312518175024/d562006dex1012.htm" TargetMode="External"/><Relationship Id="rId58" Type="http://schemas.openxmlformats.org/officeDocument/2006/relationships/hyperlink" Target="http://www.sec.gov/Archives/edgar/data/1681087/000119312519320938/d842233dex991.htm" TargetMode="External"/><Relationship Id="rId59" Type="http://schemas.openxmlformats.org/officeDocument/2006/relationships/hyperlink" Target="http://www.sec.gov/Archives/edgar/data/1681087/000119312519085335/d724212dex991.htm" TargetMode="External"/><Relationship Id="rId60" Type="http://schemas.openxmlformats.org/officeDocument/2006/relationships/hyperlink" Target="http://www.sec.gov/Archives/edgar/data/1681087/000156459021014190/avro-ex1025_465.htm" TargetMode="External"/><Relationship Id="rId61" Type="http://schemas.openxmlformats.org/officeDocument/2006/relationships/hyperlink" Target="http://www.sec.gov/Archives/edgar/data/1681087/000095017022016117/avro-ex10_3.htm" TargetMode="External"/><Relationship Id="rId62" Type="http://schemas.openxmlformats.org/officeDocument/2006/relationships/hyperlink" Target="http://www.sec.gov/Archives/edgar/data/1681087/000119312524076669/d770053dex1035.htm" TargetMode="External"/><Relationship Id="rId63" Type="http://schemas.openxmlformats.org/officeDocument/2006/relationships/hyperlink" Target="http://www.sec.gov/Archives/edgar/data/1681087/000119312524076669/d770053dex1036.htm" TargetMode="External"/><Relationship Id="rId64" Type="http://schemas.openxmlformats.org/officeDocument/2006/relationships/hyperlink" Target="http://www.sec.gov/Archives/edgar/data/1681087/000119312524076669/d770053dex1037.htm" TargetMode="External"/><Relationship Id="rId65" Type="http://schemas.openxmlformats.org/officeDocument/2006/relationships/hyperlink" Target="http://www.sec.gov/Archives/edgar/data/1681087/000119312524076669/d770053dex1038.htm" TargetMode="External"/><Relationship Id="rId66" Type="http://schemas.openxmlformats.org/officeDocument/2006/relationships/hyperlink" Target="http://www.sec.gov/Archives/edgar/data/1681087/000119312524076669/d770053dex1039.htm" TargetMode="External"/><Relationship Id="rId67" Type="http://schemas.openxmlformats.org/officeDocument/2006/relationships/hyperlink" Target="http://www.sec.gov/Archives/edgar/data/1681087/000119312524076669/d770053dex1040.htm" TargetMode="External"/><Relationship Id="rId68" Type="http://schemas.openxmlformats.org/officeDocument/2006/relationships/hyperlink" Target="http://www.sec.gov/Archives/edgar/data/0001681087/000119312524034461/d770053dex1041.htm" TargetMode="External"/><Relationship Id="rId69" Type="http://schemas.openxmlformats.org/officeDocument/2006/relationships/hyperlink" Target="http://www.sec.gov/Archives/edgar/data/0001681087/000119312524034461/d770053dex1042.htm" TargetMode="External"/><Relationship Id="rId70" Type="http://schemas.openxmlformats.org/officeDocument/2006/relationships/hyperlink" Target="http://www.sec.gov/Archives/edgar/data/0001681087/000119312524034461/d770053dex1043.htm" TargetMode="External"/><Relationship Id="rId71" Type="http://schemas.openxmlformats.org/officeDocument/2006/relationships/hyperlink" Target="http://www.sec.gov/Archives/edgar/data/1681087/000119312524076669/d770053dex211.htm" TargetMode="External"/><Relationship Id="rId72" Type="http://schemas.openxmlformats.org/officeDocument/2006/relationships/hyperlink" Target="http://www.sec.gov/Archives/edgar/data/1681087/000095017023009527/avro-ex21_1.htm" TargetMode="External"/><Relationship Id="rId73" Type="http://schemas.openxmlformats.org/officeDocument/2006/relationships/hyperlink" Target="http://www.sec.gov/Archives/edgar/data/1681087/000119312524076669/d770053dex51.htm" TargetMode="External"/><Relationship Id="rId74" Type="http://schemas.openxmlformats.org/officeDocument/2006/relationships/hyperlink" Target="http://www.sec.gov/Archives/edgar/data/1681087/000119312524076669/d770053dexfilingfees.htm" TargetMode="External"/><Relationship Id="rId75" Type="http://schemas.openxmlformats.org/officeDocument/2006/relationships/image" Target="media/image24.jpeg"/><Relationship Id="rId76" Type="http://schemas.openxmlformats.org/officeDocument/2006/relationships/image" Target="media/image24.jpeg"/><Relationship Id="rId77" Type="http://schemas.openxmlformats.org/officeDocument/2006/relationships/image" Target="media/image24.jpeg"/><Relationship Id="rId78" Type="http://schemas.openxmlformats.org/officeDocument/2006/relationships/image" Target="media/image25.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777</Pages>
  <Words>475771</Words>
  <Characters>2604804</Characters>
  <CharactersWithSpaces>3092985</CharactersWithSpaces>
  <Paragraphs>34832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EX-99.10</dc:title>
</cp:coreProperties>
</file>