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20,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83-0710585</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4840" w:type="dxa"/>
            <w:vAlign w:val="bottom"/>
          </w:tcPr>
          <w:p>
            <w:pPr>
              <w:spacing w:after="0"/>
              <w:rPr>
                <w:sz w:val="24"/>
                <w:szCs w:val="24"/>
                <w:color w:val="auto"/>
              </w:rPr>
            </w:pP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4840" w:type="dxa"/>
            <w:vAlign w:val="bottom"/>
          </w:tcPr>
          <w:p>
            <w:pPr>
              <w:spacing w:after="0"/>
              <w:rPr>
                <w:sz w:val="18"/>
                <w:szCs w:val="18"/>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48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20" w:type="dxa"/>
            <w:vAlign w:val="bottom"/>
          </w:tcPr>
          <w:p>
            <w:pPr>
              <w:spacing w:after="0"/>
              <w:rPr>
                <w:sz w:val="24"/>
                <w:szCs w:val="24"/>
                <w:color w:val="auto"/>
              </w:rPr>
            </w:pPr>
          </w:p>
        </w:tc>
        <w:tc>
          <w:tcPr>
            <w:tcW w:w="48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2024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bl>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Lochner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Divakar S. Gupta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Brandon Fenn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Minkyu Park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Tectonic Therapeutic, Inc. (the “Registrant”) is filing this Registration Statement on Form S-8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for the purpose of registering (a) 742,815 shares of the Registrant’s common stock, par value $0.0001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to eligible persons under the Registrant’s 2024 Equity Incentive Plan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 pursuant to the provisions of the 2024 Plan providing for an automatic increase in the number of shares of Common Stock reserved and available for issuance under the 2024 Plan on January 1, 2025 and (b) 148,563 shares of Common Stock issuable to eligible persons under the Registrant’s 2024 Employee Stock Purchase Plan (the “</w:t>
      </w:r>
      <w:r>
        <w:rPr>
          <w:rFonts w:ascii="Times New Roman" w:cs="Times New Roman" w:eastAsia="Times New Roman" w:hAnsi="Times New Roman"/>
          <w:sz w:val="18"/>
          <w:szCs w:val="18"/>
          <w:b w:val="1"/>
          <w:bCs w:val="1"/>
          <w:i w:val="1"/>
          <w:iCs w:val="1"/>
          <w:color w:val="auto"/>
        </w:rPr>
        <w:t>2024 ESPP</w:t>
      </w:r>
      <w:r>
        <w:rPr>
          <w:rFonts w:ascii="Times New Roman" w:cs="Times New Roman" w:eastAsia="Times New Roman" w:hAnsi="Times New Roman"/>
          <w:sz w:val="18"/>
          <w:szCs w:val="18"/>
          <w:color w:val="auto"/>
        </w:rPr>
        <w:t>”), pursuant to the provisions of the 2024 ESPP providing for an automatic increase in the number of shares of Common Stock reserved and available for issuance under the 2024 ESPP on January 1, 2025. In accordance with the instructional note to Part I of Form S-8 as promulgated by the Commission, the information specified by Part I of the Form S-8 has been omitted from this Registration Statement.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These shares of Common Stock are additional securities of the same class as other securities for which the Registration Statement on Form S-8 was previously filed with the Commission, including any post-effective amendments thereto (File No. 333-281690) (collectively,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Pursuant to General Instruction E to Form S-8, the contents of the Prior Registration Statement are incorporated by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this Registration Statement, except that the provisions contained in Part II of such Prior Registration Statement are modified or supplemented, as the case may be, as set forth in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 Commission:</w:t>
      </w:r>
    </w:p>
    <w:p>
      <w:pPr>
        <w:spacing w:after="0" w:line="54"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which were filed with the Commission on </w:t>
      </w:r>
      <w:hyperlink r:id="rId20">
        <w:r>
          <w:rPr>
            <w:rFonts w:ascii="Times New Roman" w:cs="Times New Roman" w:eastAsia="Times New Roman" w:hAnsi="Times New Roman"/>
            <w:sz w:val="18"/>
            <w:szCs w:val="18"/>
            <w:u w:val="single" w:color="auto"/>
            <w:color w:val="0000EE"/>
          </w:rPr>
          <w:t>January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that, with respect to the foregoing Current Reports, any portions thereof which are furnished and not filed shall not be deemed incorporated by reference); and</w:t>
      </w:r>
    </w:p>
    <w:p>
      <w:pPr>
        <w:spacing w:after="0" w:line="162"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in the Registrant’s registration statement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11, 2018, including any amendments or reports filed for the purpose of updating such description, including as Exhibit 4.1 to the Registrant’s Annual Report on Form 10-K for the fiscal year ended December 31, 2024.</w:t>
      </w:r>
    </w:p>
    <w:p>
      <w:pPr>
        <w:spacing w:after="0" w:line="176" w:lineRule="exact"/>
        <w:rPr>
          <w:rFonts w:ascii="Times New Roman" w:cs="Times New Roman" w:eastAsia="Times New Roman" w:hAnsi="Times New Roman"/>
          <w:sz w:val="18"/>
          <w:szCs w:val="18"/>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pursuant to Section 13(a), 13(c), 14 or 15(d) of the Securities Exchange Act of 1934, as amended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Commission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336"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2"/>
                <w:szCs w:val="22"/>
                <w:color w:val="auto"/>
              </w:rPr>
            </w:pPr>
          </w:p>
        </w:tc>
        <w:tc>
          <w:tcPr>
            <w:tcW w:w="9980" w:type="dxa"/>
            <w:vAlign w:val="bottom"/>
            <w:tcBorders>
              <w:top w:val="single" w:sz="8" w:color="auto"/>
            </w:tcBorders>
            <w:gridSpan w:val="8"/>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Fourth Amended and Restated Certificate of Incorporation, as amended through June 20, 2024 (incorporated by reference to Exhibit 3.1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to the Registrant’s Quarterly Report on Form 10-Q (File No. 001-38537), filed with the Commission on August 14, 2024).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80" w:type="dxa"/>
            <w:vAlign w:val="bottom"/>
            <w:gridSpan w:val="8"/>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(incorporated by reference to Exhibit 3.2 to the Registrant’s Current Report on Form 8-K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 001-38537), filed with the Commission on June 25, 2018).</w:t>
              </w:r>
            </w:hyperlink>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17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2780" w:type="dxa"/>
            <w:vAlign w:val="bottom"/>
            <w:tcBorders>
              <w:top w:val="single" w:sz="8" w:color="0000EE"/>
            </w:tcBorders>
            <w:gridSpan w:val="2"/>
          </w:tcPr>
          <w:p>
            <w:pPr>
              <w:spacing w:after="0"/>
              <w:rPr>
                <w:sz w:val="24"/>
                <w:szCs w:val="24"/>
                <w:color w:val="auto"/>
              </w:rPr>
            </w:pPr>
          </w:p>
        </w:tc>
        <w:tc>
          <w:tcPr>
            <w:tcW w:w="5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8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 of Tectonic Therapeutic, Inc.</w:t>
            </w:r>
          </w:p>
        </w:tc>
        <w:tc>
          <w:tcPr>
            <w:tcW w:w="1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Cooley LLP. Reference is made to Exhibit 5.1.</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80" w:type="dxa"/>
            <w:vAlign w:val="bottom"/>
            <w:tcBorders>
              <w:top w:val="single" w:sz="8" w:color="0000EE"/>
            </w:tcBorders>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700" w:type="dxa"/>
            <w:vAlign w:val="bottom"/>
            <w:gridSpan w:val="8"/>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2"/>
                <w:szCs w:val="22"/>
                <w:color w:val="auto"/>
              </w:rPr>
            </w:pPr>
          </w:p>
        </w:tc>
        <w:tc>
          <w:tcPr>
            <w:tcW w:w="99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Power of Attorney. Reference is made to the signature page hereto.</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Tectonic Therapeutic, Inc. 2024 Equity Incentive Plan (incorporated by reference to Exhibit 10.6 to the Registrant’s Current Report on</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8-K (File No. 001-38537), filed with the Commission on June 20, 2024).</w:t>
              </w:r>
            </w:hyperlink>
          </w:p>
        </w:tc>
        <w:tc>
          <w:tcPr>
            <w:tcW w:w="4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Forms of Option Grant Notice, Option Agreement and Notice of Exercise under Tectonic Therapeutic, Inc. 2024 Equity Incentive Plan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(incorporated by reference to Exhibit 10.7 to the Registrant’s Current Report on Form 8-K (File No. 001-38537), filed with the</w:t>
              </w:r>
            </w:hyperlink>
          </w:p>
        </w:tc>
        <w:tc>
          <w:tcPr>
            <w:tcW w:w="8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Commission on June 20,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Tectonic Therapeutic, Inc. 2024 Employee Stock Purchase Plan (incorporated by reference to Exhibit 10.8 to the Registrant’s Current</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Report on Form 8-K (File No. 001-38537), filed with the Commission on June 20, 2024).</w:t>
              </w:r>
            </w:hyperlink>
          </w:p>
        </w:tc>
        <w:tc>
          <w:tcPr>
            <w:tcW w:w="3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44" w:hanging="1044"/>
        <w:spacing w:after="0"/>
        <w:tabs>
          <w:tab w:leader="none" w:pos="10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684" w:hanging="244"/>
        <w:spacing w:after="0"/>
        <w:tabs>
          <w:tab w:leader="none" w:pos="6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ind w:left="4" w:right="80" w:firstLine="1428"/>
        <w:spacing w:after="0" w:line="255" w:lineRule="auto"/>
        <w:tabs>
          <w:tab w:leader="none" w:pos="1701"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4" w:right="720" w:firstLine="1428"/>
        <w:spacing w:after="0" w:line="282" w:lineRule="auto"/>
        <w:tabs>
          <w:tab w:leader="none" w:pos="1751"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 and</w:t>
      </w:r>
    </w:p>
    <w:p>
      <w:pPr>
        <w:spacing w:after="0" w:line="175" w:lineRule="exact"/>
        <w:rPr>
          <w:sz w:val="20"/>
          <w:szCs w:val="20"/>
          <w:color w:val="auto"/>
        </w:rPr>
      </w:pPr>
    </w:p>
    <w:p>
      <w:pPr>
        <w:ind w:left="4" w:right="40" w:firstLine="987"/>
        <w:spacing w:after="0" w:line="266" w:lineRule="auto"/>
        <w:tabs>
          <w:tab w:leader="none" w:pos="12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51" w:right="439" w:bottom="1440" w:gutter="0" w:footer="0" w:header="0"/>
        </w:sectPr>
      </w:pPr>
    </w:p>
    <w:bookmarkStart w:id="4" w:name="page5"/>
    <w:bookmarkEnd w:id="4"/>
    <w:p>
      <w:pPr>
        <w:ind w:left="-20" w:firstLine="436"/>
        <w:spacing w:after="0" w:line="258" w:lineRule="auto"/>
        <w:tabs>
          <w:tab w:leader="none" w:pos="6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March 20,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Alise Reicin</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spacing w:after="0" w:line="18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Alise Reicin</w:t>
            </w:r>
          </w:p>
        </w:tc>
        <w:tc>
          <w:tcPr>
            <w:tcW w:w="120" w:type="dxa"/>
            <w:vAlign w:val="bottom"/>
          </w:tcPr>
          <w:p>
            <w:pPr>
              <w:spacing w:after="0"/>
              <w:rPr>
                <w:sz w:val="24"/>
                <w:szCs w:val="24"/>
                <w:color w:val="auto"/>
              </w:rPr>
            </w:pPr>
          </w:p>
        </w:tc>
        <w:tc>
          <w:tcPr>
            <w:tcW w:w="5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Alise Reicin</w:t>
            </w:r>
          </w:p>
        </w:tc>
        <w:tc>
          <w:tcPr>
            <w:tcW w:w="120" w:type="dxa"/>
            <w:vAlign w:val="bottom"/>
          </w:tcPr>
          <w:p>
            <w:pPr>
              <w:spacing w:after="0"/>
              <w:rPr>
                <w:sz w:val="19"/>
                <w:szCs w:val="19"/>
                <w:color w:val="auto"/>
              </w:rPr>
            </w:pPr>
          </w:p>
        </w:tc>
        <w:tc>
          <w:tcPr>
            <w:tcW w:w="5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Lochner</w:t>
            </w:r>
          </w:p>
        </w:tc>
        <w:tc>
          <w:tcPr>
            <w:tcW w:w="120" w:type="dxa"/>
            <w:vAlign w:val="bottom"/>
          </w:tcPr>
          <w:p>
            <w:pPr>
              <w:spacing w:after="0"/>
              <w:rPr>
                <w:sz w:val="24"/>
                <w:szCs w:val="24"/>
                <w:color w:val="auto"/>
              </w:rPr>
            </w:pPr>
          </w:p>
        </w:tc>
        <w:tc>
          <w:tcPr>
            <w:tcW w:w="5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Lochner</w:t>
            </w:r>
          </w:p>
        </w:tc>
        <w:tc>
          <w:tcPr>
            <w:tcW w:w="120" w:type="dxa"/>
            <w:vAlign w:val="bottom"/>
          </w:tcPr>
          <w:p>
            <w:pPr>
              <w:spacing w:after="0"/>
              <w:rPr>
                <w:sz w:val="19"/>
                <w:szCs w:val="19"/>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Terrance McGuire</w:t>
            </w:r>
          </w:p>
        </w:tc>
        <w:tc>
          <w:tcPr>
            <w:tcW w:w="120" w:type="dxa"/>
            <w:vAlign w:val="bottom"/>
          </w:tcPr>
          <w:p>
            <w:pPr>
              <w:spacing w:after="0"/>
              <w:rPr>
                <w:sz w:val="24"/>
                <w:szCs w:val="24"/>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Phillip B. Donenberg</w:t>
            </w:r>
          </w:p>
        </w:tc>
        <w:tc>
          <w:tcPr>
            <w:tcW w:w="120" w:type="dxa"/>
            <w:vAlign w:val="bottom"/>
          </w:tcPr>
          <w:p>
            <w:pPr>
              <w:spacing w:after="0"/>
              <w:rPr>
                <w:sz w:val="24"/>
                <w:szCs w:val="24"/>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Phillip B. Donenberg</w:t>
            </w:r>
          </w:p>
        </w:tc>
        <w:tc>
          <w:tcPr>
            <w:tcW w:w="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A. Springer</w:t>
            </w:r>
          </w:p>
        </w:tc>
        <w:tc>
          <w:tcPr>
            <w:tcW w:w="120" w:type="dxa"/>
            <w:vAlign w:val="bottom"/>
          </w:tcPr>
          <w:p>
            <w:pPr>
              <w:spacing w:after="0"/>
              <w:rPr>
                <w:sz w:val="24"/>
                <w:szCs w:val="24"/>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A. Springer</w:t>
            </w:r>
          </w:p>
        </w:tc>
        <w:tc>
          <w:tcPr>
            <w:tcW w:w="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Praveen Tipirneni</w:t>
            </w:r>
          </w:p>
        </w:tc>
        <w:tc>
          <w:tcPr>
            <w:tcW w:w="120" w:type="dxa"/>
            <w:vAlign w:val="bottom"/>
          </w:tcPr>
          <w:p>
            <w:pPr>
              <w:spacing w:after="0"/>
              <w:rPr>
                <w:sz w:val="24"/>
                <w:szCs w:val="24"/>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Praveen Tipirneni</w:t>
            </w:r>
          </w:p>
        </w:tc>
        <w:tc>
          <w:tcPr>
            <w:tcW w:w="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Stefan Vitorovic</w:t>
            </w:r>
          </w:p>
        </w:tc>
        <w:tc>
          <w:tcPr>
            <w:tcW w:w="120" w:type="dxa"/>
            <w:vAlign w:val="bottom"/>
          </w:tcPr>
          <w:p>
            <w:pPr>
              <w:spacing w:after="0"/>
              <w:rPr>
                <w:sz w:val="24"/>
                <w:szCs w:val="24"/>
                <w:color w:val="auto"/>
              </w:rPr>
            </w:pPr>
          </w:p>
        </w:tc>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Stefan Vitorovic</w:t>
            </w:r>
          </w:p>
        </w:tc>
        <w:tc>
          <w:tcPr>
            <w:tcW w:w="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0"/>
        </w:trPr>
        <w:tc>
          <w:tcPr>
            <w:tcW w:w="3960" w:type="dxa"/>
            <w:vAlign w:val="bottom"/>
          </w:tcPr>
          <w:p>
            <w:pPr>
              <w:spacing w:after="0"/>
              <w:rPr>
                <w:sz w:val="24"/>
                <w:szCs w:val="24"/>
                <w:color w:val="auto"/>
              </w:rPr>
            </w:pPr>
          </w:p>
        </w:tc>
        <w:tc>
          <w:tcPr>
            <w:tcW w:w="5300" w:type="dxa"/>
            <w:vAlign w:val="bottom"/>
            <w:gridSpan w:val="2"/>
          </w:tcPr>
          <w:p>
            <w:pPr>
              <w:jc w:val="right"/>
              <w:ind w:right="36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8300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830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Brandon Fenn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+1 212 479 6626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bfenn@cooley.com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Registration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acted as counsel to Tectonic Therapeutic,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by the Company of up to 891,378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(a) 742,815 shares of Common Stock issuable pursuant to the Company’s 2024 Equity Incentive Plan (the “</w:t>
      </w:r>
      <w:r>
        <w:rPr>
          <w:rFonts w:ascii="Times New Roman" w:cs="Times New Roman" w:eastAsia="Times New Roman" w:hAnsi="Times New Roman"/>
          <w:sz w:val="18"/>
          <w:szCs w:val="18"/>
          <w:b w:val="1"/>
          <w:bCs w:val="1"/>
          <w:i w:val="1"/>
          <w:iCs w:val="1"/>
          <w:color w:val="auto"/>
        </w:rPr>
        <w:t>2024 EIP</w:t>
      </w:r>
      <w:r>
        <w:rPr>
          <w:rFonts w:ascii="Times New Roman" w:cs="Times New Roman" w:eastAsia="Times New Roman" w:hAnsi="Times New Roman"/>
          <w:sz w:val="18"/>
          <w:szCs w:val="18"/>
          <w:color w:val="auto"/>
        </w:rPr>
        <w:t>”) and (b) 148,563 shares of Common Stock issuable pursuant to the Company’s 2024 Employee Stock Purchase Plan (together with the 2024 EIP,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prospectuses, (b) the Company’s certificate of incorporation and bylaws, each as currently in effect, (c) the Plans and (d) originals or copies certified to our satisfaction of such other records, documents, opinions,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55 HUDSON YARDS, NEW YORK, NY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8300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386080"/>
                    </a:xfrm>
                    <a:prstGeom prst="rect">
                      <a:avLst/>
                    </a:prstGeom>
                    <a:noFill/>
                  </pic:spPr>
                </pic:pic>
              </a:graphicData>
            </a:graphic>
          </wp:anchor>
        </w:drawing>
        <w:t>Tectonic Therapeutic,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Brandon Fenn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Brandon Fenn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55 HUDSON YARDS, NEW YORK, NY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1000"/>
          </w:cols>
          <w:pgMar w:left="440" w:top="1093"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20, 2025, relating to the financial statements of Tectonic Therapeutic, Inc., appearing in the Annual Report on Form 10-K of Tectonic Therapeutic, Inc.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20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80"/>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2"/>
        </w:trPr>
        <w:tc>
          <w:tcPr>
            <w:tcW w:w="7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Fees to</w:t>
            </w: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per share to be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60" w:type="dxa"/>
            <w:vAlign w:val="bottom"/>
            <w:tcBorders>
              <w:left w:val="single" w:sz="8" w:color="auto"/>
              <w:right w:val="single" w:sz="8" w:color="auto"/>
            </w:tcBorders>
            <w:vMerge w:val="continue"/>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200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issued pursuant to the</w:t>
            </w:r>
          </w:p>
        </w:tc>
        <w:tc>
          <w:tcPr>
            <w:tcW w:w="9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3"/>
              </w:rPr>
              <w:t>be</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742,815</w:t>
            </w:r>
            <w:r>
              <w:rPr>
                <w:rFonts w:ascii="Times New Roman" w:cs="Times New Roman" w:eastAsia="Times New Roman" w:hAnsi="Times New Roman"/>
                <w:sz w:val="26"/>
                <w:szCs w:val="26"/>
                <w:color w:val="auto"/>
                <w:w w:val="93"/>
                <w:vertAlign w:val="superscript"/>
              </w:rPr>
              <w:t>(2)</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$22.20</w:t>
            </w:r>
            <w:r>
              <w:rPr>
                <w:rFonts w:ascii="Times New Roman" w:cs="Times New Roman" w:eastAsia="Times New Roman" w:hAnsi="Times New Roman"/>
                <w:sz w:val="26"/>
                <w:szCs w:val="26"/>
                <w:color w:val="auto"/>
                <w:w w:val="91"/>
                <w:vertAlign w:val="superscript"/>
              </w:rPr>
              <w:t>(4)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$16,490,493.00</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$2,524.70</w:t>
            </w:r>
          </w:p>
        </w:tc>
        <w:tc>
          <w:tcPr>
            <w:tcW w:w="0" w:type="dxa"/>
            <w:vAlign w:val="bottom"/>
          </w:tcPr>
          <w:p>
            <w:pPr>
              <w:spacing w:after="0"/>
              <w:rPr>
                <w:sz w:val="1"/>
                <w:szCs w:val="1"/>
                <w:color w:val="auto"/>
              </w:rPr>
            </w:pPr>
          </w:p>
        </w:tc>
      </w:tr>
      <w:tr>
        <w:trPr>
          <w:trHeight w:val="194"/>
        </w:trPr>
        <w:tc>
          <w:tcPr>
            <w:tcW w:w="760" w:type="dxa"/>
            <w:vAlign w:val="bottom"/>
            <w:tcBorders>
              <w:left w:val="single" w:sz="8" w:color="auto"/>
              <w:right w:val="single" w:sz="8" w:color="auto"/>
            </w:tcBorders>
            <w:vMerge w:val="continue"/>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20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Tectonic Therapeutic, Inc.</w:t>
            </w:r>
          </w:p>
        </w:tc>
        <w:tc>
          <w:tcPr>
            <w:tcW w:w="9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and (h)(1)</w:t>
            </w:r>
          </w:p>
        </w:tc>
        <w:tc>
          <w:tcPr>
            <w:tcW w:w="88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2024 Equity Incentive</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60" w:type="dxa"/>
            <w:vAlign w:val="bottom"/>
            <w:tcBorders>
              <w:left w:val="single" w:sz="8" w:color="auto"/>
              <w:right w:val="single" w:sz="8" w:color="auto"/>
            </w:tcBorders>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2000" w:type="dxa"/>
            <w:vAlign w:val="bottom"/>
            <w:tcBorders>
              <w:right w:val="single" w:sz="8" w:color="auto"/>
            </w:tcBorders>
            <w:vMerge w:val="continue"/>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per share to be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issued pursuant to the</w:t>
            </w:r>
          </w:p>
        </w:tc>
        <w:tc>
          <w:tcPr>
            <w:tcW w:w="98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148,563</w:t>
            </w:r>
            <w:r>
              <w:rPr>
                <w:rFonts w:ascii="Times New Roman" w:cs="Times New Roman" w:eastAsia="Times New Roman" w:hAnsi="Times New Roman"/>
                <w:sz w:val="26"/>
                <w:szCs w:val="26"/>
                <w:color w:val="auto"/>
                <w:w w:val="93"/>
                <w:vertAlign w:val="superscript"/>
              </w:rPr>
              <w:t>(3)</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$18.87</w:t>
            </w:r>
            <w:r>
              <w:rPr>
                <w:rFonts w:ascii="Times New Roman" w:cs="Times New Roman" w:eastAsia="Times New Roman" w:hAnsi="Times New Roman"/>
                <w:sz w:val="26"/>
                <w:szCs w:val="26"/>
                <w:color w:val="auto"/>
                <w:w w:val="91"/>
                <w:vertAlign w:val="superscript"/>
              </w:rPr>
              <w:t>(5)</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$2,803,383.81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$429.20</w:t>
            </w:r>
          </w:p>
        </w:tc>
        <w:tc>
          <w:tcPr>
            <w:tcW w:w="0" w:type="dxa"/>
            <w:vAlign w:val="bottom"/>
          </w:tcPr>
          <w:p>
            <w:pPr>
              <w:spacing w:after="0"/>
              <w:rPr>
                <w:sz w:val="1"/>
                <w:szCs w:val="1"/>
                <w:color w:val="auto"/>
              </w:rPr>
            </w:pPr>
          </w:p>
        </w:tc>
      </w:tr>
      <w:tr>
        <w:trPr>
          <w:trHeight w:val="229"/>
        </w:trPr>
        <w:tc>
          <w:tcPr>
            <w:tcW w:w="760" w:type="dxa"/>
            <w:vAlign w:val="bottom"/>
            <w:tcBorders>
              <w:left w:val="single" w:sz="8" w:color="auto"/>
              <w:right w:val="single" w:sz="8" w:color="auto"/>
            </w:tcBorders>
          </w:tcPr>
          <w:p>
            <w:pPr>
              <w:spacing w:after="0"/>
              <w:rPr>
                <w:sz w:val="19"/>
                <w:szCs w:val="19"/>
                <w:color w:val="auto"/>
              </w:rPr>
            </w:pPr>
          </w:p>
        </w:tc>
        <w:tc>
          <w:tcPr>
            <w:tcW w:w="600" w:type="dxa"/>
            <w:vAlign w:val="bottom"/>
            <w:tcBorders>
              <w:right w:val="single" w:sz="8" w:color="auto"/>
            </w:tcBorders>
            <w:vMerge w:val="continue"/>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Tectonic Therapeutic, Inc.</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(h)(1)</w:t>
            </w:r>
          </w:p>
        </w:tc>
        <w:tc>
          <w:tcPr>
            <w:tcW w:w="880" w:type="dxa"/>
            <w:vAlign w:val="bottom"/>
            <w:tcBorders>
              <w:right w:val="single" w:sz="8" w:color="auto"/>
            </w:tcBorders>
            <w:vMerge w:val="continue"/>
          </w:tcPr>
          <w:p>
            <w:pPr>
              <w:spacing w:after="0"/>
              <w:rPr>
                <w:sz w:val="19"/>
                <w:szCs w:val="19"/>
                <w:color w:val="auto"/>
              </w:rPr>
            </w:pPr>
          </w:p>
        </w:tc>
        <w:tc>
          <w:tcPr>
            <w:tcW w:w="800" w:type="dxa"/>
            <w:vAlign w:val="bottom"/>
            <w:tcBorders>
              <w:right w:val="single" w:sz="8" w:color="auto"/>
            </w:tcBorders>
            <w:vMerge w:val="continue"/>
          </w:tcPr>
          <w:p>
            <w:pPr>
              <w:spacing w:after="0"/>
              <w:rPr>
                <w:sz w:val="19"/>
                <w:szCs w:val="19"/>
                <w:color w:val="auto"/>
              </w:rPr>
            </w:pPr>
          </w:p>
        </w:tc>
        <w:tc>
          <w:tcPr>
            <w:tcW w:w="1340" w:type="dxa"/>
            <w:vAlign w:val="bottom"/>
            <w:tcBorders>
              <w:right w:val="single" w:sz="8" w:color="auto"/>
            </w:tcBorders>
            <w:vMerge w:val="continue"/>
          </w:tcPr>
          <w:p>
            <w:pPr>
              <w:spacing w:after="0"/>
              <w:rPr>
                <w:sz w:val="19"/>
                <w:szCs w:val="19"/>
                <w:color w:val="auto"/>
              </w:rPr>
            </w:pPr>
          </w:p>
        </w:tc>
        <w:tc>
          <w:tcPr>
            <w:tcW w:w="1080" w:type="dxa"/>
            <w:vAlign w:val="bottom"/>
            <w:tcBorders>
              <w:right w:val="single" w:sz="8" w:color="auto"/>
            </w:tcBorders>
            <w:vMerge w:val="continue"/>
          </w:tcPr>
          <w:p>
            <w:pPr>
              <w:spacing w:after="0"/>
              <w:rPr>
                <w:sz w:val="19"/>
                <w:szCs w:val="19"/>
                <w:color w:val="auto"/>
              </w:rPr>
            </w:pPr>
          </w:p>
        </w:tc>
        <w:tc>
          <w:tcPr>
            <w:tcW w:w="8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 Employee Stock</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Plan</w:t>
            </w:r>
          </w:p>
        </w:tc>
        <w:tc>
          <w:tcPr>
            <w:tcW w:w="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$19,293,876.81</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$2,953.90</w:t>
            </w:r>
          </w:p>
        </w:tc>
        <w:tc>
          <w:tcPr>
            <w:tcW w:w="0" w:type="dxa"/>
            <w:vAlign w:val="bottom"/>
          </w:tcPr>
          <w:p>
            <w:pPr>
              <w:spacing w:after="0"/>
              <w:rPr>
                <w:sz w:val="1"/>
                <w:szCs w:val="1"/>
                <w:color w:val="auto"/>
              </w:rPr>
            </w:pPr>
          </w:p>
        </w:tc>
      </w:tr>
      <w:tr>
        <w:trPr>
          <w:trHeight w:val="236"/>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194"/>
              <w:spacing w:after="0"/>
              <w:rPr>
                <w:sz w:val="20"/>
                <w:szCs w:val="20"/>
                <w:color w:val="auto"/>
              </w:rPr>
            </w:pPr>
            <w:r>
              <w:rPr>
                <w:rFonts w:ascii="Times New Roman" w:cs="Times New Roman" w:eastAsia="Times New Roman" w:hAnsi="Times New Roman"/>
                <w:sz w:val="18"/>
                <w:szCs w:val="18"/>
                <w:color w:val="auto"/>
                <w:w w:val="99"/>
              </w:rPr>
              <w:t>Net Fees Due</w:t>
            </w: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$2,953.90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4" w:right="100" w:hanging="424"/>
        <w:spacing w:after="0" w:line="26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common stock of Tectonic Therapeutic,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become issuable under the Registrant’s 2024 Equity Incentive Plan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 and 2024 Employee Stock Purchase Plan (the “</w:t>
      </w:r>
      <w:r>
        <w:rPr>
          <w:rFonts w:ascii="Times New Roman" w:cs="Times New Roman" w:eastAsia="Times New Roman" w:hAnsi="Times New Roman"/>
          <w:sz w:val="18"/>
          <w:szCs w:val="18"/>
          <w:b w:val="1"/>
          <w:bCs w:val="1"/>
          <w:i w:val="1"/>
          <w:iCs w:val="1"/>
          <w:color w:val="auto"/>
        </w:rPr>
        <w:t>2024 ESPP</w:t>
      </w:r>
      <w:r>
        <w:rPr>
          <w:rFonts w:ascii="Times New Roman" w:cs="Times New Roman" w:eastAsia="Times New Roman" w:hAnsi="Times New Roman"/>
          <w:sz w:val="18"/>
          <w:szCs w:val="18"/>
          <w:color w:val="auto"/>
        </w:rPr>
        <w:t>”) by reason of any stock dividend, stock split, recapitalization or other similar transaction.</w:t>
      </w:r>
    </w:p>
    <w:p>
      <w:pPr>
        <w:spacing w:after="0" w:line="207" w:lineRule="exact"/>
        <w:rPr>
          <w:rFonts w:ascii="Times New Roman" w:cs="Times New Roman" w:eastAsia="Times New Roman" w:hAnsi="Times New Roman"/>
          <w:sz w:val="18"/>
          <w:szCs w:val="18"/>
          <w:color w:val="auto"/>
        </w:rPr>
      </w:pPr>
    </w:p>
    <w:p>
      <w:pPr>
        <w:ind w:left="424" w:right="120" w:hanging="424"/>
        <w:spacing w:after="0" w:line="23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Common Stock that were automatically added to the shares reserved for future grant under the 2024 Plan on January 1, 2025 pursuant to an “evergreen” provision contained in the 2024 Plan, which provides that an additional number of shares will automatically be added annually to the shares authorized for issuance under the 2024 Plan on January 1 of each calendar year, from January 1, 2025 through (and including) January 1, 2034, in an amount equal to (a) five percent (5%) of the total number of shares of Common Stock issued and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or (b) a lesser number of shares of Common Stock determined by the Registrant’s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prior to the date of increase.</w:t>
      </w:r>
    </w:p>
    <w:p>
      <w:pPr>
        <w:spacing w:after="0" w:line="227" w:lineRule="exact"/>
        <w:rPr>
          <w:rFonts w:ascii="Times New Roman" w:cs="Times New Roman" w:eastAsia="Times New Roman" w:hAnsi="Times New Roman"/>
          <w:sz w:val="18"/>
          <w:szCs w:val="18"/>
          <w:color w:val="auto"/>
        </w:rPr>
      </w:pPr>
    </w:p>
    <w:p>
      <w:pPr>
        <w:ind w:left="424" w:right="80" w:hanging="424"/>
        <w:spacing w:after="0" w:line="23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Common Stock that were automatically added to the shares reserved for future grant under the 2024 ESPP on January 1, 2025 pursuant to an “evergreen” provision contained in the 2024 ESPP, which provides that an additional number of shares will automatically be added annually to the shares authorized for issuance under the 2024 ESPP on January 1 of each calendar year, from January 1, 2025 through (and including) January 1, 2034, in an amount equal to the lesser of: (a) one percent (1%) of the total number of shares of Common Stock issued and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(b) a number of shares equal to 442,029 shares of Common Stock; or (c) such lesser number of shares of Common Stock as determined by the Board.</w:t>
      </w:r>
    </w:p>
    <w:p>
      <w:pPr>
        <w:spacing w:after="0" w:line="22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are based upon the average of the high and low prices of the Common Stock on March 19, 2025, as reported on The Nasdaq Stock Market, which date is within five business days prior to the filing of this Registration Statement.</w:t>
      </w:r>
    </w:p>
    <w:p>
      <w:pPr>
        <w:spacing w:after="0" w:line="202"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are based upon the average of the high and low prices of the Common Stock on March 19, 2025, as reported on The Nasdaq Stock Market, which date is within five business days prior to the filing of this Registration Statement, multiplied by 85%, which is the percentage of the trading price per share applicable to purchasers under the 2024 ESPP.</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decimal"/>
      <w:start w:val="107"/>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jpe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png"/><Relationship Id="rId19" Type="http://schemas.openxmlformats.org/officeDocument/2006/relationships/hyperlink" Target="http://www.sec.gov/Archives/edgar/data/1681087/000095017025042648/tecx-20241231.htm" TargetMode="External"/><Relationship Id="rId20" Type="http://schemas.openxmlformats.org/officeDocument/2006/relationships/hyperlink" Target="http://www.sec.gov/ix?doc=/Archives/edgar/data/1681087/000119312525016224/d817477d8k.htm" TargetMode="External"/><Relationship Id="rId21" Type="http://schemas.openxmlformats.org/officeDocument/2006/relationships/hyperlink" Target="http://www.sec.gov/ix?doc=/Archives/edgar/data/1681087/000119312525018840/d843684d8k.htm" TargetMode="External"/><Relationship Id="rId22" Type="http://schemas.openxmlformats.org/officeDocument/2006/relationships/hyperlink" Target="http://www.sec.gov/Archives/edgar/data/1681087/000119312518195637/d562006d8a12b.htm" TargetMode="External"/><Relationship Id="rId23" Type="http://schemas.openxmlformats.org/officeDocument/2006/relationships/hyperlink" Target="http://www.sec.gov/Archives/edgar/data/0001681087/000119312524200609/d878693dex31.htm" TargetMode="External"/><Relationship Id="rId24" Type="http://schemas.openxmlformats.org/officeDocument/2006/relationships/hyperlink" Target="http://www.sec.gov/Archives/edgar/data/1681087/000119312518202460/d153924dex32.htm" TargetMode="External"/><Relationship Id="rId26" Type="http://schemas.openxmlformats.org/officeDocument/2006/relationships/hyperlink" Target="http://www.sec.gov/Archives/edgar/data/1681087/000119312524164480/d852858dex106.htm" TargetMode="External"/><Relationship Id="rId27" Type="http://schemas.openxmlformats.org/officeDocument/2006/relationships/hyperlink" Target="http://www.sec.gov/Archives/edgar/data/1681087/000119312524164480/d852858dex107.htm" TargetMode="External"/><Relationship Id="rId28" Type="http://schemas.openxmlformats.org/officeDocument/2006/relationships/hyperlink" Target="http://www.sec.gov/Archives/edgar/data/1681087/000119312524164480/d85285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2025-03-20T16:41:19Z</dcterms:created>
  <dcterms:modified xsi:type="dcterms:W3CDTF">2025-03-20T16:41:19Z</dcterms:modified>
</cp:coreProperties>
</file>