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139065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3640" w:right="1620" w:hanging="3619"/>
        <w:spacing w:after="0" w:line="380" w:lineRule="auto"/>
        <w:tabs>
          <w:tab w:leader="none" w:pos="48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36" w:lineRule="exact"/>
        <w:rPr>
          <w:sz w:val="24"/>
          <w:szCs w:val="24"/>
          <w:color w:val="auto"/>
        </w:rPr>
      </w:pPr>
    </w:p>
    <w:p>
      <w:pPr>
        <w:ind w:left="3040" w:right="1600" w:hanging="3019"/>
        <w:spacing w:after="0" w:line="336" w:lineRule="auto"/>
        <w:tabs>
          <w:tab w:leader="none" w:pos="48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 to ______________</w:t>
      </w:r>
    </w:p>
    <w:p>
      <w:pPr>
        <w:ind w:left="41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001-38537</w:t>
      </w:r>
    </w:p>
    <w:p>
      <w:pPr>
        <w:spacing w:after="0" w:line="20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-306705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0" w:type="dxa"/>
            <w:vAlign w:val="bottom"/>
          </w:tcPr>
          <w:p>
            <w:pPr>
              <w:jc w:val="right"/>
              <w:ind w:right="2301"/>
              <w:spacing w:after="0"/>
              <w:rPr>
                <w:sz w:val="20"/>
                <w:szCs w:val="20"/>
                <w:color w:val="auto"/>
              </w:rPr>
            </w:pPr>
            <w:r>
              <w:rPr>
                <w:rFonts w:ascii="Times New Roman" w:cs="Times New Roman" w:eastAsia="Times New Roman" w:hAnsi="Times New Roman"/>
                <w:sz w:val="18"/>
                <w:szCs w:val="18"/>
                <w:b w:val="1"/>
                <w:bCs w:val="1"/>
                <w:color w:val="auto"/>
              </w:rPr>
              <w:t>81-0710585</w:t>
            </w:r>
          </w:p>
        </w:tc>
        <w:tc>
          <w:tcPr>
            <w:tcW w:w="0" w:type="dxa"/>
            <w:vAlign w:val="bottom"/>
          </w:tcPr>
          <w:p>
            <w:pPr>
              <w:spacing w:after="0"/>
              <w:rPr>
                <w:sz w:val="1"/>
                <w:szCs w:val="1"/>
                <w:color w:val="auto"/>
              </w:rPr>
            </w:pPr>
          </w:p>
        </w:tc>
      </w:tr>
      <w:tr>
        <w:trPr>
          <w:trHeight w:val="151"/>
        </w:trPr>
        <w:tc>
          <w:tcPr>
            <w:tcW w:w="4500" w:type="dxa"/>
            <w:vAlign w:val="bottom"/>
            <w:gridSpan w:val="2"/>
          </w:tcPr>
          <w:p>
            <w:pPr>
              <w:jc w:val="center"/>
              <w:ind w:left="1057"/>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0" w:type="dxa"/>
            <w:vAlign w:val="bottom"/>
          </w:tcPr>
          <w:p>
            <w:pPr>
              <w:jc w:val="center"/>
              <w:ind w:right="212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tcPr>
          <w:p>
            <w:pPr>
              <w:jc w:val="center"/>
              <w:ind w:right="21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25"/>
        </w:trPr>
        <w:tc>
          <w:tcPr>
            <w:tcW w:w="4500" w:type="dxa"/>
            <w:vAlign w:val="bottom"/>
            <w:gridSpan w:val="2"/>
          </w:tcPr>
          <w:p>
            <w:pPr>
              <w:jc w:val="center"/>
              <w:ind w:left="1037"/>
              <w:spacing w:after="0"/>
              <w:rPr>
                <w:sz w:val="20"/>
                <w:szCs w:val="20"/>
                <w:color w:val="auto"/>
              </w:rPr>
            </w:pPr>
            <w:r>
              <w:rPr>
                <w:rFonts w:ascii="Times New Roman" w:cs="Times New Roman" w:eastAsia="Times New Roman" w:hAnsi="Times New Roman"/>
                <w:sz w:val="18"/>
                <w:szCs w:val="18"/>
                <w:b w:val="1"/>
                <w:bCs w:val="1"/>
                <w:color w:val="auto"/>
                <w:w w:val="99"/>
              </w:rPr>
              <w:t>490 Arsenal Way, Suite 210</w:t>
            </w: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8"/>
              </w:rPr>
              <w:t>Watertown, MA</w:t>
            </w: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0" w:type="dxa"/>
            <w:vAlign w:val="bottom"/>
          </w:tcPr>
          <w:p>
            <w:pPr>
              <w:jc w:val="right"/>
              <w:ind w:right="2501"/>
              <w:spacing w:after="0"/>
              <w:rPr>
                <w:sz w:val="20"/>
                <w:szCs w:val="20"/>
                <w:color w:val="auto"/>
              </w:rPr>
            </w:pPr>
            <w:r>
              <w:rPr>
                <w:rFonts w:ascii="Times New Roman" w:cs="Times New Roman" w:eastAsia="Times New Roman" w:hAnsi="Times New Roman"/>
                <w:sz w:val="18"/>
                <w:szCs w:val="18"/>
                <w:b w:val="1"/>
                <w:bCs w:val="1"/>
                <w:color w:val="auto"/>
              </w:rPr>
              <w:t>02472</w:t>
            </w:r>
          </w:p>
        </w:tc>
        <w:tc>
          <w:tcPr>
            <w:tcW w:w="0" w:type="dxa"/>
            <w:vAlign w:val="bottom"/>
          </w:tcPr>
          <w:p>
            <w:pPr>
              <w:spacing w:after="0"/>
              <w:rPr>
                <w:sz w:val="1"/>
                <w:szCs w:val="1"/>
                <w:color w:val="auto"/>
              </w:rPr>
            </w:pPr>
          </w:p>
        </w:tc>
      </w:tr>
      <w:tr>
        <w:trPr>
          <w:trHeight w:val="193"/>
        </w:trPr>
        <w:tc>
          <w:tcPr>
            <w:tcW w:w="4500" w:type="dxa"/>
            <w:vAlign w:val="bottom"/>
            <w:gridSpan w:val="2"/>
          </w:tcPr>
          <w:p>
            <w:pPr>
              <w:jc w:val="center"/>
              <w:ind w:left="10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tcPr>
          <w:p>
            <w:pPr>
              <w:jc w:val="center"/>
              <w:ind w:right="21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0"/>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(339) 666-3320</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7840" w:type="dxa"/>
            <w:vAlign w:val="bottom"/>
            <w:gridSpan w:val="7"/>
          </w:tcPr>
          <w:p>
            <w:pPr>
              <w:jc w:val="center"/>
              <w:ind w:left="3277"/>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 w:type="dxa"/>
            <w:vAlign w:val="bottom"/>
          </w:tcPr>
          <w:p>
            <w:pPr>
              <w:spacing w:after="0"/>
              <w:rPr>
                <w:sz w:val="18"/>
                <w:szCs w:val="18"/>
                <w:color w:val="auto"/>
              </w:rPr>
            </w:pPr>
          </w:p>
        </w:tc>
        <w:tc>
          <w:tcPr>
            <w:tcW w:w="3320" w:type="dxa"/>
            <w:vAlign w:val="bottom"/>
            <w:gridSpan w:val="4"/>
          </w:tcPr>
          <w:p>
            <w:pPr>
              <w:ind w:left="12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4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45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32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0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tcBorders>
              <w:top w:val="single" w:sz="8" w:color="auto"/>
            </w:tcBorders>
            <w:gridSpan w:val="2"/>
          </w:tcPr>
          <w:p>
            <w:pPr>
              <w:ind w:left="1220"/>
              <w:spacing w:after="0"/>
              <w:rPr>
                <w:sz w:val="20"/>
                <w:szCs w:val="20"/>
                <w:color w:val="auto"/>
              </w:rPr>
            </w:pPr>
            <w:r>
              <w:rPr>
                <w:rFonts w:ascii="Times New Roman" w:cs="Times New Roman" w:eastAsia="Times New Roman" w:hAnsi="Times New Roman"/>
                <w:sz w:val="18"/>
                <w:szCs w:val="18"/>
                <w:color w:val="auto"/>
              </w:rPr>
              <w:t>TECX</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4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22"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36"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 w:lineRule="exact"/>
        <w:rPr>
          <w:sz w:val="24"/>
          <w:szCs w:val="24"/>
          <w:color w:val="auto"/>
        </w:rPr>
      </w:pPr>
    </w:p>
    <w:p>
      <w:pPr>
        <w:ind w:right="2160"/>
        <w:spacing w:after="0" w:line="277" w:lineRule="exact"/>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 Yes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November 1, 2024, the registrant had 14,752,689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1040" w:type="dxa"/>
            <w:vAlign w:val="bottom"/>
            <w:vMerge w:val="continue"/>
          </w:tcPr>
          <w:p>
            <w:pPr>
              <w:spacing w:after="0"/>
              <w:rPr>
                <w:sz w:val="16"/>
                <w:szCs w:val="16"/>
                <w:color w:val="auto"/>
              </w:rPr>
            </w:pPr>
          </w:p>
        </w:tc>
        <w:tc>
          <w:tcPr>
            <w:tcW w:w="932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FINANCIAL INFORMATION</w:t>
            </w:r>
          </w:p>
        </w:tc>
        <w:tc>
          <w:tcPr>
            <w:tcW w:w="8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20"/>
                <w:szCs w:val="20"/>
                <w:color w:val="auto"/>
              </w:rPr>
            </w:pPr>
          </w:p>
        </w:tc>
        <w:tc>
          <w:tcPr>
            <w:tcW w:w="6880" w:type="dxa"/>
            <w:vAlign w:val="bottom"/>
            <w:gridSpan w:val="7"/>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3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nine months ended September 30,</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2024 and 2023</w:t>
            </w:r>
          </w:p>
        </w:tc>
        <w:tc>
          <w:tcPr>
            <w:tcW w:w="8040" w:type="dxa"/>
            <w:vAlign w:val="bottom"/>
            <w:gridSpan w:val="15"/>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Redeemable Convertible Preferred Stock and Stockholders’ Equity (Deficit) for the three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right w:val="single" w:sz="8" w:color="0000FF"/>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80" w:type="dxa"/>
            <w:vAlign w:val="bottom"/>
            <w:tcBorders>
              <w:bottom w:val="single" w:sz="8" w:color="0000FF"/>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and nine months ended September 30, 2024 and 2023</w:t>
            </w:r>
          </w:p>
        </w:tc>
        <w:tc>
          <w:tcPr>
            <w:tcW w:w="20" w:type="dxa"/>
            <w:vAlign w:val="bottom"/>
            <w:tcBorders>
              <w:bottom w:val="single" w:sz="8" w:color="0000EE"/>
            </w:tcBorders>
          </w:tcPr>
          <w:p>
            <w:pPr>
              <w:spacing w:after="0"/>
              <w:rPr>
                <w:sz w:val="17"/>
                <w:szCs w:val="17"/>
                <w:color w:val="auto"/>
              </w:rPr>
            </w:pPr>
          </w:p>
        </w:tc>
        <w:tc>
          <w:tcPr>
            <w:tcW w:w="5220" w:type="dxa"/>
            <w:vAlign w:val="bottom"/>
            <w:gridSpan w:val="5"/>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right w:val="single" w:sz="8" w:color="0000FF"/>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5"/>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Unaudited Interim Condensed 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EE"/>
            </w:tcBorders>
            <w:gridSpan w:val="5"/>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60" w:type="dxa"/>
            <w:vAlign w:val="bottom"/>
            <w:gridSpan w:val="3"/>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4"/>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vMerge w:val="continue"/>
          </w:tcPr>
          <w:p>
            <w:pPr>
              <w:spacing w:after="0"/>
              <w:rPr>
                <w:sz w:val="20"/>
                <w:szCs w:val="20"/>
                <w:color w:val="auto"/>
              </w:rPr>
            </w:pPr>
          </w:p>
        </w:tc>
        <w:tc>
          <w:tcPr>
            <w:tcW w:w="1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6"/>
              </w:rPr>
              <w:t>OTHER INFORMATION</w:t>
            </w:r>
          </w:p>
        </w:tc>
        <w:tc>
          <w:tcPr>
            <w:tcW w:w="7440" w:type="dxa"/>
            <w:vAlign w:val="bottom"/>
            <w:gridSpan w:val="11"/>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20"/>
                <w:szCs w:val="20"/>
                <w:color w:val="auto"/>
              </w:rPr>
            </w:pPr>
          </w:p>
        </w:tc>
        <w:tc>
          <w:tcPr>
            <w:tcW w:w="400" w:type="dxa"/>
            <w:vAlign w:val="bottom"/>
            <w:tcBorders>
              <w:top w:val="single" w:sz="8" w:color="0000FF"/>
            </w:tcBorders>
            <w:gridSpan w:val="3"/>
          </w:tcPr>
          <w:p>
            <w:pPr>
              <w:spacing w:after="0"/>
              <w:rPr>
                <w:sz w:val="20"/>
                <w:szCs w:val="20"/>
                <w:color w:val="auto"/>
              </w:rPr>
            </w:pPr>
          </w:p>
        </w:tc>
        <w:tc>
          <w:tcPr>
            <w:tcW w:w="8000" w:type="dxa"/>
            <w:vAlign w:val="bottom"/>
            <w:gridSpan w:val="13"/>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60" w:type="dxa"/>
            <w:vAlign w:val="bottom"/>
            <w:tcBorders>
              <w:top w:val="single" w:sz="8" w:color="0000FF"/>
            </w:tcBorders>
            <w:gridSpan w:val="5"/>
          </w:tcPr>
          <w:p>
            <w:pPr>
              <w:spacing w:after="0"/>
              <w:rPr>
                <w:sz w:val="20"/>
                <w:szCs w:val="20"/>
                <w:color w:val="auto"/>
              </w:rPr>
            </w:pPr>
          </w:p>
        </w:tc>
        <w:tc>
          <w:tcPr>
            <w:tcW w:w="4940" w:type="dxa"/>
            <w:vAlign w:val="bottom"/>
            <w:gridSpan w:val="4"/>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540" w:type="dxa"/>
            <w:vAlign w:val="bottom"/>
            <w:gridSpan w:val="12"/>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0" w:type="dxa"/>
            <w:vAlign w:val="bottom"/>
            <w:tcBorders>
              <w:top w:val="single" w:sz="8" w:color="0000FF"/>
              <w:bottom w:val="single" w:sz="8" w:color="0000EE"/>
            </w:tcBorders>
          </w:tcPr>
          <w:p>
            <w:pPr>
              <w:spacing w:after="0"/>
              <w:rPr>
                <w:sz w:val="20"/>
                <w:szCs w:val="20"/>
                <w:color w:val="auto"/>
              </w:rPr>
            </w:pPr>
          </w:p>
        </w:tc>
        <w:tc>
          <w:tcPr>
            <w:tcW w:w="680" w:type="dxa"/>
            <w:vAlign w:val="bottom"/>
            <w:tcBorders>
              <w:top w:val="single" w:sz="8" w:color="0000FF"/>
            </w:tcBorders>
            <w:gridSpan w:val="5"/>
          </w:tcPr>
          <w:p>
            <w:pPr>
              <w:spacing w:after="0"/>
              <w:rPr>
                <w:sz w:val="20"/>
                <w:szCs w:val="20"/>
                <w:color w:val="auto"/>
              </w:rPr>
            </w:pPr>
          </w:p>
        </w:tc>
        <w:tc>
          <w:tcPr>
            <w:tcW w:w="8020" w:type="dxa"/>
            <w:vAlign w:val="bottom"/>
            <w:gridSpan w:val="14"/>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243"/>
        </w:trPr>
        <w:tc>
          <w:tcPr>
            <w:tcW w:w="10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are not historical facts and are considered forward-looking within the meaning of Section 27A of the Securities Act of 1933, as amended (the “Securities Act”), and Section 21E of the Securities Exchange Act of 1934, as amended (the “Exchange Act”). Our forward-looking statements include, but are not limited to, statements regarding our or our management team’s expectations, hopes, beliefs, intentions or strategies, our ability to fund our working capital requirements, our financial performance and our ability to effectively manage our anticipated growth, our ability to obtain additional funding for our operations, and other risks and uncertainties, including those listed under the section titled “Risk Factors” in this Quarterly Report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 looking statements in this Quarterly Report on Form 10-Q (“Quarterly Report”) may include, for example, statements about:</w:t>
      </w:r>
    </w:p>
    <w:p>
      <w:pPr>
        <w:spacing w:after="0" w:line="86" w:lineRule="exact"/>
        <w:rPr>
          <w:sz w:val="20"/>
          <w:szCs w:val="20"/>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of management for our future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scope or timing of the development of our product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potential safety, efficacy, and regulatory and clinical progress of TX45 and any other product candidates, and our anticipated milestones and timing therefor;</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may be derived from any of our future products or the commercial or market opportunity with respect to any of our future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additional product candidates using our GEODe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to timely and successfully complete those trials and to receive necessary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filings with regulatory authorities for any product candidates that we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rate and degree of market acceptance for any current or future product candidates that we develop;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any milestone or royalty payments under our collaboration and license agreements.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our management’s current expectations, estimates, forecasts and projections about our business and the industry in which we operate, and management’s beliefs and assumptions and are not guarantees of future performance or development. These forward-looking statements are subject to a number of risks, uncertainties and assumptions, including those described under the section titled “Risk Factors” under Part II, Item 1A below, and under similar captions in our periodic reports filed with the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80"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While we believe that information provides a reasonable basis for these statements, that information may be limited or incomplete. Our statements should not be read to indicate that we have conducted an exhaustive inquiry into, or review of, all relevant information.</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to conform these statements to new information, actual results or changes in our expectations, except as required by law.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159,095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162,598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30,884</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equipment and improvements,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right-of-use assets,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168,717</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Convertible Preferred Stock and Stockholders’ Equity (Deficit)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SAFE liabilities</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 - net of current portion</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liability - net of current portion</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43,408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preferred stock (Series A-1, A-2, A-3 and A-4), $0.0001 par value;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6,825,483 shares authorized as of December 31, 2023; 6,825,483 shares issued and</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outstanding as of December 31, 2023; aggregate liquidation preference of $87,459</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as of December 31, 2023; no shares authorized, issued or outstanding as of</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September 30, 2024</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80,627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10,000,000 shares and no shares authorized as of September 30, 2024</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December 31, 2023, respectively; no shares issued and outstanding as of</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150,000,000 shares authorized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September 30, 2024 and December 31, 2023; 14,744,477 and 2,634,246 shares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September 30, 2024 and December 31, 2023,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286,649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(136,213 )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(90,604 )</w:t>
            </w: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(84,636 )</w:t>
            </w:r>
          </w:p>
        </w:tc>
      </w:tr>
      <w:tr>
        <w:trPr>
          <w:trHeight w:val="27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168,717</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-4594225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-4594225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-3325495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-2691130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20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(19,637 )</w:t>
            </w: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(10,114 )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(44,024 )</w:t>
            </w:r>
          </w:p>
        </w:tc>
        <w:tc>
          <w:tcPr>
            <w:tcW w:w="3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(35,274 )</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(3,610 )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(25 )</w:t>
            </w: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3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(416 )</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(1,585 )</w:t>
            </w: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(17,717 )</w:t>
            </w:r>
          </w:p>
        </w:tc>
        <w:tc>
          <w:tcPr>
            <w:tcW w:w="3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(10,054 )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(45,609 )</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(34,954 )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2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(1.20 )</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(7.62 )</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(7.16 )</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(28.06 )</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vMerge w:val="continue"/>
            <w:shd w:val="clear" w:color="auto" w:fill="CFF0FC"/>
          </w:tcPr>
          <w:p>
            <w:pPr>
              <w:spacing w:after="0"/>
              <w:rPr>
                <w:sz w:val="21"/>
                <w:szCs w:val="21"/>
                <w:color w:val="auto"/>
              </w:rPr>
            </w:pPr>
          </w:p>
        </w:tc>
        <w:tc>
          <w:tcPr>
            <w:tcW w:w="1200" w:type="dxa"/>
            <w:vAlign w:val="bottom"/>
            <w:gridSpan w:val="2"/>
            <w:vMerge w:val="continue"/>
            <w:shd w:val="clear" w:color="auto" w:fill="CFF0FC"/>
          </w:tcPr>
          <w:p>
            <w:pPr>
              <w:spacing w:after="0"/>
              <w:rPr>
                <w:sz w:val="21"/>
                <w:szCs w:val="21"/>
                <w:color w:val="auto"/>
              </w:rPr>
            </w:pPr>
          </w:p>
        </w:tc>
        <w:tc>
          <w:tcPr>
            <w:tcW w:w="360" w:type="dxa"/>
            <w:vAlign w:val="bottom"/>
            <w:vMerge w:val="continue"/>
            <w:shd w:val="clear" w:color="auto" w:fill="CFF0FC"/>
          </w:tcPr>
          <w:p>
            <w:pPr>
              <w:spacing w:after="0"/>
              <w:rPr>
                <w:sz w:val="21"/>
                <w:szCs w:val="21"/>
                <w:color w:val="auto"/>
              </w:rPr>
            </w:pPr>
          </w:p>
        </w:tc>
        <w:tc>
          <w:tcPr>
            <w:tcW w:w="1020" w:type="dxa"/>
            <w:vAlign w:val="bottom"/>
            <w:gridSpan w:val="2"/>
            <w:vMerge w:val="continue"/>
            <w:shd w:val="clear" w:color="auto" w:fill="CFF0FC"/>
          </w:tcPr>
          <w:p>
            <w:pPr>
              <w:spacing w:after="0"/>
              <w:rPr>
                <w:sz w:val="21"/>
                <w:szCs w:val="21"/>
                <w:color w:val="auto"/>
              </w:rPr>
            </w:pPr>
          </w:p>
        </w:tc>
        <w:tc>
          <w:tcPr>
            <w:tcW w:w="260" w:type="dxa"/>
            <w:vAlign w:val="bottom"/>
            <w:vMerge w:val="continue"/>
            <w:shd w:val="clear" w:color="auto" w:fill="CFF0FC"/>
          </w:tcPr>
          <w:p>
            <w:pPr>
              <w:spacing w:after="0"/>
              <w:rPr>
                <w:sz w:val="21"/>
                <w:szCs w:val="21"/>
                <w:color w:val="auto"/>
              </w:rPr>
            </w:pPr>
          </w:p>
        </w:tc>
        <w:tc>
          <w:tcPr>
            <w:tcW w:w="1120" w:type="dxa"/>
            <w:vAlign w:val="bottom"/>
            <w:gridSpan w:val="2"/>
            <w:vMerge w:val="continue"/>
            <w:shd w:val="clear" w:color="auto" w:fill="CFF0FC"/>
          </w:tcPr>
          <w:p>
            <w:pPr>
              <w:spacing w:after="0"/>
              <w:rPr>
                <w:sz w:val="21"/>
                <w:szCs w:val="21"/>
                <w:color w:val="auto"/>
              </w:rPr>
            </w:pPr>
          </w:p>
        </w:tc>
        <w:tc>
          <w:tcPr>
            <w:tcW w:w="360" w:type="dxa"/>
            <w:vAlign w:val="bottom"/>
            <w:vMerge w:val="continue"/>
            <w:shd w:val="clear" w:color="auto" w:fill="CFF0FC"/>
          </w:tcPr>
          <w:p>
            <w:pPr>
              <w:spacing w:after="0"/>
              <w:rPr>
                <w:sz w:val="21"/>
                <w:szCs w:val="21"/>
                <w:color w:val="auto"/>
              </w:rPr>
            </w:pPr>
          </w:p>
        </w:tc>
        <w:tc>
          <w:tcPr>
            <w:tcW w:w="88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14,729,018</w:t>
            </w:r>
          </w:p>
        </w:tc>
        <w:tc>
          <w:tcPr>
            <w:tcW w:w="26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1,319,147</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6,373,717</w:t>
            </w:r>
          </w:p>
        </w:tc>
        <w:tc>
          <w:tcPr>
            <w:tcW w:w="24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1,245,745</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3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(66 )</w:t>
            </w: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(17,733 )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(10,054 )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(45,675 )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(34,954 )</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-2416810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-2416810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-2416810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-1156335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-1156335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-1156335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-702310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-685165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-702310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-685165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-702310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-685165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4280"/>
        <w:spacing w:after="0"/>
        <w:rPr>
          <w:sz w:val="20"/>
          <w:szCs w:val="20"/>
          <w:color w:val="auto"/>
        </w:rPr>
      </w:pPr>
      <w:r>
        <w:rPr>
          <w:rFonts w:ascii="Times New Roman" w:cs="Times New Roman" w:eastAsia="Times New Roman" w:hAnsi="Times New Roman"/>
          <w:sz w:val="17"/>
          <w:szCs w:val="17"/>
          <w:b w:val="1"/>
          <w:bCs w:val="1"/>
          <w:color w:val="auto"/>
        </w:rPr>
        <w:t>TECTONIC THERAPEUTIC, INC.</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CONVERTIBLE PREFERRED STOCK AND STOCKHOLDERS’ EQUITY (DEFICIT)</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2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20" w:type="dxa"/>
            <w:vAlign w:val="bottom"/>
          </w:tcPr>
          <w:p>
            <w:pPr>
              <w:spacing w:after="0"/>
              <w:rPr>
                <w:sz w:val="14"/>
                <w:szCs w:val="14"/>
                <w:color w:val="auto"/>
              </w:rPr>
            </w:pPr>
          </w:p>
        </w:tc>
        <w:tc>
          <w:tcPr>
            <w:tcW w:w="188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149"/>
              <w:spacing w:after="0" w:line="124"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129"/>
              <w:spacing w:after="0" w:line="124"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189"/>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14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29"/>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289"/>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1"/>
                <w:szCs w:val="11"/>
                <w:color w:val="auto"/>
              </w:rPr>
            </w:pPr>
          </w:p>
        </w:tc>
        <w:tc>
          <w:tcPr>
            <w:tcW w:w="1080" w:type="dxa"/>
            <w:vAlign w:val="bottom"/>
            <w:gridSpan w:val="2"/>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8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29"/>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14"/>
                <w:szCs w:val="14"/>
                <w:color w:val="auto"/>
              </w:rPr>
            </w:pPr>
          </w:p>
        </w:tc>
        <w:tc>
          <w:tcPr>
            <w:tcW w:w="10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70"/>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1, 2024</w:t>
            </w:r>
          </w:p>
        </w:tc>
        <w:tc>
          <w:tcPr>
            <w:tcW w:w="10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6,825,483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80,627</w:t>
            </w:r>
          </w:p>
        </w:tc>
        <w:tc>
          <w:tcPr>
            <w:tcW w:w="10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2,634,246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5,979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2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(90,604 )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(84,636 )</w:t>
            </w:r>
          </w:p>
        </w:tc>
        <w:tc>
          <w:tcPr>
            <w:tcW w:w="0" w:type="dxa"/>
            <w:vAlign w:val="bottom"/>
          </w:tcPr>
          <w:p>
            <w:pPr>
              <w:spacing w:after="0"/>
              <w:rPr>
                <w:sz w:val="1"/>
                <w:szCs w:val="1"/>
                <w:color w:val="auto"/>
              </w:rPr>
            </w:pPr>
          </w:p>
        </w:tc>
      </w:tr>
      <w:tr>
        <w:trPr>
          <w:trHeight w:val="139"/>
        </w:trPr>
        <w:tc>
          <w:tcPr>
            <w:tcW w:w="2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Retroactive application of reverse</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(3,177,808 )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(1,226,452 )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recapitalization</w:t>
            </w: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Adjusted balance, beginning</w:t>
            </w:r>
          </w:p>
        </w:tc>
        <w:tc>
          <w:tcPr>
            <w:tcW w:w="10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3,647,675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tcBorders>
              <w:right w:val="single" w:sz="8" w:color="auto"/>
            </w:tcBorders>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80,627</w:t>
            </w:r>
          </w:p>
        </w:tc>
        <w:tc>
          <w:tcPr>
            <w:tcW w:w="1040" w:type="dxa"/>
            <w:vAlign w:val="bottom"/>
            <w:gridSpan w:val="2"/>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1,407,794</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5,979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(90,604 )</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(84,636 )</w:t>
            </w:r>
          </w:p>
        </w:tc>
        <w:tc>
          <w:tcPr>
            <w:tcW w:w="0" w:type="dxa"/>
            <w:vAlign w:val="bottom"/>
          </w:tcPr>
          <w:p>
            <w:pPr>
              <w:spacing w:after="0"/>
              <w:rPr>
                <w:sz w:val="1"/>
                <w:szCs w:val="1"/>
                <w:color w:val="auto"/>
              </w:rPr>
            </w:pPr>
          </w:p>
        </w:tc>
      </w:tr>
      <w:tr>
        <w:trPr>
          <w:trHeight w:val="185"/>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 period</w:t>
            </w:r>
          </w:p>
        </w:tc>
        <w:tc>
          <w:tcPr>
            <w:tcW w:w="10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tcBorders>
              <w:right w:val="single" w:sz="8" w:color="auto"/>
            </w:tcBorders>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1,535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tcBorders>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39"/>
        </w:trPr>
        <w:tc>
          <w:tcPr>
            <w:tcW w:w="2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18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(15,221 )</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(15,221 )</w:t>
            </w:r>
          </w:p>
        </w:tc>
        <w:tc>
          <w:tcPr>
            <w:tcW w:w="0" w:type="dxa"/>
            <w:vAlign w:val="bottom"/>
          </w:tcPr>
          <w:p>
            <w:pPr>
              <w:spacing w:after="0"/>
              <w:rPr>
                <w:sz w:val="1"/>
                <w:szCs w:val="1"/>
                <w:color w:val="auto"/>
              </w:rPr>
            </w:pPr>
          </w:p>
        </w:tc>
      </w:tr>
      <w:tr>
        <w:trPr>
          <w:trHeight w:val="169"/>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March 31, 2024</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3,647,675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80,627</w:t>
            </w:r>
          </w:p>
        </w:tc>
        <w:tc>
          <w:tcPr>
            <w:tcW w:w="104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1,409,329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6,304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(105,825 )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(99,574 )</w:t>
            </w:r>
          </w:p>
        </w:tc>
        <w:tc>
          <w:tcPr>
            <w:tcW w:w="0" w:type="dxa"/>
            <w:vAlign w:val="bottom"/>
          </w:tcPr>
          <w:p>
            <w:pPr>
              <w:spacing w:after="0"/>
              <w:rPr>
                <w:sz w:val="1"/>
                <w:szCs w:val="1"/>
                <w:color w:val="auto"/>
              </w:rPr>
            </w:pPr>
          </w:p>
        </w:tc>
      </w:tr>
      <w:tr>
        <w:trPr>
          <w:trHeight w:val="139"/>
        </w:trPr>
        <w:tc>
          <w:tcPr>
            <w:tcW w:w="27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Conversion of convertible preferred</w:t>
            </w: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into common stock in</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(3,647,675 )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(80,627 )</w:t>
            </w:r>
          </w:p>
        </w:tc>
        <w:tc>
          <w:tcPr>
            <w:tcW w:w="1040" w:type="dxa"/>
            <w:vAlign w:val="bottom"/>
            <w:gridSpan w:val="2"/>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3,647,675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80,627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80,627</w:t>
            </w:r>
          </w:p>
        </w:tc>
        <w:tc>
          <w:tcPr>
            <w:tcW w:w="0" w:type="dxa"/>
            <w:vAlign w:val="bottom"/>
          </w:tcPr>
          <w:p>
            <w:pPr>
              <w:spacing w:after="0"/>
              <w:rPr>
                <w:sz w:val="1"/>
                <w:szCs w:val="1"/>
                <w:color w:val="auto"/>
              </w:rPr>
            </w:pPr>
          </w:p>
        </w:tc>
      </w:tr>
      <w:tr>
        <w:trPr>
          <w:trHeight w:val="185"/>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connection with the Merger</w:t>
            </w:r>
          </w:p>
        </w:tc>
        <w:tc>
          <w:tcPr>
            <w:tcW w:w="10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tcBorders>
              <w:right w:val="single" w:sz="8" w:color="auto"/>
            </w:tcBorders>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265,165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17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tcBorders>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39"/>
        </w:trPr>
        <w:tc>
          <w:tcPr>
            <w:tcW w:w="2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to</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related party investors upon</w:t>
            </w:r>
          </w:p>
        </w:tc>
        <w:tc>
          <w:tcPr>
            <w:tcW w:w="10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1,470,839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34,125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34,125</w:t>
            </w:r>
          </w:p>
        </w:tc>
        <w:tc>
          <w:tcPr>
            <w:tcW w:w="0" w:type="dxa"/>
            <w:vAlign w:val="bottom"/>
          </w:tcPr>
          <w:p>
            <w:pPr>
              <w:spacing w:after="0"/>
              <w:rPr>
                <w:sz w:val="1"/>
                <w:szCs w:val="1"/>
                <w:color w:val="auto"/>
              </w:rPr>
            </w:pPr>
          </w:p>
        </w:tc>
      </w:tr>
      <w:tr>
        <w:trPr>
          <w:trHeight w:val="18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 of the SAFEs</w:t>
            </w: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subscription agreement, net of</w:t>
            </w:r>
          </w:p>
        </w:tc>
        <w:tc>
          <w:tcPr>
            <w:tcW w:w="10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4,163,606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94,600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94,601</w:t>
            </w:r>
          </w:p>
        </w:tc>
        <w:tc>
          <w:tcPr>
            <w:tcW w:w="0" w:type="dxa"/>
            <w:vAlign w:val="bottom"/>
          </w:tcPr>
          <w:p>
            <w:pPr>
              <w:spacing w:after="0"/>
              <w:rPr>
                <w:sz w:val="1"/>
                <w:szCs w:val="1"/>
                <w:color w:val="auto"/>
              </w:rPr>
            </w:pPr>
          </w:p>
        </w:tc>
      </w:tr>
      <w:tr>
        <w:trPr>
          <w:trHeight w:val="185"/>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offering costs of $2,000</w:t>
            </w:r>
          </w:p>
        </w:tc>
        <w:tc>
          <w:tcPr>
            <w:tcW w:w="10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tcBorders>
              <w:right w:val="single" w:sz="8" w:color="auto"/>
            </w:tcBorders>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0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3,777,709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78,156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78,157</w:t>
            </w:r>
          </w:p>
        </w:tc>
        <w:tc>
          <w:tcPr>
            <w:tcW w:w="0" w:type="dxa"/>
            <w:vAlign w:val="bottom"/>
          </w:tcPr>
          <w:p>
            <w:pPr>
              <w:spacing w:after="0"/>
              <w:rPr>
                <w:sz w:val="1"/>
                <w:szCs w:val="1"/>
                <w:color w:val="auto"/>
              </w:rPr>
            </w:pPr>
          </w:p>
        </w:tc>
      </w:tr>
      <w:tr>
        <w:trPr>
          <w:trHeight w:val="18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Merger</w:t>
            </w: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Transaction costs in connection</w:t>
            </w:r>
          </w:p>
        </w:tc>
        <w:tc>
          <w:tcPr>
            <w:tcW w:w="10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(9,937 )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(9,937 )</w:t>
            </w:r>
          </w:p>
        </w:tc>
        <w:tc>
          <w:tcPr>
            <w:tcW w:w="0" w:type="dxa"/>
            <w:vAlign w:val="bottom"/>
          </w:tcPr>
          <w:p>
            <w:pPr>
              <w:spacing w:after="0"/>
              <w:rPr>
                <w:sz w:val="1"/>
                <w:szCs w:val="1"/>
                <w:color w:val="auto"/>
              </w:rPr>
            </w:pPr>
          </w:p>
        </w:tc>
      </w:tr>
      <w:tr>
        <w:trPr>
          <w:trHeight w:val="185"/>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with the Merger</w:t>
            </w:r>
          </w:p>
        </w:tc>
        <w:tc>
          <w:tcPr>
            <w:tcW w:w="10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tcBorders>
              <w:right w:val="single" w:sz="8" w:color="auto"/>
            </w:tcBorders>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8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(12,671 )</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(12,671 )</w:t>
            </w:r>
          </w:p>
        </w:tc>
        <w:tc>
          <w:tcPr>
            <w:tcW w:w="0" w:type="dxa"/>
            <w:vAlign w:val="bottom"/>
          </w:tcPr>
          <w:p>
            <w:pPr>
              <w:spacing w:after="0"/>
              <w:rPr>
                <w:sz w:val="1"/>
                <w:szCs w:val="1"/>
                <w:color w:val="auto"/>
              </w:rPr>
            </w:pPr>
          </w:p>
        </w:tc>
      </w:tr>
      <w:tr>
        <w:trPr>
          <w:trHeight w:val="169"/>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2024</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14,734,323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284,922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(118,496 )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166,367</w:t>
            </w:r>
          </w:p>
        </w:tc>
        <w:tc>
          <w:tcPr>
            <w:tcW w:w="0" w:type="dxa"/>
            <w:vAlign w:val="bottom"/>
          </w:tcPr>
          <w:p>
            <w:pPr>
              <w:spacing w:after="0"/>
              <w:rPr>
                <w:sz w:val="1"/>
                <w:szCs w:val="1"/>
                <w:color w:val="auto"/>
              </w:rPr>
            </w:pPr>
          </w:p>
        </w:tc>
      </w:tr>
      <w:tr>
        <w:trPr>
          <w:trHeight w:val="175"/>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tcBorders>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10,154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1,650</w:t>
            </w:r>
          </w:p>
        </w:tc>
        <w:tc>
          <w:tcPr>
            <w:tcW w:w="0" w:type="dxa"/>
            <w:vAlign w:val="bottom"/>
          </w:tcPr>
          <w:p>
            <w:pPr>
              <w:spacing w:after="0"/>
              <w:rPr>
                <w:sz w:val="1"/>
                <w:szCs w:val="1"/>
                <w:color w:val="auto"/>
              </w:rPr>
            </w:pPr>
          </w:p>
        </w:tc>
      </w:tr>
      <w:tr>
        <w:trPr>
          <w:trHeight w:val="139"/>
        </w:trPr>
        <w:tc>
          <w:tcPr>
            <w:tcW w:w="27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85"/>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0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tcBorders>
              <w:right w:val="single" w:sz="8" w:color="auto"/>
            </w:tcBorders>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(17,717 )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(17,717 )</w:t>
            </w:r>
          </w:p>
        </w:tc>
        <w:tc>
          <w:tcPr>
            <w:tcW w:w="0" w:type="dxa"/>
            <w:vAlign w:val="bottom"/>
          </w:tcPr>
          <w:p>
            <w:pPr>
              <w:spacing w:after="0"/>
              <w:rPr>
                <w:sz w:val="1"/>
                <w:szCs w:val="1"/>
                <w:color w:val="auto"/>
              </w:rPr>
            </w:pPr>
          </w:p>
        </w:tc>
      </w:tr>
      <w:tr>
        <w:trPr>
          <w:trHeight w:val="209"/>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September 30, 2024</w:t>
            </w:r>
          </w:p>
        </w:tc>
        <w:tc>
          <w:tcPr>
            <w:tcW w:w="10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14,744,477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286,649</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(136,213 )</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150,361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-2776855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-2776855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-2776855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-2776855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-2776855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-2776855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-2776855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-805180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-805180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-805180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-805180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-805180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-805180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-805180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-24765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-8255</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-24765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-8255</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6" w:name="page7"/>
    <w:bookmarkEnd w:id="6"/>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2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20" w:type="dxa"/>
            <w:vAlign w:val="bottom"/>
          </w:tcPr>
          <w:p>
            <w:pPr>
              <w:spacing w:after="0"/>
              <w:rPr>
                <w:sz w:val="14"/>
                <w:szCs w:val="14"/>
                <w:color w:val="auto"/>
              </w:rPr>
            </w:pPr>
          </w:p>
        </w:tc>
        <w:tc>
          <w:tcPr>
            <w:tcW w:w="18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150"/>
              <w:spacing w:after="0" w:line="124"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19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15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29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1"/>
                <w:szCs w:val="11"/>
                <w:color w:val="auto"/>
              </w:rPr>
            </w:pPr>
          </w:p>
        </w:tc>
        <w:tc>
          <w:tcPr>
            <w:tcW w:w="1080" w:type="dxa"/>
            <w:vAlign w:val="bottom"/>
            <w:gridSpan w:val="2"/>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80" w:type="dxa"/>
            <w:vAlign w:val="bottom"/>
            <w:gridSpan w:val="2"/>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14"/>
                <w:szCs w:val="14"/>
                <w:color w:val="auto"/>
              </w:rPr>
            </w:pPr>
          </w:p>
        </w:tc>
        <w:tc>
          <w:tcPr>
            <w:tcW w:w="10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0"/>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1, 2023</w:t>
            </w:r>
          </w:p>
        </w:tc>
        <w:tc>
          <w:tcPr>
            <w:tcW w:w="10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6,825,483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80,627</w:t>
            </w:r>
          </w:p>
        </w:tc>
        <w:tc>
          <w:tcPr>
            <w:tcW w:w="10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2,525,771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2,127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(47,781 )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(45,654 )</w:t>
            </w:r>
          </w:p>
        </w:tc>
        <w:tc>
          <w:tcPr>
            <w:tcW w:w="0" w:type="dxa"/>
            <w:vAlign w:val="bottom"/>
          </w:tcPr>
          <w:p>
            <w:pPr>
              <w:spacing w:after="0"/>
              <w:rPr>
                <w:sz w:val="1"/>
                <w:szCs w:val="1"/>
                <w:color w:val="auto"/>
              </w:rPr>
            </w:pPr>
          </w:p>
        </w:tc>
      </w:tr>
      <w:tr>
        <w:trPr>
          <w:trHeight w:val="139"/>
        </w:trPr>
        <w:tc>
          <w:tcPr>
            <w:tcW w:w="2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Retroactive application of reverse</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(3,177,808 )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(1,175,948 )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recapitalization</w:t>
            </w: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Adjusted balance, beginning</w:t>
            </w:r>
          </w:p>
        </w:tc>
        <w:tc>
          <w:tcPr>
            <w:tcW w:w="10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3,647,675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tcBorders>
              <w:right w:val="single" w:sz="8" w:color="auto"/>
            </w:tcBorders>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80,627</w:t>
            </w:r>
          </w:p>
        </w:tc>
        <w:tc>
          <w:tcPr>
            <w:tcW w:w="104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1,349,823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2,127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vMerge w:val="restart"/>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(47,781 )</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(45,654 )</w:t>
            </w:r>
          </w:p>
        </w:tc>
        <w:tc>
          <w:tcPr>
            <w:tcW w:w="0" w:type="dxa"/>
            <w:vAlign w:val="bottom"/>
          </w:tcPr>
          <w:p>
            <w:pPr>
              <w:spacing w:after="0"/>
              <w:rPr>
                <w:sz w:val="1"/>
                <w:szCs w:val="1"/>
                <w:color w:val="auto"/>
              </w:rPr>
            </w:pPr>
          </w:p>
        </w:tc>
      </w:tr>
      <w:tr>
        <w:trPr>
          <w:trHeight w:val="185"/>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 period</w:t>
            </w:r>
          </w:p>
        </w:tc>
        <w:tc>
          <w:tcPr>
            <w:tcW w:w="10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tcBorders>
              <w:right w:val="single" w:sz="8" w:color="auto"/>
            </w:tcBorders>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tcBorders>
              <w:right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(14,445 )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(14,445 )</w:t>
            </w:r>
          </w:p>
        </w:tc>
        <w:tc>
          <w:tcPr>
            <w:tcW w:w="0" w:type="dxa"/>
            <w:vAlign w:val="bottom"/>
          </w:tcPr>
          <w:p>
            <w:pPr>
              <w:spacing w:after="0"/>
              <w:rPr>
                <w:sz w:val="1"/>
                <w:szCs w:val="1"/>
                <w:color w:val="auto"/>
              </w:rPr>
            </w:pPr>
          </w:p>
        </w:tc>
      </w:tr>
      <w:tr>
        <w:trPr>
          <w:trHeight w:val="169"/>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March 31, 2023</w:t>
            </w:r>
          </w:p>
        </w:tc>
        <w:tc>
          <w:tcPr>
            <w:tcW w:w="10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3,647,675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80,627</w:t>
            </w:r>
          </w:p>
        </w:tc>
        <w:tc>
          <w:tcPr>
            <w:tcW w:w="10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1,350,509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2,403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(62,226 )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(59,823 )</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76"/>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right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(10,455 )</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(10,455 )</w:t>
            </w:r>
          </w:p>
        </w:tc>
        <w:tc>
          <w:tcPr>
            <w:tcW w:w="0" w:type="dxa"/>
            <w:vAlign w:val="bottom"/>
          </w:tcPr>
          <w:p>
            <w:pPr>
              <w:spacing w:after="0"/>
              <w:rPr>
                <w:sz w:val="1"/>
                <w:szCs w:val="1"/>
                <w:color w:val="auto"/>
              </w:rPr>
            </w:pPr>
          </w:p>
        </w:tc>
      </w:tr>
      <w:tr>
        <w:trPr>
          <w:trHeight w:val="169"/>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2023</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3,647,675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80,627</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1,350,509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2,680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(72,681 )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(70,001 )</w:t>
            </w:r>
          </w:p>
        </w:tc>
        <w:tc>
          <w:tcPr>
            <w:tcW w:w="0" w:type="dxa"/>
            <w:vAlign w:val="bottom"/>
          </w:tcPr>
          <w:p>
            <w:pPr>
              <w:spacing w:after="0"/>
              <w:rPr>
                <w:sz w:val="1"/>
                <w:szCs w:val="1"/>
                <w:color w:val="auto"/>
              </w:rPr>
            </w:pPr>
          </w:p>
        </w:tc>
      </w:tr>
      <w:tr>
        <w:trPr>
          <w:trHeight w:val="17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tcBorders>
              <w:right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(10,054 )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(10,054 )</w:t>
            </w:r>
          </w:p>
        </w:tc>
        <w:tc>
          <w:tcPr>
            <w:tcW w:w="0" w:type="dxa"/>
            <w:vAlign w:val="bottom"/>
          </w:tcPr>
          <w:p>
            <w:pPr>
              <w:spacing w:after="0"/>
              <w:rPr>
                <w:sz w:val="1"/>
                <w:szCs w:val="1"/>
                <w:color w:val="auto"/>
              </w:rPr>
            </w:pPr>
          </w:p>
        </w:tc>
      </w:tr>
      <w:tr>
        <w:trPr>
          <w:trHeight w:val="209"/>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September 30, 2023</w:t>
            </w:r>
          </w:p>
        </w:tc>
        <w:tc>
          <w:tcPr>
            <w:tcW w:w="10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3,647,675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80,627</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1,350,509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2,955</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(82,735 )</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(79,780 )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-487680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-487680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-487680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-487680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-487680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-487680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-487680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-25400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-25400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left="420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(45,609 )</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(34,954 )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1,137</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1,105</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2,374</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827</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830</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3,610</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assets</w:t>
            </w:r>
          </w:p>
        </w:tc>
        <w:tc>
          <w:tcPr>
            <w:tcW w:w="9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4,019</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(640 )</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7"/>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(42,259 )</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(29,024 )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1"/>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equipment and improvements</w:t>
            </w:r>
          </w:p>
        </w:tc>
        <w:tc>
          <w:tcPr>
            <w:tcW w:w="9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36"/>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Subscription Agreement, net of offering costs of $2,000</w:t>
            </w:r>
          </w:p>
        </w:tc>
        <w:tc>
          <w:tcPr>
            <w:tcW w:w="9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94,600</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acquired in connection with the Merger</w:t>
            </w: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85,230</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for Merger transaction costs</w:t>
            </w:r>
          </w:p>
        </w:tc>
        <w:tc>
          <w:tcPr>
            <w:tcW w:w="9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(384 )</w:t>
            </w:r>
          </w:p>
        </w:tc>
      </w:tr>
      <w:tr>
        <w:trPr>
          <w:trHeight w:val="236"/>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9"/>
              </w:rPr>
              <w:t>172,783</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(383 )</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9"/>
              </w:rPr>
              <w:t>130,326</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(29,636 )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as of beginning of period</w:t>
            </w: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29,356</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36,553</w:t>
            </w:r>
          </w:p>
        </w:tc>
      </w:tr>
      <w:tr>
        <w:trPr>
          <w:trHeight w:val="27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as of end of period</w:t>
            </w:r>
          </w:p>
        </w:tc>
        <w:tc>
          <w:tcPr>
            <w:tcW w:w="960" w:type="dxa"/>
            <w:vAlign w:val="bottom"/>
            <w:shd w:val="clear" w:color="auto" w:fill="CFF0FC"/>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9"/>
              </w:rPr>
              <w:t>159,682</w:t>
            </w:r>
          </w:p>
        </w:tc>
        <w:tc>
          <w:tcPr>
            <w:tcW w:w="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6,917</w:t>
            </w:r>
          </w:p>
        </w:tc>
      </w:tr>
      <w:tr>
        <w:trPr>
          <w:trHeight w:val="225"/>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9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FF0FC"/>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9"/>
              </w:rPr>
              <w:t>159,095</w:t>
            </w:r>
          </w:p>
        </w:tc>
        <w:tc>
          <w:tcPr>
            <w:tcW w:w="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6,330</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587</w:t>
            </w:r>
          </w:p>
        </w:tc>
      </w:tr>
      <w:tr>
        <w:trPr>
          <w:trHeight w:val="27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60" w:type="dxa"/>
            <w:vAlign w:val="bottom"/>
            <w:shd w:val="clear" w:color="auto" w:fill="CFF0FC"/>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9"/>
              </w:rPr>
              <w:t>159,682</w:t>
            </w:r>
          </w:p>
        </w:tc>
        <w:tc>
          <w:tcPr>
            <w:tcW w:w="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6,917</w:t>
            </w:r>
          </w:p>
        </w:tc>
      </w:tr>
      <w:tr>
        <w:trPr>
          <w:trHeight w:val="225"/>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9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Merger transaction costs included in accounts payable and accrued expenses</w:t>
            </w:r>
          </w:p>
        </w:tc>
        <w:tc>
          <w:tcPr>
            <w:tcW w:w="960" w:type="dxa"/>
            <w:vAlign w:val="bottom"/>
            <w:shd w:val="clear" w:color="auto" w:fill="CFF0FC"/>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2,524</w:t>
            </w:r>
          </w:p>
        </w:tc>
        <w:tc>
          <w:tcPr>
            <w:tcW w:w="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SAFEs to Common Stock</w:t>
            </w: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34,125</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Convertible Preferred Stock to Common Stock</w:t>
            </w:r>
          </w:p>
        </w:tc>
        <w:tc>
          <w:tcPr>
            <w:tcW w:w="960" w:type="dxa"/>
            <w:vAlign w:val="bottom"/>
            <w:shd w:val="clear" w:color="auto" w:fill="CFF0FC"/>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80,627</w:t>
            </w:r>
          </w:p>
        </w:tc>
        <w:tc>
          <w:tcPr>
            <w:tcW w:w="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equipment through the end of the finance leases</w:t>
            </w: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-3963035</wp:posOffset>
            </wp:positionV>
            <wp:extent cx="111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-3645535</wp:posOffset>
            </wp:positionV>
            <wp:extent cx="1111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-2385695</wp:posOffset>
            </wp:positionV>
            <wp:extent cx="1111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-1751330</wp:posOffset>
            </wp:positionV>
            <wp:extent cx="111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-1734185</wp:posOffset>
            </wp:positionV>
            <wp:extent cx="1111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-1099820</wp:posOffset>
            </wp:positionV>
            <wp:extent cx="1111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-1082675</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760" w:right="8000" w:hanging="752"/>
        <w:spacing w:after="0" w:line="503" w:lineRule="auto"/>
        <w:tabs>
          <w:tab w:leader="none" w:pos="7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b w:val="1"/>
          <w:bCs w:val="1"/>
          <w:i w:val="1"/>
          <w:iCs w:val="1"/>
          <w:color w:val="auto"/>
        </w:rPr>
        <w:t>Business</w:t>
      </w:r>
    </w:p>
    <w:p>
      <w:pPr>
        <w:ind w:left="7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Tectonic Therapeutic, Inc. (formerly AVROBIO, Inc.) (the “Company” or “Tectonic”) is a clinical-stage biotechnology company focused on the discovery and development of therapeutic proteins and antibodies that modulate the activity of</w:t>
      </w:r>
    </w:p>
    <w:p>
      <w:pPr>
        <w:ind w:left="760"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G-protein coupled receptors (“GPCRs”). The Company focuses on areas of significant unmet medical need, often where therapeutic options are poor or nonexistent, as these are areas where new medicines have the potential to improve patient quality of life. The Company’s corporate headquarters are in Watertown, Massachusetts.</w:t>
      </w:r>
    </w:p>
    <w:p>
      <w:pPr>
        <w:spacing w:after="0" w:line="18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Reverse Merger and Pre-Merger Financing Transaction</w:t>
      </w:r>
    </w:p>
    <w:p>
      <w:pPr>
        <w:spacing w:after="0" w:line="229" w:lineRule="exact"/>
        <w:rPr>
          <w:rFonts w:ascii="Times New Roman" w:cs="Times New Roman" w:eastAsia="Times New Roman" w:hAnsi="Times New Roman"/>
          <w:sz w:val="18"/>
          <w:szCs w:val="18"/>
          <w:b w:val="1"/>
          <w:bCs w:val="1"/>
          <w:color w:val="auto"/>
        </w:rPr>
      </w:pPr>
    </w:p>
    <w:p>
      <w:pPr>
        <w:ind w:left="7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20, 2024, the Company completed its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The Merger is being accounted for as a reverse recapitalization in accordance with generally accepted accounting principles in the United States of America (“GAAP”), with AVROBIO treated as the acquired company for financial reporting purposes, and Legacy Tectonic treated as the accounting acquirer.</w:t>
      </w:r>
    </w:p>
    <w:p>
      <w:pPr>
        <w:spacing w:after="0" w:line="80" w:lineRule="exact"/>
        <w:rPr>
          <w:rFonts w:ascii="Times New Roman" w:cs="Times New Roman" w:eastAsia="Times New Roman" w:hAnsi="Times New Roman"/>
          <w:sz w:val="18"/>
          <w:szCs w:val="18"/>
          <w:b w:val="1"/>
          <w:bCs w:val="1"/>
          <w:color w:val="auto"/>
        </w:rPr>
      </w:pPr>
    </w:p>
    <w:p>
      <w:pPr>
        <w:ind w:left="7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closing of the Merger, each outstanding share of Legacy Tectonic’s common stock, including outstanding and unvested restricted stock, was converted into the right to receive a number of shares of AVROBIO’s common stock based on an exchange ratio of 0.53 (the “Exchange Ratio”), as defined in the Merger Agreement, after giving effect to the 1-for-12 reverse stock split of AVROBIO common stock that was effected on June 20, 2024. The exchange ratio was retroactively applied to all outstanding common shares, convertible preferred shares, stock options and restricted stock.</w:t>
      </w:r>
    </w:p>
    <w:p>
      <w:pPr>
        <w:spacing w:after="0" w:line="75" w:lineRule="exact"/>
        <w:rPr>
          <w:rFonts w:ascii="Times New Roman" w:cs="Times New Roman" w:eastAsia="Times New Roman" w:hAnsi="Times New Roman"/>
          <w:sz w:val="18"/>
          <w:szCs w:val="18"/>
          <w:b w:val="1"/>
          <w:bCs w:val="1"/>
          <w:color w:val="auto"/>
        </w:rPr>
      </w:pPr>
    </w:p>
    <w:p>
      <w:pPr>
        <w:ind w:left="7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outstanding and unexercised option to purchase shares of Legacy Tectonic’s common stock immediately prior to closing was assumed by AVROBIO and was converted into an option to purchase shares of AVROBIO common stock, with necessary adjustments to the number of shares and exercise price to reflect the Exchange Ratio. All of Legacy Tectonic’s restricted common stock outstanding and unvested immediately prior to the closing that was assumed by AVROBIO in the Merger remains unvested to the same extent and is subject to the same repurchase option, risk of forfeiture or other condition under any applicable restricted stock purchase agreement.</w:t>
      </w:r>
    </w:p>
    <w:p>
      <w:pPr>
        <w:spacing w:after="0" w:line="75" w:lineRule="exact"/>
        <w:rPr>
          <w:rFonts w:ascii="Times New Roman" w:cs="Times New Roman" w:eastAsia="Times New Roman" w:hAnsi="Times New Roman"/>
          <w:sz w:val="18"/>
          <w:szCs w:val="18"/>
          <w:b w:val="1"/>
          <w:bCs w:val="1"/>
          <w:color w:val="auto"/>
        </w:rPr>
      </w:pPr>
    </w:p>
    <w:p>
      <w:pPr>
        <w:ind w:left="7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Legacy Tectonic stockholders received 10,956,614 shares of AVROBIO common stock in connection with the Merger, including 11,447 shares of AVROBIO restricted common stock subject to vesting terms, of which 4,588 have since vested subsequent to the closing of the Merger, based on the number of shares of Legacy Tectonic common stock outstanding immediately prior to the Merger, including restricted stock, the number of shares of common stock issued to investors participating in the Subscription Agreements (as defined below) and SAFEs, and Legacy Tectonic convertible preferred stock outstanding immediately prior to the Merger, which was converted into shares of Legacy Tectonic common stock on a one-for-one basis immediately prior to the closing of the Merger.</w:t>
      </w:r>
    </w:p>
    <w:p>
      <w:pPr>
        <w:spacing w:after="0" w:line="79" w:lineRule="exact"/>
        <w:rPr>
          <w:rFonts w:ascii="Times New Roman" w:cs="Times New Roman" w:eastAsia="Times New Roman" w:hAnsi="Times New Roman"/>
          <w:sz w:val="18"/>
          <w:szCs w:val="18"/>
          <w:b w:val="1"/>
          <w:bCs w:val="1"/>
          <w:color w:val="auto"/>
        </w:rPr>
      </w:pPr>
    </w:p>
    <w:p>
      <w:pPr>
        <w:ind w:left="7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Merger, the Company and its designated rights agent entered into a contingent value rights agreement (the “CVR Agreement”). Pursuant to the CVR Agreement, each holder of AVROBIO common stock immediately prior to the closing received a contractual contingent value right (“CVR”) subject to and in accordance with the terms and conditions of the CVR Agreement, representing the contractual right to receive a pro rata portion of any net proceeds, if any, as a resulting from a disposition of certain AVROBIO intellectual property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As of September 30, 2024, no proceeds have been received under the CVR Agreement. As of September 30, 2024 there is no liability recorded in connection with the CVR Agreement.</w:t>
      </w:r>
    </w:p>
    <w:p>
      <w:pPr>
        <w:spacing w:after="0" w:line="80" w:lineRule="exact"/>
        <w:rPr>
          <w:rFonts w:ascii="Times New Roman" w:cs="Times New Roman" w:eastAsia="Times New Roman" w:hAnsi="Times New Roman"/>
          <w:sz w:val="18"/>
          <w:szCs w:val="18"/>
          <w:b w:val="1"/>
          <w:bCs w:val="1"/>
          <w:color w:val="auto"/>
        </w:rPr>
      </w:pPr>
    </w:p>
    <w:p>
      <w:pPr>
        <w:ind w:left="7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Concurrently with the closing of the Merger, certain investors of Legacy Tectonic completed the purchase of 7,790,889 shares of Legacy Tectonic common stock pursuant to that certain Subscription Agreement dated January 30, 2024 (the “Subscription Agreement”) at a purchase price of $12.40 per share for an aggregate purchase price of $96.6 million. Shares of Legacy Tectonic common stock issued pursuant to the Subscription Agreements were converted into 4,163,606 shares of AVROBIO common stock at the closing of the Merger based on the Exchange Ratio, pursuant to the Merger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left="752" w:right="6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75" w:lineRule="exact"/>
        <w:rPr>
          <w:sz w:val="20"/>
          <w:szCs w:val="20"/>
          <w:color w:val="auto"/>
        </w:rPr>
      </w:pPr>
    </w:p>
    <w:p>
      <w:pPr>
        <w:ind w:left="752" w:right="120"/>
        <w:spacing w:after="0" w:line="256" w:lineRule="auto"/>
        <w:rPr>
          <w:sz w:val="20"/>
          <w:szCs w:val="20"/>
          <w:color w:val="auto"/>
        </w:rPr>
      </w:pPr>
      <w:r>
        <w:rPr>
          <w:rFonts w:ascii="Times New Roman" w:cs="Times New Roman" w:eastAsia="Times New Roman" w:hAnsi="Times New Roman"/>
          <w:sz w:val="18"/>
          <w:szCs w:val="18"/>
          <w:color w:val="auto"/>
        </w:rPr>
        <w:t>The Company’s proprietary GEODe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83"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left="752" w:right="80"/>
        <w:spacing w:after="0" w:line="255" w:lineRule="auto"/>
        <w:rPr>
          <w:sz w:val="20"/>
          <w:szCs w:val="20"/>
          <w:color w:val="auto"/>
        </w:rPr>
      </w:pPr>
      <w:r>
        <w:rPr>
          <w:rFonts w:ascii="Times New Roman" w:cs="Times New Roman" w:eastAsia="Times New Roman" w:hAnsi="Times New Roman"/>
          <w:sz w:val="18"/>
          <w:szCs w:val="18"/>
          <w:color w:val="auto"/>
        </w:rPr>
        <w:t>As of September 30, 2024, the Company had an accumulated deficit of $136.2 million and has incurred losses and negative cash flows from operations since inception, including a net loss of $17.7 million and $45.6 million for the three and nine months ended September 30, 2024, respectively. To date, the Company has financed its operations primarily through the issuance of common stock, convertible preferred stock, convertible promissory notes and Simple Agreements for Future Equity (“SAFEs”). The Company has devoted substantially all of its financial resources and efforts to business planning, conducting research and development, recruiting management and technical staff, and raising capital. Management expects that the Company’s operating losses and negative cash flows will continue for the foreseeable future as it continues to develop its product candidates.</w:t>
      </w:r>
    </w:p>
    <w:p>
      <w:pPr>
        <w:spacing w:after="0" w:line="81" w:lineRule="exact"/>
        <w:rPr>
          <w:sz w:val="20"/>
          <w:szCs w:val="20"/>
          <w:color w:val="auto"/>
        </w:rPr>
      </w:pPr>
    </w:p>
    <w:p>
      <w:pPr>
        <w:ind w:left="752"/>
        <w:spacing w:after="0" w:line="258" w:lineRule="auto"/>
        <w:rPr>
          <w:sz w:val="20"/>
          <w:szCs w:val="20"/>
          <w:color w:val="auto"/>
        </w:rPr>
      </w:pPr>
      <w:r>
        <w:rPr>
          <w:rFonts w:ascii="Times New Roman" w:cs="Times New Roman" w:eastAsia="Times New Roman" w:hAnsi="Times New Roman"/>
          <w:sz w:val="18"/>
          <w:szCs w:val="18"/>
          <w:color w:val="auto"/>
        </w:rPr>
        <w:t>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Management believes that its current cash on hand, which includes the proceeds related to the Merger and Subscription Agreements, is sufficient to fund the Company’s planned operations for at least one year from the date of issuance of these unaudited condensed consolidated financial statements.</w:t>
      </w:r>
    </w:p>
    <w:p>
      <w:pPr>
        <w:spacing w:after="0" w:line="179" w:lineRule="exact"/>
        <w:rPr>
          <w:sz w:val="20"/>
          <w:szCs w:val="20"/>
          <w:color w:val="auto"/>
        </w:rPr>
      </w:pPr>
    </w:p>
    <w:p>
      <w:pPr>
        <w:ind w:left="752" w:hanging="752"/>
        <w:spacing w:after="0"/>
        <w:tabs>
          <w:tab w:leader="none" w:pos="75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rFonts w:ascii="Times New Roman" w:cs="Times New Roman" w:eastAsia="Times New Roman" w:hAnsi="Times New Roman"/>
          <w:sz w:val="18"/>
          <w:szCs w:val="18"/>
          <w:b w:val="1"/>
          <w:bCs w:val="1"/>
          <w:color w:val="auto"/>
        </w:rPr>
      </w:pPr>
    </w:p>
    <w:p>
      <w:pPr>
        <w:ind w:left="752"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nine months ended September 30, 2024, there were no significant changes to the Company’s significant accounting policies as described in the Company’s audited consolidated financial statements as of and for the years ended December 31, 2023 and 2022.</w:t>
      </w:r>
    </w:p>
    <w:p>
      <w:pPr>
        <w:spacing w:after="0" w:line="157"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ind w:left="752"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interim condensed consolidated financial statements have been prepared in conformity with GAAP and the rules and regulations of the Securities and Exchange Commission (“SEC”). Any reference in these notes to applicable guidance is meant to refer to GAAP, as found in the Accounting Standards Codification (“ASC”) and Accounting Standards Updates (“ASU”) of the Financial Accounting Standards Board (“FASB”). In the opinion of the Company, the accompanying unaudited condensed consolidated financial statements contain all adjustments, consisting of only normal recurring adjustments, necessary for a fair presentation of its financial position and its results of operations, changes in convertible preferred stock and stockholders’ equity (deficit) and cash flows. The information as of December 31, 2023 included in the unaudited interim condensed consolidated balance sheets was derived from audited annual consolidated financial statements but does not contain all of the footnote disclosures from the audited annual consolidated financial statements.</w:t>
      </w:r>
    </w:p>
    <w:p>
      <w:pPr>
        <w:spacing w:after="0" w:line="83" w:lineRule="exact"/>
        <w:rPr>
          <w:rFonts w:ascii="Times New Roman" w:cs="Times New Roman" w:eastAsia="Times New Roman" w:hAnsi="Times New Roman"/>
          <w:sz w:val="18"/>
          <w:szCs w:val="18"/>
          <w:b w:val="1"/>
          <w:bCs w:val="1"/>
          <w:color w:val="auto"/>
        </w:rPr>
      </w:pPr>
    </w:p>
    <w:p>
      <w:pPr>
        <w:ind w:left="752"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annual consolidated financial statements as of and for the years ended December 31, 2023 and 2022.</w:t>
      </w:r>
    </w:p>
    <w:p>
      <w:pPr>
        <w:spacing w:after="0" w:line="157"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ind w:left="752"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Significant items subject to such estimates and assumptions include the contract research accruals, stock-based compensation expense, the fair</w:t>
      </w: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97" w:right="359" w:bottom="1440" w:gutter="0" w:footer="0" w:header="0"/>
        </w:sectPr>
      </w:pPr>
    </w:p>
    <w:bookmarkStart w:id="10" w:name="page11"/>
    <w:bookmarkEnd w:id="10"/>
    <w:p>
      <w:pPr>
        <w:ind w:left="760" w:right="260"/>
        <w:spacing w:after="0" w:line="266" w:lineRule="auto"/>
        <w:rPr>
          <w:sz w:val="20"/>
          <w:szCs w:val="20"/>
          <w:color w:val="auto"/>
        </w:rPr>
      </w:pPr>
      <w:r>
        <w:rPr>
          <w:rFonts w:ascii="Times New Roman" w:cs="Times New Roman" w:eastAsia="Times New Roman" w:hAnsi="Times New Roman"/>
          <w:sz w:val="18"/>
          <w:szCs w:val="18"/>
          <w:color w:val="auto"/>
        </w:rPr>
        <w:t>value of the Company’s common stock, the income tax valuation allowance, and the fair value determination of the SAFEs. Management’s estimates are based on historical experience and various other assumptions that it believes are reasonable under the circumstances. Changes in estimates are recorded in the period in which they become known. Actual results could differ from those estimates.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760" w:right="50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balances and transactions have been eliminated in consolidation.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left="760" w:right="2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condensed consolidated financial statements upon adoption.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ind w:left="760" w:right="10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280) (“ASU 2023-07”), which enhances the segment disclosure requirements for public entities on an annual and interim basis. Under ASU 2023-07, public entities will be required to disclose significant segment expenses that are regularly provided to the chief operating decision maker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whether how to allocate resources. Finally, ASU 2023-07 requires all segment disclosures for public entities that have only a single reportable segment. The amendments in ASU 2023-07 are effective for fiscal years beginning after December 15, 2023, and interim periods within fiscal years beginning after December 15, 2024, and early adoption is permitted. The Company is currently evaluating the impact of ASU 2023-07 on its financial statements.</w:t>
      </w:r>
    </w:p>
    <w:p>
      <w:pPr>
        <w:spacing w:after="0" w:line="77" w:lineRule="exact"/>
        <w:rPr>
          <w:sz w:val="20"/>
          <w:szCs w:val="20"/>
          <w:color w:val="auto"/>
        </w:rPr>
      </w:pPr>
    </w:p>
    <w:p>
      <w:pPr>
        <w:ind w:left="760" w:right="8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financial statements.</w:t>
      </w:r>
    </w:p>
    <w:p>
      <w:pPr>
        <w:spacing w:after="0" w:line="181" w:lineRule="exact"/>
        <w:rPr>
          <w:sz w:val="20"/>
          <w:szCs w:val="20"/>
          <w:color w:val="auto"/>
        </w:rPr>
      </w:pPr>
    </w:p>
    <w:p>
      <w:pPr>
        <w:ind w:left="760" w:hanging="752"/>
        <w:spacing w:after="0"/>
        <w:tabs>
          <w:tab w:leader="none" w:pos="7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w:t>
      </w:r>
    </w:p>
    <w:p>
      <w:pPr>
        <w:spacing w:after="0" w:line="229" w:lineRule="exact"/>
        <w:rPr>
          <w:rFonts w:ascii="Times New Roman" w:cs="Times New Roman" w:eastAsia="Times New Roman" w:hAnsi="Times New Roman"/>
          <w:sz w:val="18"/>
          <w:szCs w:val="18"/>
          <w:b w:val="1"/>
          <w:bCs w:val="1"/>
          <w:color w:val="auto"/>
        </w:rPr>
      </w:pPr>
    </w:p>
    <w:p>
      <w:pPr>
        <w:ind w:left="760" w:right="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described in Note 1 “Description of Business,” the Company completed its previously announced Merger with AVROBIO on June 20, 2024. The Merger was accounted for as a reverse recapitalization in accordance with GAAP with Legacy Tectonic as the accounting acquirer of AVROBIO. At the effective time of the Merger, substantially all the assets of AVROBIO consisted of cash and cash equivalents, as well as other nominal non-operating assets. Under such reverse recapitalization accounting, the assets and liabilities of AVROBIO were recorded at their fair value in AVROBIO’s financial statements at the effective time of the Merger, which approximated book value due to their short-term nature. No goodwill or intangible assets were recognized. Consequently, the condensed consolidated financial statements of the Company reflect the historical operations of Legacy Tectonic for accounting purposes together with the issuance of shares to the former shareholders of AVROBIO, the legal acquirer, and a recapitalization of the equity of Legacy Tectonic, the accounting acquirer. The exchange ratio was retroactively applied to all outstanding common shares, convertible preferred shares, stock options and restricted stock of Legacy Tectonic.</w:t>
      </w:r>
    </w:p>
    <w:p>
      <w:pPr>
        <w:spacing w:after="0" w:line="80"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recapitalization, Legacy Tectonic obtained the assets and liabilities listed below:</w:t>
      </w:r>
    </w:p>
    <w:p>
      <w:pPr>
        <w:spacing w:after="0" w:line="135" w:lineRule="exact"/>
        <w:rPr>
          <w:sz w:val="20"/>
          <w:szCs w:val="20"/>
          <w:color w:val="auto"/>
        </w:rPr>
      </w:pPr>
    </w:p>
    <w:tbl>
      <w:tblPr>
        <w:tblLayout w:type="fixed"/>
        <w:tblInd w:w="800" w:type="dxa"/>
        <w:tblCellMar>
          <w:top w:w="0" w:type="dxa"/>
          <w:left w:w="0" w:type="dxa"/>
          <w:bottom w:w="0" w:type="dxa"/>
          <w:right w:w="0" w:type="dxa"/>
        </w:tblCellMar>
      </w:tblPr>
      <w:tr>
        <w:trPr>
          <w:trHeight w:val="243"/>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85,230</w:t>
            </w: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r>
      <w:tr>
        <w:trPr>
          <w:trHeight w:val="247"/>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(1,988 )</w:t>
            </w: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(5,405 )</w:t>
            </w:r>
          </w:p>
        </w:tc>
      </w:tr>
      <w:tr>
        <w:trPr>
          <w:trHeight w:val="277"/>
        </w:trPr>
        <w:tc>
          <w:tcPr>
            <w:tcW w:w="8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78,156</w:t>
            </w:r>
          </w:p>
        </w:tc>
      </w:tr>
    </w:tbl>
    <w:p>
      <w:pPr>
        <w:spacing w:after="0" w:line="90"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Company incurred transaction costs of $9.9 million, of which $2.3 million was recorded within accrued expenses and other current liabilities and $0.2 million was recorded within accounts payable on the condensed consolidated balance sheet as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760"/>
        <w:spacing w:after="0"/>
        <w:rPr>
          <w:sz w:val="20"/>
          <w:szCs w:val="20"/>
          <w:color w:val="auto"/>
        </w:rPr>
      </w:pPr>
      <w:r>
        <w:rPr>
          <w:rFonts w:ascii="Times New Roman" w:cs="Times New Roman" w:eastAsia="Times New Roman" w:hAnsi="Times New Roman"/>
          <w:sz w:val="18"/>
          <w:szCs w:val="18"/>
          <w:color w:val="auto"/>
        </w:rPr>
        <w:t>September 30, 2024. $9.9 million was recorded as a reduction to additional paid-in capital in the condensed consolidated balance sheet.</w:t>
      </w:r>
    </w:p>
    <w:p>
      <w:pPr>
        <w:spacing w:after="0" w:line="117"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8"/>
          <w:szCs w:val="18"/>
          <w:color w:val="auto"/>
        </w:rPr>
        <w:t>With respect to the CVRs issued in connection with the Merger, the Company believes that any receipt of payments resulting from an AVROBIO disposition of AVROBIO’s pre-closing assets described in the CVR Agreement are highly susceptible to factors outside the Company’s influence that are not expected to be resolved within the timeline outlined in the CVR Agreement, if at all. In particular, these amounts are primarily influenced by the actions and judgments of third parties and the buyers of such assets and are based on the buyers of such assets progressing the specific platform and intellectual property and early stage of research and development programs. If the Company were to record a receivable for such contingent payments, it would also record a corresponding liability. As of September 30, 2024, no receivables or liabilities were recorded on the condensed consolidated balance sheet relating to such contingent payments.</w:t>
      </w:r>
    </w:p>
    <w:p>
      <w:pPr>
        <w:spacing w:after="0" w:line="185"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7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financial assets and liabilities measured at fair value on a recurring basis and indicate the level of the fair value hierarchy utilized to determine such fair values (in thousands):</w:t>
      </w:r>
    </w:p>
    <w:p>
      <w:pPr>
        <w:spacing w:after="0" w:line="61"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160,769</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160,769</w:t>
            </w:r>
          </w:p>
        </w:tc>
      </w:tr>
      <w:tr>
        <w:trPr>
          <w:trHeight w:val="236"/>
        </w:trPr>
        <w:tc>
          <w:tcPr>
            <w:tcW w:w="54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160,769</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160,769</w:t>
            </w: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90"/>
        </w:trPr>
        <w:tc>
          <w:tcPr>
            <w:tcW w:w="5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69"/>
        </w:trPr>
        <w:tc>
          <w:tcPr>
            <w:tcW w:w="5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27,278</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27,278</w:t>
            </w:r>
          </w:p>
        </w:tc>
      </w:tr>
      <w:tr>
        <w:trPr>
          <w:trHeight w:val="23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27,278</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27,278</w:t>
            </w:r>
          </w:p>
        </w:tc>
      </w:tr>
      <w:tr>
        <w:trPr>
          <w:trHeight w:val="20"/>
        </w:trPr>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spacing w:after="0"/>
              <w:rPr>
                <w:sz w:val="22"/>
                <w:szCs w:val="22"/>
                <w:color w:val="auto"/>
              </w:rPr>
            </w:pPr>
          </w:p>
        </w:tc>
      </w:tr>
      <w:tr>
        <w:trPr>
          <w:trHeight w:val="223"/>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SAFE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30,515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30,515</w:t>
            </w:r>
          </w:p>
        </w:tc>
      </w:tr>
      <w:tr>
        <w:trPr>
          <w:trHeight w:val="277"/>
        </w:trPr>
        <w:tc>
          <w:tcPr>
            <w:tcW w:w="5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30,515</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30,515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-1748155</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-1748155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-1748155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-710565</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-710565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-710565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-367665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-350520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-367665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-350520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-367665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-350520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760" w:right="60"/>
        <w:spacing w:after="0" w:line="282" w:lineRule="auto"/>
        <w:rPr>
          <w:sz w:val="20"/>
          <w:szCs w:val="20"/>
          <w:color w:val="auto"/>
        </w:rPr>
      </w:pPr>
      <w:r>
        <w:rPr>
          <w:rFonts w:ascii="Times New Roman" w:cs="Times New Roman" w:eastAsia="Times New Roman" w:hAnsi="Times New Roman"/>
          <w:sz w:val="18"/>
          <w:szCs w:val="18"/>
          <w:color w:val="auto"/>
        </w:rPr>
        <w:t>Money market funds are included in cash and cash equivalents on the condensed consolidated balance sheets and are classified within Level 1 of the fair value hierarchy because they are valued using quoted market prices.</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transfers between the Level 1, Level 2 or Level 3 categories during the nine months ended September 30, 2024 and 2023.</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SAFE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From October through December 2023, Legacy Tectonic entered into multiple SAFE agreements with certain existing investors and received</w:t>
      </w:r>
    </w:p>
    <w:p>
      <w:pPr>
        <w:spacing w:after="0" w:line="27" w:lineRule="exact"/>
        <w:rPr>
          <w:sz w:val="20"/>
          <w:szCs w:val="20"/>
          <w:color w:val="auto"/>
        </w:rPr>
      </w:pPr>
    </w:p>
    <w:p>
      <w:pPr>
        <w:ind w:left="760" w:right="60"/>
        <w:spacing w:after="0" w:line="253" w:lineRule="auto"/>
        <w:rPr>
          <w:sz w:val="20"/>
          <w:szCs w:val="20"/>
          <w:color w:val="auto"/>
        </w:rPr>
      </w:pPr>
      <w:r>
        <w:rPr>
          <w:rFonts w:ascii="Times New Roman" w:cs="Times New Roman" w:eastAsia="Times New Roman" w:hAnsi="Times New Roman"/>
          <w:sz w:val="18"/>
          <w:szCs w:val="18"/>
          <w:color w:val="auto"/>
        </w:rPr>
        <w:t>$34.1 million. Prior to redemption, the SAFE liabilities were valued using a probability weighted scenario analysis and discount rates derived by application of the build-up method to reflect the cost of equity. The valuation model required a variety of inputs, including the probability of occurrence of events that would trigger conversion or redemption of the SAFEs, the expected timing of such events, and a discount rate. All investors were considered related parties of the Company.</w:t>
      </w:r>
    </w:p>
    <w:p>
      <w:pPr>
        <w:spacing w:after="0" w:line="81"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18"/>
          <w:szCs w:val="18"/>
          <w:color w:val="auto"/>
        </w:rPr>
        <w:t>Upon the closing of the Merger, the principal balance of the SAFEs was automatically redeemed for 2,752,216 shares of Legacy Tectonic common stock at the conversion price of $12.40 per share immediately prior to the Merger closing. As such the valuation inputs utilized to adjust the SAFE liability to fair value upon the closing of the Merger was $12.40. At closing, shares of Legacy Tectonic common stock issued pursuant to the redemption of Legacy Tectonic SAFEs were converted into 1,470,839 shares of AVROBIO common stock based on the Exchange Ratio, pursuant to the Merger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left="760" w:right="460"/>
        <w:spacing w:after="0" w:line="282" w:lineRule="auto"/>
        <w:rPr>
          <w:sz w:val="20"/>
          <w:szCs w:val="20"/>
          <w:color w:val="auto"/>
        </w:rPr>
      </w:pPr>
      <w:r>
        <w:rPr>
          <w:rFonts w:ascii="Times New Roman" w:cs="Times New Roman" w:eastAsia="Times New Roman" w:hAnsi="Times New Roman"/>
          <w:sz w:val="18"/>
          <w:szCs w:val="18"/>
          <w:color w:val="auto"/>
        </w:rPr>
        <w:t>The following table presents activity for the SAFE liabilities that were measured at fair value using significant unobservable Level 3 inputs during the nine months ended September 30, 2024 and the year ended December 31, 2023 (in thousands):</w:t>
      </w:r>
    </w:p>
    <w:p>
      <w:pPr>
        <w:spacing w:after="0" w:line="61"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8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SAFE Liabilities</w:t>
            </w:r>
          </w:p>
        </w:tc>
      </w:tr>
      <w:tr>
        <w:trPr>
          <w:trHeight w:val="237"/>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Initial fair value recognition</w:t>
            </w:r>
          </w:p>
        </w:tc>
        <w:tc>
          <w:tcPr>
            <w:tcW w:w="220" w:type="dxa"/>
            <w:vAlign w:val="bottom"/>
          </w:tcPr>
          <w:p>
            <w:pPr>
              <w:spacing w:after="0"/>
              <w:rPr>
                <w:sz w:val="20"/>
                <w:szCs w:val="20"/>
                <w:color w:val="auto"/>
              </w:rPr>
            </w:pP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31,515</w:t>
            </w:r>
          </w:p>
        </w:tc>
      </w:tr>
      <w:tr>
        <w:trPr>
          <w:trHeight w:val="247"/>
        </w:trPr>
        <w:tc>
          <w:tcPr>
            <w:tcW w:w="8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issuance</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255</w:t>
            </w:r>
          </w:p>
        </w:tc>
      </w:tr>
      <w:tr>
        <w:trPr>
          <w:trHeight w:val="239"/>
        </w:trPr>
        <w:tc>
          <w:tcPr>
            <w:tcW w:w="8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adjustments</w:t>
            </w: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(1,255 )</w:t>
            </w:r>
          </w:p>
        </w:tc>
      </w:tr>
      <w:tr>
        <w:trPr>
          <w:trHeight w:val="241"/>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30,515</w:t>
            </w:r>
          </w:p>
        </w:tc>
      </w:tr>
      <w:tr>
        <w:trPr>
          <w:trHeight w:val="239"/>
        </w:trPr>
        <w:tc>
          <w:tcPr>
            <w:tcW w:w="8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adjustments</w:t>
            </w:r>
          </w:p>
        </w:tc>
        <w:tc>
          <w:tcPr>
            <w:tcW w:w="220" w:type="dxa"/>
            <w:vAlign w:val="bottom"/>
          </w:tcPr>
          <w:p>
            <w:pPr>
              <w:spacing w:after="0"/>
              <w:rPr>
                <w:sz w:val="20"/>
                <w:szCs w:val="20"/>
                <w:color w:val="auto"/>
              </w:rPr>
            </w:pP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3,610</w:t>
            </w:r>
          </w:p>
        </w:tc>
      </w:tr>
      <w:tr>
        <w:trPr>
          <w:trHeight w:val="243"/>
        </w:trPr>
        <w:tc>
          <w:tcPr>
            <w:tcW w:w="8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Conversion</w:t>
            </w: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(34,125 )</w:t>
            </w:r>
          </w:p>
        </w:tc>
      </w:tr>
      <w:tr>
        <w:trPr>
          <w:trHeight w:val="23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760" w:hanging="752"/>
        <w:spacing w:after="0"/>
        <w:tabs>
          <w:tab w:leader="none" w:pos="7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IMPROVEMENTS, NET</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equipment and improvements, net is comprised of the following (in thousands):</w:t>
      </w:r>
    </w:p>
    <w:p>
      <w:pPr>
        <w:spacing w:after="0" w:line="1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4,721</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4,510</w:t>
            </w: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8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244</w:t>
            </w: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161</w:t>
            </w: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5,202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4,978</w:t>
            </w:r>
          </w:p>
        </w:tc>
      </w:tr>
      <w:tr>
        <w:trPr>
          <w:trHeight w:val="243"/>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(2,652 )</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(1,856 )</w:t>
            </w:r>
          </w:p>
        </w:tc>
      </w:tr>
      <w:tr>
        <w:trPr>
          <w:trHeight w:val="23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2,550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3,122</w:t>
            </w:r>
          </w:p>
        </w:tc>
      </w:tr>
      <w:tr>
        <w:trPr>
          <w:trHeight w:val="20"/>
        </w:trPr>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-504825</wp:posOffset>
            </wp:positionV>
            <wp:extent cx="1111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1111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during the three and nine months ended September 30, 2024 and 2023 was recorded as follows (in thousands):</w:t>
      </w:r>
    </w:p>
    <w:p>
      <w:pPr>
        <w:spacing w:after="0" w:line="124"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48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4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13</w:t>
            </w: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719</w:t>
            </w:r>
          </w:p>
        </w:tc>
      </w:tr>
      <w:tr>
        <w:trPr>
          <w:trHeight w:val="276"/>
        </w:trPr>
        <w:tc>
          <w:tcPr>
            <w:tcW w:w="54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85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760" w:hanging="752"/>
        <w:spacing w:after="0"/>
        <w:tabs>
          <w:tab w:leader="none" w:pos="7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is comprised of the following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0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800" w:type="dxa"/>
            <w:vAlign w:val="bottom"/>
          </w:tcPr>
          <w:p>
            <w:pPr>
              <w:spacing w:after="0"/>
              <w:rPr>
                <w:sz w:val="20"/>
                <w:szCs w:val="20"/>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Tectonic transaction costs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2,303</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0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AVROBIO transaction costs</w:t>
            </w:r>
          </w:p>
        </w:tc>
        <w:tc>
          <w:tcPr>
            <w:tcW w:w="18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1,369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00" w:type="dxa"/>
            <w:vAlign w:val="bottom"/>
          </w:tcPr>
          <w:p>
            <w:pPr>
              <w:spacing w:after="0"/>
              <w:rPr>
                <w:sz w:val="21"/>
                <w:szCs w:val="21"/>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related costs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3,106</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2,840</w:t>
            </w:r>
          </w:p>
        </w:tc>
      </w:tr>
      <w:tr>
        <w:trPr>
          <w:trHeight w:val="239"/>
        </w:trPr>
        <w:tc>
          <w:tcPr>
            <w:tcW w:w="80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1,798</w:t>
            </w:r>
          </w:p>
        </w:tc>
      </w:tr>
      <w:tr>
        <w:trPr>
          <w:trHeight w:val="247"/>
        </w:trPr>
        <w:tc>
          <w:tcPr>
            <w:tcW w:w="800" w:type="dxa"/>
            <w:vAlign w:val="bottom"/>
          </w:tcPr>
          <w:p>
            <w:pPr>
              <w:spacing w:after="0"/>
              <w:rPr>
                <w:sz w:val="21"/>
                <w:szCs w:val="21"/>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contract research organization fees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2,196</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2,298</w:t>
            </w:r>
          </w:p>
        </w:tc>
      </w:tr>
      <w:tr>
        <w:trPr>
          <w:trHeight w:val="239"/>
        </w:trPr>
        <w:tc>
          <w:tcPr>
            <w:tcW w:w="80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contract development and manufacturing organization fees</w:t>
            </w:r>
          </w:p>
        </w:tc>
        <w:tc>
          <w:tcPr>
            <w:tcW w:w="18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660</w:t>
            </w:r>
          </w:p>
        </w:tc>
      </w:tr>
      <w:tr>
        <w:trPr>
          <w:trHeight w:val="247"/>
        </w:trPr>
        <w:tc>
          <w:tcPr>
            <w:tcW w:w="800" w:type="dxa"/>
            <w:vAlign w:val="bottom"/>
          </w:tcPr>
          <w:p>
            <w:pPr>
              <w:spacing w:after="0"/>
              <w:rPr>
                <w:sz w:val="21"/>
                <w:szCs w:val="21"/>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office and laboratory costs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211</w:t>
            </w:r>
          </w:p>
        </w:tc>
      </w:tr>
      <w:tr>
        <w:trPr>
          <w:trHeight w:val="239"/>
        </w:trPr>
        <w:tc>
          <w:tcPr>
            <w:tcW w:w="80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334</w:t>
            </w:r>
          </w:p>
        </w:tc>
      </w:tr>
      <w:tr>
        <w:trPr>
          <w:trHeight w:val="277"/>
        </w:trPr>
        <w:tc>
          <w:tcPr>
            <w:tcW w:w="800" w:type="dxa"/>
            <w:vAlign w:val="bottom"/>
          </w:tcPr>
          <w:p>
            <w:pPr>
              <w:spacing w:after="0"/>
              <w:rPr>
                <w:sz w:val="24"/>
                <w:szCs w:val="24"/>
                <w:color w:val="auto"/>
              </w:rPr>
            </w:pPr>
          </w:p>
        </w:tc>
        <w:tc>
          <w:tcPr>
            <w:tcW w:w="718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12,737</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8,141</w:t>
            </w:r>
          </w:p>
        </w:tc>
      </w:tr>
      <w:tr>
        <w:trPr>
          <w:trHeight w:val="633"/>
        </w:trPr>
        <w:tc>
          <w:tcPr>
            <w:tcW w:w="800" w:type="dxa"/>
            <w:vAlign w:val="bottom"/>
          </w:tcPr>
          <w:p>
            <w:pPr>
              <w:spacing w:after="0"/>
              <w:rPr>
                <w:sz w:val="24"/>
                <w:szCs w:val="24"/>
                <w:color w:val="auto"/>
              </w:rPr>
            </w:pPr>
          </w:p>
        </w:tc>
        <w:tc>
          <w:tcPr>
            <w:tcW w:w="7180" w:type="dxa"/>
            <w:vAlign w:val="bottom"/>
            <w:tcBorders>
              <w:top w:val="single" w:sz="8" w:color="CFF0FC"/>
            </w:tcBorders>
          </w:tcPr>
          <w:p>
            <w:pPr>
              <w:ind w:left="474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-933450</wp:posOffset>
            </wp:positionV>
            <wp:extent cx="1111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-916305</wp:posOffset>
            </wp:positionV>
            <wp:extent cx="1111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left="760" w:right="7040" w:hanging="752"/>
        <w:spacing w:after="0" w:line="503" w:lineRule="auto"/>
        <w:tabs>
          <w:tab w:leader="none" w:pos="7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Harvard Agreement</w:t>
      </w:r>
    </w:p>
    <w:p>
      <w:pPr>
        <w:ind w:left="7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Management concluded that the acquisition of patents and materials received under the License Agreement represents an asset acquisition of an in-progress research and development asset without future alternative use; therefore, any consideration paid was expensed.</w:t>
      </w:r>
    </w:p>
    <w:p>
      <w:pPr>
        <w:spacing w:after="0" w:line="80" w:lineRule="exact"/>
        <w:rPr>
          <w:rFonts w:ascii="Times New Roman" w:cs="Times New Roman" w:eastAsia="Times New Roman" w:hAnsi="Times New Roman"/>
          <w:sz w:val="18"/>
          <w:szCs w:val="18"/>
          <w:b w:val="1"/>
          <w:bCs w:val="1"/>
          <w:color w:val="auto"/>
        </w:rPr>
      </w:pPr>
    </w:p>
    <w:p>
      <w:pPr>
        <w:ind w:left="7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consideration for the License Agreement, Legacy Tectonic agreed to pay Harvard a non-refundable license fee, consisting of a cash payment due in three equal annual installments, in total amounting to $170,000. The first two installments were paid in July 2022 and 2023 and the third installment was made in July 2024. As partial consideration for the Harvard License Agreement, the Company entered into a subscription agreement with Harvard in July 2022, pursuant to which Harvard was granted 227,486 shares of common stock with a fair market value in the mid six digits.</w:t>
      </w:r>
    </w:p>
    <w:p>
      <w:pPr>
        <w:spacing w:after="0" w:line="75" w:lineRule="exact"/>
        <w:rPr>
          <w:rFonts w:ascii="Times New Roman" w:cs="Times New Roman" w:eastAsia="Times New Roman" w:hAnsi="Times New Roman"/>
          <w:sz w:val="18"/>
          <w:szCs w:val="18"/>
          <w:b w:val="1"/>
          <w:bCs w:val="1"/>
          <w:color w:val="auto"/>
        </w:rPr>
      </w:pPr>
    </w:p>
    <w:p>
      <w:pPr>
        <w:ind w:left="760" w:right="40"/>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also will be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Company is also required to pay a one-time milestone payment of $100,000 for each discovered product granted FDA marketing authorization as well as for the first licensed product or know-how enabled product to reach certain clinical developmental milestones, up to $8.5 million and for the first licensed product or know-how enabled product to reach certain commercial milestones, up to $2.0 million.</w:t>
      </w:r>
    </w:p>
    <w:p>
      <w:pPr>
        <w:spacing w:after="0" w:line="70" w:lineRule="exact"/>
        <w:rPr>
          <w:rFonts w:ascii="Times New Roman" w:cs="Times New Roman" w:eastAsia="Times New Roman" w:hAnsi="Times New Roman"/>
          <w:sz w:val="18"/>
          <w:szCs w:val="18"/>
          <w:b w:val="1"/>
          <w:bCs w:val="1"/>
          <w:color w:val="auto"/>
        </w:rPr>
      </w:pPr>
    </w:p>
    <w:p>
      <w:pPr>
        <w:ind w:left="7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royalty term from sales of Know-How Enabled Products will terminate on the earlier of (i) ten years after the first commercial sale of the first Know-How Enabled Product and (ii) twelve years after the first commercial sale of the first Licensed Product. There was $0.1 million due to Harvard as of September 30, 2024. During the three months ended September 30, 2024 and 2023, the Company paid $0.1 million and less than $0.1 million, respectively, and during each of the nine months ended September 30, 2024 and 2023, the Company paid $0.2 million to Harvard.</w:t>
      </w:r>
    </w:p>
    <w:p>
      <w:pPr>
        <w:spacing w:after="0" w:line="56" w:lineRule="exact"/>
        <w:rPr>
          <w:rFonts w:ascii="Times New Roman" w:cs="Times New Roman" w:eastAsia="Times New Roman" w:hAnsi="Times New Roman"/>
          <w:sz w:val="18"/>
          <w:szCs w:val="18"/>
          <w:b w:val="1"/>
          <w:bCs w:val="1"/>
          <w:color w:val="auto"/>
        </w:rPr>
      </w:pPr>
    </w:p>
    <w:p>
      <w:pPr>
        <w:ind w:left="7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Harvard License Agreement meets the criteria to be considered a related party transaction due to the Company’s co-founders’ employment as professors in the Harvard Department of Molecular Pharmacology. Additionally, both co-founders served on the board for a portion of the nine months ended September 30, 2024, with one stepping down in June. One co-founder is a shareholder in the Company.</w:t>
      </w:r>
    </w:p>
    <w:p>
      <w:pPr>
        <w:spacing w:after="0" w:line="17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Alloy Therapeutics License Agreement</w:t>
      </w:r>
    </w:p>
    <w:p>
      <w:pPr>
        <w:spacing w:after="0" w:line="229" w:lineRule="exact"/>
        <w:rPr>
          <w:rFonts w:ascii="Times New Roman" w:cs="Times New Roman" w:eastAsia="Times New Roman" w:hAnsi="Times New Roman"/>
          <w:sz w:val="18"/>
          <w:szCs w:val="18"/>
          <w:b w:val="1"/>
          <w:bCs w:val="1"/>
          <w:color w:val="auto"/>
        </w:rPr>
      </w:pPr>
    </w:p>
    <w:p>
      <w:pPr>
        <w:ind w:left="760"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29, 2021, Legacy Tectonic executed a license agreement with Alloy Therapeutics, LLC (“ATX”), whereby the Company will use ATX technology for the purpose of preclinical development, clinical development and commercialization of potential product candidates, for an initial period of three years, with an option to extend the term for an additional two years. The Company will pay ATX a non-refundable and non-creditable annual fee of $0.1 million on each anniversary of the agreement. On November 7, 2022, Legacy Tectonic and ATX amended the agreement and extended the period of payment for the first fee due, which was paid in May 2023. Additionally, the Company will be responsible for annual partnering fees if the Company decides to pursue clinical development of a product candidate using the ATX technology. The partnering fees may be creditable against future milestone development fees paid by the Company. The Company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the Company is able to commercialize a product using ATX technology, the Company will be responsible to pay ATX</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ind w:left="752" w:right="240"/>
        <w:spacing w:after="0" w:line="282" w:lineRule="auto"/>
        <w:rPr>
          <w:sz w:val="20"/>
          <w:szCs w:val="20"/>
          <w:color w:val="auto"/>
        </w:rPr>
      </w:pPr>
      <w:r>
        <w:rPr>
          <w:rFonts w:ascii="Times New Roman" w:cs="Times New Roman" w:eastAsia="Times New Roman" w:hAnsi="Times New Roman"/>
          <w:sz w:val="18"/>
          <w:szCs w:val="18"/>
          <w:color w:val="auto"/>
        </w:rPr>
        <w:t>commercial payments in the low seven digits per year during the first six years of commercial sales, amounting to an amount in the high eight digits in total commercial payments under the license agreement.</w:t>
      </w:r>
    </w:p>
    <w:p>
      <w:pPr>
        <w:spacing w:after="0" w:line="54"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Pursuant to the terms of the agreement, the Company had no expense for the three and nine months ended September 30, 2024, and less than</w:t>
      </w:r>
    </w:p>
    <w:p>
      <w:pPr>
        <w:spacing w:after="0" w:line="27" w:lineRule="exact"/>
        <w:rPr>
          <w:sz w:val="20"/>
          <w:szCs w:val="20"/>
          <w:color w:val="auto"/>
        </w:rPr>
      </w:pPr>
    </w:p>
    <w:p>
      <w:pPr>
        <w:ind w:left="752" w:right="60"/>
        <w:spacing w:after="0" w:line="260" w:lineRule="auto"/>
        <w:rPr>
          <w:sz w:val="20"/>
          <w:szCs w:val="20"/>
          <w:color w:val="auto"/>
        </w:rPr>
      </w:pPr>
      <w:r>
        <w:rPr>
          <w:rFonts w:ascii="Times New Roman" w:cs="Times New Roman" w:eastAsia="Times New Roman" w:hAnsi="Times New Roman"/>
          <w:sz w:val="18"/>
          <w:szCs w:val="18"/>
          <w:color w:val="auto"/>
        </w:rPr>
        <w:t>$0.1 million during the three and nine months ended September 30, 2023. The Company intends to terminate the agreement with Alloy effective November 14, 2024.</w:t>
      </w:r>
    </w:p>
    <w:p>
      <w:pPr>
        <w:spacing w:after="0" w:line="17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Adimab Agreement</w:t>
      </w:r>
    </w:p>
    <w:p>
      <w:pPr>
        <w:spacing w:after="0" w:line="229" w:lineRule="exact"/>
        <w:rPr>
          <w:sz w:val="20"/>
          <w:szCs w:val="20"/>
          <w:color w:val="auto"/>
        </w:rPr>
      </w:pPr>
    </w:p>
    <w:p>
      <w:pPr>
        <w:ind w:left="752" w:right="40"/>
        <w:spacing w:after="0" w:line="261" w:lineRule="auto"/>
        <w:rPr>
          <w:sz w:val="20"/>
          <w:szCs w:val="20"/>
          <w:color w:val="auto"/>
        </w:rPr>
      </w:pPr>
      <w:r>
        <w:rPr>
          <w:rFonts w:ascii="Times New Roman" w:cs="Times New Roman" w:eastAsia="Times New Roman" w:hAnsi="Times New Roman"/>
          <w:sz w:val="18"/>
          <w:szCs w:val="18"/>
          <w:color w:val="auto"/>
        </w:rPr>
        <w:t>On May 1, 2023, Legacy Tectonic entered into a discovery agreement with Adimab, LLC (“Adimab”), an antibody discovery company, whereby Legacy Tectonic and Adimab are collaborating on human antibody discovery in accordance with an agreed upon research program. Legacy Tectonic paid an upfront technology access fee totaling $20,000 upon execution of the agreement. This agreement is considered to be a related party agreement. The Company terminated the agreement with Adimab in July 2024.</w:t>
      </w:r>
    </w:p>
    <w:p>
      <w:pPr>
        <w:spacing w:after="0" w:line="72" w:lineRule="exact"/>
        <w:rPr>
          <w:sz w:val="20"/>
          <w:szCs w:val="20"/>
          <w:color w:val="auto"/>
        </w:rPr>
      </w:pPr>
    </w:p>
    <w:p>
      <w:pPr>
        <w:ind w:left="752" w:right="160"/>
        <w:spacing w:after="0" w:line="266" w:lineRule="auto"/>
        <w:rPr>
          <w:sz w:val="20"/>
          <w:szCs w:val="20"/>
          <w:color w:val="auto"/>
        </w:rPr>
      </w:pPr>
      <w:r>
        <w:rPr>
          <w:rFonts w:ascii="Times New Roman" w:cs="Times New Roman" w:eastAsia="Times New Roman" w:hAnsi="Times New Roman"/>
          <w:sz w:val="18"/>
          <w:szCs w:val="18"/>
          <w:color w:val="auto"/>
        </w:rPr>
        <w:t>Pursuant to the terms of the agreement, the Company recorded no expense and $0.2 million for the three and nine months ended September 30, 2024, and $0.1 million for the three and nine months ended September 30, 2023. As a result of the termination of the agreement, there are no further amounts due to Adimab and there is no accrual related to the agreement as of September 30, 2024.</w:t>
      </w:r>
    </w:p>
    <w:p>
      <w:pPr>
        <w:spacing w:after="0" w:line="172"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left="752" w:right="140"/>
        <w:spacing w:after="0" w:line="266" w:lineRule="auto"/>
        <w:rPr>
          <w:sz w:val="20"/>
          <w:szCs w:val="20"/>
          <w:color w:val="auto"/>
        </w:rPr>
      </w:pPr>
      <w:r>
        <w:rPr>
          <w:rFonts w:ascii="Times New Roman" w:cs="Times New Roman" w:eastAsia="Times New Roman" w:hAnsi="Times New Roman"/>
          <w:sz w:val="18"/>
          <w:szCs w:val="18"/>
          <w:color w:val="auto"/>
        </w:rPr>
        <w:t>In accordance with the Company’s amended and restated certificate of incorporation (“ARCOI”) and certain indemnification agreements, the Company indemnifies certain officers and directors for specified events or occurrences, subject to certain limits, in which the officer or director is or was serving at the Company’s request in such capacity.</w:t>
      </w:r>
    </w:p>
    <w:p>
      <w:pPr>
        <w:spacing w:after="0" w:line="68" w:lineRule="exact"/>
        <w:rPr>
          <w:sz w:val="20"/>
          <w:szCs w:val="20"/>
          <w:color w:val="auto"/>
        </w:rPr>
      </w:pPr>
    </w:p>
    <w:p>
      <w:pPr>
        <w:ind w:left="752"/>
        <w:spacing w:after="0" w:line="274" w:lineRule="auto"/>
        <w:rPr>
          <w:sz w:val="20"/>
          <w:szCs w:val="20"/>
          <w:color w:val="auto"/>
        </w:rPr>
      </w:pPr>
      <w:r>
        <w:rPr>
          <w:rFonts w:ascii="Times New Roman" w:cs="Times New Roman" w:eastAsia="Times New Roman" w:hAnsi="Times New Roman"/>
          <w:sz w:val="17"/>
          <w:szCs w:val="17"/>
          <w:color w:val="auto"/>
        </w:rPr>
        <w:t>The Company enters into certain types of contracts that contingently requires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with the Company, (ii) contracts under which it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its products, technology, intellectual property or services.</w:t>
      </w:r>
    </w:p>
    <w:p>
      <w:pPr>
        <w:spacing w:after="0" w:line="65" w:lineRule="exact"/>
        <w:rPr>
          <w:sz w:val="20"/>
          <w:szCs w:val="20"/>
          <w:color w:val="auto"/>
        </w:rPr>
      </w:pPr>
    </w:p>
    <w:p>
      <w:pPr>
        <w:ind w:left="752"/>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future business, operating results or financial condition. It is not possible to estimate the maximum amount potentially payable under these contracts since there is no history of prior indemnification claims and the unique facts and circumstances involved in each particular claim will be determinative.</w:t>
      </w:r>
    </w:p>
    <w:p>
      <w:pPr>
        <w:spacing w:after="0" w:line="7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As of September 30, 2024 and December 31, 2023, no amounts were accrued related to indemnification claims.</w:t>
      </w:r>
    </w:p>
    <w:p>
      <w:pPr>
        <w:spacing w:after="0" w:line="22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752" w:right="60"/>
        <w:spacing w:after="0" w:line="261" w:lineRule="auto"/>
        <w:rPr>
          <w:sz w:val="20"/>
          <w:szCs w:val="20"/>
          <w:color w:val="auto"/>
        </w:rPr>
      </w:pPr>
      <w:r>
        <w:rPr>
          <w:rFonts w:ascii="Times New Roman" w:cs="Times New Roman" w:eastAsia="Times New Roman" w:hAnsi="Times New Roman"/>
          <w:sz w:val="18"/>
          <w:szCs w:val="18"/>
          <w:color w:val="auto"/>
        </w:rPr>
        <w:t>In the normal course of operations, the Company may become involved in various legal proceedings. As of September 30, 2024 and December 31, 2023,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condensed consolidated financial statements.</w:t>
      </w:r>
    </w:p>
    <w:p>
      <w:pPr>
        <w:spacing w:after="0" w:line="176" w:lineRule="exact"/>
        <w:rPr>
          <w:sz w:val="20"/>
          <w:szCs w:val="20"/>
          <w:color w:val="auto"/>
        </w:rPr>
      </w:pPr>
    </w:p>
    <w:p>
      <w:pPr>
        <w:ind w:left="752" w:right="8140" w:hanging="752"/>
        <w:spacing w:after="0" w:line="532" w:lineRule="auto"/>
        <w:tabs>
          <w:tab w:leader="none" w:pos="752"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Convertible Preferred Stock</w:t>
      </w:r>
    </w:p>
    <w:p>
      <w:pPr>
        <w:spacing w:after="0" w:line="1" w:lineRule="exact"/>
        <w:rPr>
          <w:rFonts w:ascii="Times New Roman" w:cs="Times New Roman" w:eastAsia="Times New Roman" w:hAnsi="Times New Roman"/>
          <w:sz w:val="17"/>
          <w:szCs w:val="17"/>
          <w:b w:val="1"/>
          <w:bCs w:val="1"/>
          <w:color w:val="auto"/>
        </w:rPr>
      </w:pPr>
    </w:p>
    <w:p>
      <w:pPr>
        <w:ind w:left="752" w:right="3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Prior to the conversion upon the closing of the Merger, Legacy Tectonic issued Series A-1, A-2, A-3 and A-4 convertible preferred stock (the “Preferred Stock”).</w:t>
      </w:r>
    </w:p>
    <w:p>
      <w:pPr>
        <w:spacing w:after="0" w:line="53" w:lineRule="exact"/>
        <w:rPr>
          <w:rFonts w:ascii="Times New Roman" w:cs="Times New Roman" w:eastAsia="Times New Roman" w:hAnsi="Times New Roman"/>
          <w:sz w:val="17"/>
          <w:szCs w:val="17"/>
          <w:b w:val="1"/>
          <w:bCs w:val="1"/>
          <w:color w:val="auto"/>
        </w:rPr>
      </w:pPr>
    </w:p>
    <w:p>
      <w:pPr>
        <w:ind w:left="752" w:right="1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Prior to the completion of the Merger, Legacy Tectonic classified the Preferred Stock outside of permanent equity as the shares had redemption features that were not entirely within the control of Legacy Tectonic.</w:t>
      </w:r>
    </w:p>
    <w:p>
      <w:pPr>
        <w:spacing w:after="0" w:line="53" w:lineRule="exact"/>
        <w:rPr>
          <w:rFonts w:ascii="Times New Roman" w:cs="Times New Roman" w:eastAsia="Times New Roman" w:hAnsi="Times New Roman"/>
          <w:sz w:val="17"/>
          <w:szCs w:val="17"/>
          <w:b w:val="1"/>
          <w:bCs w:val="1"/>
          <w:color w:val="auto"/>
        </w:rPr>
      </w:pPr>
    </w:p>
    <w:p>
      <w:pPr>
        <w:ind w:left="752" w:right="1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Upon the closing of the Merger, all outstanding shares of the Preferred Stock were converted into 3,647,675 shares of common stock. No shares of the Preferred Stock were outstanding as of September 30, 2024.</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93" w:right="359"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left="760" w:right="320"/>
        <w:spacing w:after="0" w:line="282" w:lineRule="auto"/>
        <w:rPr>
          <w:sz w:val="20"/>
          <w:szCs w:val="20"/>
          <w:color w:val="auto"/>
        </w:rPr>
      </w:pPr>
      <w:r>
        <w:rPr>
          <w:rFonts w:ascii="Times New Roman" w:cs="Times New Roman" w:eastAsia="Times New Roman" w:hAnsi="Times New Roman"/>
          <w:sz w:val="18"/>
          <w:szCs w:val="18"/>
          <w:color w:val="auto"/>
        </w:rPr>
        <w:t>Subsequent to consummation of the Merger, the Company authorized the issuance of 10,000,000 shares of new undesignated preferred stock, however no such shares were issued or outstanding as of September 30, 2024.</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left="760"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authorized the issuance of 150,000,000 shares of common stock at a par value of $0.0001. Holders of voting common stock are entitled to one vote per share. In addition, holders of voting common stock are entitled to receive dividends, if and when declared by the Company’s Board of Directors. As of September 30, 2024, no dividends had been declared.</w:t>
      </w:r>
    </w:p>
    <w:p>
      <w:pPr>
        <w:spacing w:after="0" w:line="200" w:lineRule="exact"/>
        <w:rPr>
          <w:sz w:val="20"/>
          <w:szCs w:val="20"/>
          <w:color w:val="auto"/>
        </w:rPr>
      </w:pPr>
    </w:p>
    <w:p>
      <w:pPr>
        <w:spacing w:after="0" w:line="296" w:lineRule="exact"/>
        <w:rPr>
          <w:sz w:val="20"/>
          <w:szCs w:val="20"/>
          <w:color w:val="auto"/>
        </w:rPr>
      </w:pPr>
    </w:p>
    <w:p>
      <w:pPr>
        <w:ind w:left="760" w:right="8080" w:hanging="752"/>
        <w:spacing w:after="0" w:line="532" w:lineRule="auto"/>
        <w:tabs>
          <w:tab w:leader="none" w:pos="76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INCENTIVE PLANS </w:t>
      </w:r>
      <w:r>
        <w:rPr>
          <w:rFonts w:ascii="Times New Roman" w:cs="Times New Roman" w:eastAsia="Times New Roman" w:hAnsi="Times New Roman"/>
          <w:sz w:val="17"/>
          <w:szCs w:val="17"/>
          <w:b w:val="1"/>
          <w:bCs w:val="1"/>
          <w:i w:val="1"/>
          <w:iCs w:val="1"/>
          <w:color w:val="auto"/>
        </w:rPr>
        <w:t>2019 Equity Incentive Plan</w:t>
      </w:r>
    </w:p>
    <w:p>
      <w:pPr>
        <w:spacing w:after="0" w:line="1" w:lineRule="exact"/>
        <w:rPr>
          <w:rFonts w:ascii="Times New Roman" w:cs="Times New Roman" w:eastAsia="Times New Roman" w:hAnsi="Times New Roman"/>
          <w:sz w:val="17"/>
          <w:szCs w:val="17"/>
          <w:b w:val="1"/>
          <w:bCs w:val="1"/>
          <w:color w:val="auto"/>
        </w:rPr>
      </w:pPr>
    </w:p>
    <w:p>
      <w:pPr>
        <w:ind w:left="760" w:right="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Legacy Tectonic 2019 Equity Incentive Plan (the “2019 Plan”) provides employees, consultants and advisors and non-employee members of the Board of Directors and its affiliates with the opportunity to receive grants of stock options, stock awards and equity awards. Since inception, Legacy Tectonic has only issued stock options.</w:t>
      </w:r>
    </w:p>
    <w:p>
      <w:pPr>
        <w:spacing w:after="0" w:line="171"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229" w:lineRule="exact"/>
        <w:rPr>
          <w:rFonts w:ascii="Times New Roman" w:cs="Times New Roman" w:eastAsia="Times New Roman" w:hAnsi="Times New Roman"/>
          <w:sz w:val="17"/>
          <w:szCs w:val="17"/>
          <w:b w:val="1"/>
          <w:bCs w:val="1"/>
          <w:color w:val="auto"/>
        </w:rPr>
      </w:pPr>
    </w:p>
    <w:p>
      <w:pPr>
        <w:ind w:left="76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June 20, 2024, the Company adopted the 2024 Equity Incentive Plan (the “2024 Plan”) which became effective upon completion of the Merger.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 The terms of stock award agreements, including vesting requirements, are determined by the Company’s Board of Directors and are subject to the provisions of the 2024 Plan. The term of each stock option shall be no more than ten years from the date of grant. Following the effectiveness of the 2024 Plan, no further grants will be made under the 2019 Plan; however, any outstanding equity awards granted under the 2019 Plan will continue to be governed by the terms of the 2019 Plan.</w:t>
      </w:r>
    </w:p>
    <w:p>
      <w:pPr>
        <w:spacing w:after="0" w:line="80" w:lineRule="exact"/>
        <w:rPr>
          <w:rFonts w:ascii="Times New Roman" w:cs="Times New Roman" w:eastAsia="Times New Roman" w:hAnsi="Times New Roman"/>
          <w:sz w:val="17"/>
          <w:szCs w:val="17"/>
          <w:b w:val="1"/>
          <w:bCs w:val="1"/>
          <w:color w:val="auto"/>
        </w:rPr>
      </w:pPr>
    </w:p>
    <w:p>
      <w:pPr>
        <w:ind w:left="760" w:right="2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2024 Plan initially provided for the issuance of up to 1,938,799 shares of common stock (the “Initial Share Reserve”). Subject to any other adjustments as defined in the 2024 Plan, such aggregate number of shares of common stock will automatically increase on January 1st of each year for a period of ten years commencing on January 1, 2025 and ending on (and including) January 1, 2034, in an amount equal to 5% of the total number of shares of common stock issued and outstanding determined as of the day prior to such increase; provided, however that the board of directors may act prior to January 1st of a given year to provide that the increase for such year will be a lesser number of shares of common stock. The maximum number of shares of common stock that may be issued under the 2024 Plan pursuant to the exercise of incentive stock options shall not exceed three times the Initial Share Reserve.</w:t>
      </w:r>
    </w:p>
    <w:p>
      <w:pPr>
        <w:spacing w:after="0" w:line="80"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September 30, 2024, there were 1,004,299 shares available for issuance under the 2024 Plan.</w:t>
      </w:r>
    </w:p>
    <w:p>
      <w:pPr>
        <w:spacing w:after="0" w:line="221"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29" w:lineRule="exact"/>
        <w:rPr>
          <w:rFonts w:ascii="Times New Roman" w:cs="Times New Roman" w:eastAsia="Times New Roman" w:hAnsi="Times New Roman"/>
          <w:sz w:val="17"/>
          <w:szCs w:val="17"/>
          <w:b w:val="1"/>
          <w:bCs w:val="1"/>
          <w:color w:val="auto"/>
        </w:rPr>
      </w:pPr>
    </w:p>
    <w:p>
      <w:pPr>
        <w:ind w:left="760" w:right="2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June 20, 2024, the Company adopted the 2024 Employee Stock Purchase Plan (the “2024 ESPP”), which became effective upon completion of the Merger. The maximum number of shares of common stock that may be issued under the 2024 ESPP will not exceed 147,343 shares (the “Initial ESPP Share Reserve”), plus the number of shares of common stock that are automatically added on January 1st of each year for a period of up to ten years commencing on January 1, 2025 and ending on (and including) January 1, 2034, in an amount equal to the lesser of (x) 1% of the total number of shares of common stock issued and outstanding determined as of the day prior to such increase and (y) a number of shares equal to three times the Initial ESPP Share Reserve. Notwithstanding the foregoing, the Board of Directors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No offering periods under the 2024 ESPP had been initiated as of September 30,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under the 2019 Plan and 2024 Plan for the nine months ended September 30, 2024 is as follows (in thousands except share, contractual term and per share amounts):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restart"/>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13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4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20" w:type="dxa"/>
            <w:vAlign w:val="bottom"/>
          </w:tcPr>
          <w:p>
            <w:pPr>
              <w:spacing w:after="0"/>
              <w:rPr>
                <w:sz w:val="12"/>
                <w:szCs w:val="12"/>
                <w:color w:val="auto"/>
              </w:rPr>
            </w:pPr>
          </w:p>
        </w:tc>
        <w:tc>
          <w:tcPr>
            <w:tcW w:w="13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4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1,002,485</w:t>
            </w:r>
          </w:p>
        </w:tc>
        <w:tc>
          <w:tcPr>
            <w:tcW w:w="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3.11</w:t>
            </w:r>
          </w:p>
        </w:tc>
        <w:tc>
          <w:tcPr>
            <w:tcW w:w="14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934,500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(276,854 )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Forfeited and Expired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(224,963 )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110.43</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assumed from AVROBIO upon Merger</w:t>
            </w:r>
          </w:p>
        </w:tc>
        <w:tc>
          <w:tcPr>
            <w:tcW w:w="140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365,428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closing</w:t>
            </w:r>
          </w:p>
        </w:tc>
        <w:tc>
          <w:tcPr>
            <w:tcW w:w="140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89.92</w:t>
            </w:r>
          </w:p>
        </w:tc>
        <w:tc>
          <w:tcPr>
            <w:tcW w:w="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1,800,596</w:t>
            </w: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14.50</w:t>
            </w:r>
          </w:p>
        </w:tc>
        <w:tc>
          <w:tcPr>
            <w:tcW w:w="14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33,499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September 30, 2024</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543,994</w:t>
            </w:r>
          </w:p>
        </w:tc>
        <w:tc>
          <w:tcPr>
            <w:tcW w:w="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16.72</w:t>
            </w:r>
          </w:p>
        </w:tc>
        <w:tc>
          <w:tcPr>
            <w:tcW w:w="14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12,429</w:t>
            </w:r>
          </w:p>
        </w:tc>
        <w:tc>
          <w:tcPr>
            <w:tcW w:w="0" w:type="dxa"/>
            <w:vAlign w:val="bottom"/>
          </w:tcPr>
          <w:p>
            <w:pPr>
              <w:spacing w:after="0"/>
              <w:rPr>
                <w:sz w:val="1"/>
                <w:szCs w:val="1"/>
                <w:color w:val="auto"/>
              </w:rPr>
            </w:pPr>
          </w:p>
        </w:tc>
      </w:tr>
      <w:tr>
        <w:trPr>
          <w:trHeight w:val="211"/>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of September 30, 2024</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1,800,596</w:t>
            </w: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14.50</w:t>
            </w:r>
          </w:p>
        </w:tc>
        <w:tc>
          <w:tcPr>
            <w:tcW w:w="14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33,499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-625475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nine months ended September 30, 2024 and 2023 was $13.94 and $2.51 per share, respectively. As of September 30, 2024, total compensation cost not yet recognized related to unvested stock options was $13.4 million, which is expected to be recognized over a weighted-average period of 3.4 years.</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fair values of the options granted in the nine months ended September 30, 2023 were estimated based on the Black-Scholes-Merton option pricing model, using the following assumptions: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37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40" w:type="dxa"/>
            <w:vAlign w:val="bottom"/>
          </w:tcPr>
          <w:p>
            <w:pPr>
              <w:spacing w:after="0"/>
              <w:rPr>
                <w:sz w:val="14"/>
                <w:szCs w:val="14"/>
                <w:color w:val="auto"/>
              </w:rPr>
            </w:pPr>
          </w:p>
        </w:tc>
        <w:tc>
          <w:tcPr>
            <w:tcW w:w="260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23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per share of underlying common stock</w:t>
            </w:r>
          </w:p>
        </w:tc>
        <w:tc>
          <w:tcPr>
            <w:tcW w:w="2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$16.09 - $16.80</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tcPr>
          <w:p>
            <w:pPr>
              <w:spacing w:after="0"/>
              <w:rPr>
                <w:sz w:val="20"/>
                <w:szCs w:val="20"/>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6.00-6.25</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5.93</w:t>
            </w:r>
          </w:p>
        </w:tc>
        <w:tc>
          <w:tcPr>
            <w:tcW w:w="60" w:type="dxa"/>
            <w:vAlign w:val="bottom"/>
          </w:tcPr>
          <w:p>
            <w:pPr>
              <w:spacing w:after="0"/>
              <w:rPr>
                <w:sz w:val="20"/>
                <w:szCs w:val="20"/>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104 %</w:t>
            </w:r>
          </w:p>
        </w:tc>
        <w:tc>
          <w:tcPr>
            <w:tcW w:w="98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4.23% - 4.26%</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3.65 %</w:t>
            </w: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-454025</wp:posOffset>
            </wp:positionV>
            <wp:extent cx="662622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-145415</wp:posOffset>
            </wp:positionV>
            <wp:extent cx="6626225"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26225" cy="15430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Since 2019, Legacy Tectonic has granted restricted common stock to founders, employees and consultants. The purchase price of the restricted common stock is the estimated fair value on the grant date and the restricted stock is subject to various vesting schedules. Unvested restricted common stock is subject to repurchase rights held by the Company at the original issuance price in the event the restricted common stockholders’ service to the Company is terminated either voluntarily or involuntarily. The 6,859 unvested restricted common shares are included in the total shares of common stock outstanding as of September 30, 2024 and a repurchase liability of $0.1 million is recorded in accrued expenses and other current liabilities in the accompanying condensed consolidated balance sheet.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for the nine months ended September 30, 2024:</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8100" w:type="dxa"/>
            <w:vAlign w:val="bottom"/>
          </w:tcPr>
          <w:p>
            <w:pPr>
              <w:spacing w:after="0"/>
              <w:rPr>
                <w:sz w:val="16"/>
                <w:szCs w:val="16"/>
                <w:color w:val="auto"/>
              </w:rPr>
            </w:pPr>
          </w:p>
        </w:tc>
        <w:tc>
          <w:tcPr>
            <w:tcW w:w="23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3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 as of January 1, 2024</w:t>
            </w:r>
          </w:p>
        </w:tc>
        <w:tc>
          <w:tcPr>
            <w:tcW w:w="23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18,968</w:t>
            </w:r>
          </w:p>
        </w:tc>
      </w:tr>
      <w:tr>
        <w:trPr>
          <w:trHeight w:val="239"/>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Early exercise of options</w:t>
            </w:r>
          </w:p>
        </w:tc>
        <w:tc>
          <w:tcPr>
            <w:tcW w:w="23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6,859</w:t>
            </w:r>
          </w:p>
        </w:tc>
      </w:tr>
      <w:tr>
        <w:trPr>
          <w:trHeight w:val="239"/>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(18,968 )</w:t>
            </w:r>
          </w:p>
        </w:tc>
      </w:tr>
      <w:tr>
        <w:trPr>
          <w:trHeight w:val="243"/>
        </w:trPr>
        <w:tc>
          <w:tcPr>
            <w:tcW w:w="8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3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 as of September 30, 2024</w:t>
            </w:r>
          </w:p>
        </w:tc>
        <w:tc>
          <w:tcPr>
            <w:tcW w:w="2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6,859</w:t>
            </w:r>
          </w:p>
        </w:tc>
      </w:tr>
      <w:tr>
        <w:trPr>
          <w:trHeight w:val="20"/>
        </w:trPr>
        <w:tc>
          <w:tcPr>
            <w:tcW w:w="81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unvested restricted common stock and restricted common stock vested and forfeited for the nine months ended September 30, 2024 and 2023 was immaterial.</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1080" w:top="1197" w:right="279"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recorded stock-based compensation expense relating to its employees and nonemployees is as follows (in thousands):</w:t>
      </w:r>
    </w:p>
    <w:p>
      <w:pPr>
        <w:spacing w:after="0" w:line="124"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7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1,227</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1,648</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522</w:t>
            </w: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305</w:t>
            </w:r>
          </w:p>
        </w:tc>
      </w:tr>
      <w:tr>
        <w:trPr>
          <w:trHeight w:val="277"/>
        </w:trPr>
        <w:tc>
          <w:tcPr>
            <w:tcW w:w="47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1,650</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2,374</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827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-25400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records compensation expense for options with service based vesting conditions on a straight-line basis over the vesting period.</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Certain Stock Options</w:t>
      </w:r>
    </w:p>
    <w:p>
      <w:pPr>
        <w:spacing w:after="0" w:line="229" w:lineRule="exact"/>
        <w:rPr>
          <w:sz w:val="20"/>
          <w:szCs w:val="20"/>
          <w:color w:val="auto"/>
        </w:rPr>
      </w:pPr>
    </w:p>
    <w:p>
      <w:pPr>
        <w:ind w:left="760" w:right="60"/>
        <w:spacing w:after="0" w:line="254" w:lineRule="auto"/>
        <w:rPr>
          <w:sz w:val="20"/>
          <w:szCs w:val="20"/>
          <w:color w:val="auto"/>
        </w:rPr>
      </w:pPr>
      <w:r>
        <w:rPr>
          <w:rFonts w:ascii="Times New Roman" w:cs="Times New Roman" w:eastAsia="Times New Roman" w:hAnsi="Times New Roman"/>
          <w:sz w:val="18"/>
          <w:szCs w:val="18"/>
          <w:color w:val="auto"/>
        </w:rPr>
        <w:t>In July 2024, the Company entered into a separation agreement with the Company’s Chief Operating Officer (the “Former Executive”). As part of the termination of employment, the Former Executive will serve as an advisor to the Company through March 31, 2025 (“Consulting Period”) on an as needed basis and certain modifications to the Former Executive’s vested and non-vested stock option awards were executed including continued vesting of options during the Consulting Period and the extension of the post-termination exercise period of certain stock option awards. The services performed during the Consulting Period do not qualify as substantive services under ASC 718, Compensation—Stock Compensation; therefore, the continued vesting of these awards represents a modification to the original award. During the three months ended September 30, 2024, the Company recorded stock compensation expense of $0.4 million for the modification of the stock options of the Former Executive. This amount is included in general and administrative expenses on the condensed consolidated statement of operations and comprehensive loss.</w:t>
      </w:r>
    </w:p>
    <w:p>
      <w:pPr>
        <w:spacing w:after="0" w:line="184" w:lineRule="exact"/>
        <w:rPr>
          <w:sz w:val="20"/>
          <w:szCs w:val="20"/>
          <w:color w:val="auto"/>
        </w:rPr>
      </w:pPr>
    </w:p>
    <w:p>
      <w:pPr>
        <w:ind w:left="760" w:hanging="752"/>
        <w:spacing w:after="0"/>
        <w:tabs>
          <w:tab w:leader="none" w:pos="7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and nine months ended September 30, 2024 and 2023, the Company recorded no income tax provision or benefit.</w:t>
      </w:r>
    </w:p>
    <w:p>
      <w:pPr>
        <w:spacing w:after="0" w:line="117" w:lineRule="exact"/>
        <w:rPr>
          <w:rFonts w:ascii="Times New Roman" w:cs="Times New Roman" w:eastAsia="Times New Roman" w:hAnsi="Times New Roman"/>
          <w:sz w:val="18"/>
          <w:szCs w:val="18"/>
          <w:b w:val="1"/>
          <w:bCs w:val="1"/>
          <w:color w:val="auto"/>
        </w:rPr>
      </w:pPr>
    </w:p>
    <w:p>
      <w:pPr>
        <w:ind w:left="7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evaluated the positive and negative evidence bearing upon its ability to realize its deferred tax assets, which primarily consist of net operating loss carryforwards. The Company has considered its history of cumulative net losses, estimated future taxable income and prudent and feasible tax planning strategies and has concluded that it is more likely than not that the Company will not realize the benefits of its deferred tax assets. As a result, as of September 30, 2024, the Company has maintained a full valuation allowance against its net deferred tax assets.</w:t>
      </w:r>
    </w:p>
    <w:p>
      <w:pPr>
        <w:spacing w:after="0" w:line="179"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rFonts w:ascii="Times New Roman" w:cs="Times New Roman" w:eastAsia="Times New Roman" w:hAnsi="Times New Roman"/>
          <w:sz w:val="18"/>
          <w:szCs w:val="18"/>
          <w:b w:val="1"/>
          <w:bCs w:val="1"/>
          <w:color w:val="auto"/>
        </w:rPr>
      </w:pPr>
    </w:p>
    <w:p>
      <w:pPr>
        <w:ind w:left="760"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61"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48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(17,717 )</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(10,054 )</w:t>
            </w:r>
          </w:p>
        </w:tc>
        <w:tc>
          <w:tcPr>
            <w:tcW w:w="3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(45,609 )</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(34,954 )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180" w:type="dxa"/>
            <w:vAlign w:val="bottom"/>
          </w:tcPr>
          <w:p>
            <w:pPr>
              <w:spacing w:after="0"/>
              <w:rPr>
                <w:sz w:val="18"/>
                <w:szCs w:val="18"/>
                <w:color w:val="auto"/>
              </w:rPr>
            </w:pPr>
          </w:p>
        </w:tc>
        <w:tc>
          <w:tcPr>
            <w:tcW w:w="100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14,729,018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1,319,147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6,373,717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1,245,745</w:t>
            </w: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diluted</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shd w:val="clear" w:color="auto" w:fill="CFF0FC"/>
          </w:tcPr>
          <w:p>
            <w:pPr>
              <w:ind w:left="20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40" w:type="dxa"/>
            <w:vAlign w:val="bottom"/>
            <w:vMerge w:val="restart"/>
            <w:shd w:val="clear" w:color="auto" w:fill="CFF0FC"/>
          </w:tcPr>
          <w:p>
            <w:pPr>
              <w:spacing w:after="0"/>
              <w:rPr>
                <w:sz w:val="16"/>
                <w:szCs w:val="16"/>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140" w:type="dxa"/>
            <w:vAlign w:val="bottom"/>
            <w:vMerge w:val="restart"/>
            <w:shd w:val="clear" w:color="auto" w:fill="CFF0FC"/>
          </w:tcPr>
          <w:p>
            <w:pPr>
              <w:spacing w:after="0"/>
              <w:rPr>
                <w:sz w:val="16"/>
                <w:szCs w:val="16"/>
                <w:color w:val="auto"/>
              </w:rPr>
            </w:pPr>
          </w:p>
        </w:tc>
        <w:tc>
          <w:tcPr>
            <w:tcW w:w="2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120" w:type="dxa"/>
            <w:vAlign w:val="bottom"/>
            <w:vMerge w:val="restart"/>
            <w:shd w:val="clear" w:color="auto" w:fill="CFF0FC"/>
          </w:tcPr>
          <w:p>
            <w:pPr>
              <w:spacing w:after="0"/>
              <w:rPr>
                <w:sz w:val="16"/>
                <w:szCs w:val="16"/>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(28.06 )</w:t>
            </w:r>
          </w:p>
        </w:tc>
        <w:tc>
          <w:tcPr>
            <w:tcW w:w="0" w:type="dxa"/>
            <w:vAlign w:val="bottom"/>
          </w:tcPr>
          <w:p>
            <w:pPr>
              <w:spacing w:after="0"/>
              <w:rPr>
                <w:sz w:val="1"/>
                <w:szCs w:val="1"/>
                <w:color w:val="auto"/>
              </w:rPr>
            </w:pPr>
          </w:p>
        </w:tc>
      </w:tr>
      <w:tr>
        <w:trPr>
          <w:trHeight w:val="247"/>
        </w:trPr>
        <w:tc>
          <w:tcPr>
            <w:tcW w:w="540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-25400</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760" w:right="240"/>
        <w:spacing w:after="0" w:line="282" w:lineRule="auto"/>
        <w:rPr>
          <w:sz w:val="20"/>
          <w:szCs w:val="20"/>
          <w:color w:val="auto"/>
        </w:rPr>
      </w:pPr>
      <w:r>
        <w:rPr>
          <w:rFonts w:ascii="Times New Roman" w:cs="Times New Roman" w:eastAsia="Times New Roman" w:hAnsi="Times New Roman"/>
          <w:sz w:val="18"/>
          <w:szCs w:val="18"/>
          <w:color w:val="auto"/>
        </w:rPr>
        <w:t>The following shares of potentially diluted securities were excluded from the computation of diluted net loss per share attributable to common stockholders for the periods presented because including them would have been anti-dilutive: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2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480" w:type="dxa"/>
            <w:vAlign w:val="bottom"/>
            <w:shd w:val="clear" w:color="auto" w:fill="CFF0FC"/>
          </w:tcPr>
          <w:p>
            <w:pPr>
              <w:spacing w:after="0"/>
              <w:rPr>
                <w:sz w:val="20"/>
                <w:szCs w:val="20"/>
                <w:color w:val="auto"/>
              </w:rPr>
            </w:pPr>
          </w:p>
        </w:tc>
        <w:tc>
          <w:tcPr>
            <w:tcW w:w="2280" w:type="dxa"/>
            <w:vAlign w:val="bottom"/>
            <w:gridSpan w:val="3"/>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3,647,675</w:t>
            </w: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1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1,800,596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849,959</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34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6,859</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27,280</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51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1,807,455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4,524,914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48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16</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-1096645</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spacing w:after="0" w:line="1" w:lineRule="exact"/>
        <w:rPr>
          <w:sz w:val="20"/>
          <w:szCs w:val="20"/>
          <w:color w:val="auto"/>
        </w:rPr>
      </w:pPr>
    </w:p>
    <w:p>
      <w:pPr>
        <w:ind w:left="752" w:hanging="752"/>
        <w:spacing w:after="0"/>
        <w:tabs>
          <w:tab w:leader="none" w:pos="7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ind w:left="752" w:righ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the items discussed below, see Note 4 “Fair Value Measurements” and Note 7 “Commitments and Contingencies” for further discussion of related party transactions.</w:t>
      </w:r>
    </w:p>
    <w:p>
      <w:pPr>
        <w:spacing w:after="0" w:line="157"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Scientific Advisory Board Member</w:t>
      </w:r>
    </w:p>
    <w:p>
      <w:pPr>
        <w:spacing w:after="0" w:line="229" w:lineRule="exact"/>
        <w:rPr>
          <w:sz w:val="20"/>
          <w:szCs w:val="20"/>
          <w:color w:val="auto"/>
        </w:rPr>
      </w:pPr>
    </w:p>
    <w:p>
      <w:pPr>
        <w:ind w:left="752"/>
        <w:spacing w:after="0" w:line="258" w:lineRule="auto"/>
        <w:rPr>
          <w:sz w:val="20"/>
          <w:szCs w:val="20"/>
          <w:color w:val="auto"/>
        </w:rPr>
      </w:pPr>
      <w:r>
        <w:rPr>
          <w:rFonts w:ascii="Times New Roman" w:cs="Times New Roman" w:eastAsia="Times New Roman" w:hAnsi="Times New Roman"/>
          <w:sz w:val="18"/>
          <w:szCs w:val="18"/>
          <w:color w:val="auto"/>
        </w:rPr>
        <w:t>One of the Company’s co-founders and former director is a member of the Company’s Scientific Advisory Board (“SAB”) and meets the criteria of a related party. The Company paid the SAB member fees in the amount of less than $0.1 million during three months ended September 30, 2024 and 2023, and $0.1 million and less than $0.1 million for the nine months ended September 30, 2024 and 2023, respectively, for advisory services provided. There was less than $0.1 million and $0 included in accounts payable for this related party as of September 30, 2024 and December 31, 2023, respectively.</w:t>
      </w:r>
    </w:p>
    <w:p>
      <w:pPr>
        <w:spacing w:after="0" w:line="18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40"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76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the related notes included elsewhere in this Quarterly Report. In addition to historical information,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sections entitled “Risk Factors” and “Special Note Regarding Forward-Looking Statements” in this Quarterly Report.</w:t>
      </w:r>
    </w:p>
    <w:p>
      <w:pPr>
        <w:spacing w:after="0" w:line="182" w:lineRule="exact"/>
        <w:rPr>
          <w:sz w:val="20"/>
          <w:szCs w:val="20"/>
          <w:color w:val="auto"/>
        </w:rPr>
      </w:pPr>
    </w:p>
    <w:p>
      <w:pPr>
        <w:ind w:left="760" w:right="120"/>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“Management’s Discussion and Analysis of Financial Condition and Results of Operations” section to the Company, “we,” “us,” and “our” refer to the business and operations of Tectonic Operating Company, Inc. (previously Tectonic Therapeutic, Inc., referred to as “Legacy Tectonic”) and its consolidated subsidiaries prior to the Merger, and the business and operations of Tectonic Therapeutic, Inc. (previously AVROBIO, Inc., referred to as “AVROBIO”) and its consolidated subsidiaries following the Merger.</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760" w:right="140"/>
        <w:spacing w:after="0" w:line="243" w:lineRule="auto"/>
        <w:rPr>
          <w:sz w:val="20"/>
          <w:szCs w:val="20"/>
          <w:color w:val="auto"/>
        </w:rPr>
      </w:pPr>
      <w:r>
        <w:rPr>
          <w:rFonts w:ascii="Times New Roman" w:cs="Times New Roman" w:eastAsia="Times New Roman" w:hAnsi="Times New Roman"/>
          <w:sz w:val="18"/>
          <w:szCs w:val="18"/>
          <w:color w:val="auto"/>
        </w:rPr>
        <w:t>We are a clinical-stage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or extend duration of life.</w:t>
      </w:r>
    </w:p>
    <w:p>
      <w:pPr>
        <w:spacing w:after="0" w:line="90" w:lineRule="exact"/>
        <w:rPr>
          <w:sz w:val="20"/>
          <w:szCs w:val="20"/>
          <w:color w:val="auto"/>
        </w:rPr>
      </w:pPr>
    </w:p>
    <w:p>
      <w:pPr>
        <w:ind w:left="760" w:right="20"/>
        <w:spacing w:after="0" w:line="256" w:lineRule="auto"/>
        <w:rPr>
          <w:sz w:val="20"/>
          <w:szCs w:val="20"/>
          <w:color w:val="auto"/>
        </w:rPr>
      </w:pPr>
      <w:r>
        <w:rPr>
          <w:rFonts w:ascii="Times New Roman" w:cs="Times New Roman" w:eastAsia="Times New Roman" w:hAnsi="Times New Roman"/>
          <w:sz w:val="18"/>
          <w:szCs w:val="18"/>
          <w:color w:val="auto"/>
        </w:rPr>
        <w:t>Our lead asset, TX45, is an Fc-relaxin fusion molecule that activates the RXFP1 receptor, the GPCR target of the hormone, relaxin. In September 2024, we announced favorable results from a Phase 1a trial evaluating safety, tolerability and pharmacokinetic (“PK”) and pharmacodynamic (“PD”) properties for TX45. In the Phase 1a trial, TX45 was well-tolerated with no drug-related severe adverse events, no observed immunogenicity and demonstrated a favorable PK/PD relationship. Renal plasma flow was measured in each patient at several time points as a pharmacodynamic marker. This data was used to develop an exposure-response model which enabled the selection of doses for the APEX Phase 2 trial.</w:t>
      </w:r>
    </w:p>
    <w:p>
      <w:pPr>
        <w:spacing w:after="0" w:line="79" w:lineRule="exact"/>
        <w:rPr>
          <w:sz w:val="20"/>
          <w:szCs w:val="20"/>
          <w:color w:val="auto"/>
        </w:rPr>
      </w:pPr>
    </w:p>
    <w:p>
      <w:pPr>
        <w:ind w:left="760" w:right="60"/>
        <w:spacing w:after="0" w:line="254" w:lineRule="auto"/>
        <w:rPr>
          <w:sz w:val="20"/>
          <w:szCs w:val="20"/>
          <w:color w:val="auto"/>
        </w:rPr>
      </w:pPr>
      <w:r>
        <w:rPr>
          <w:rFonts w:ascii="Times New Roman" w:cs="Times New Roman" w:eastAsia="Times New Roman" w:hAnsi="Times New Roman"/>
          <w:sz w:val="18"/>
          <w:szCs w:val="18"/>
          <w:color w:val="auto"/>
        </w:rPr>
        <w:t>We are currently evaluating TX45 in a Phase 1b hemodynamic clinical trial and in a Phase 2 clinical trial. The TX45 Phase 1b hemodynamic clinical trial is a single dose IV, open-label clinical trial evaluating the safety, tolerability and acute hemodynamic effects of TX45 in patients with Group 2 Pulmonary Hypertension in Heart Failure with Preserved Ejection Fraction (“PH-HFpEF”). The Phase 1b trial is enrolling ahead of plan, and we expect topline results from the Phase 1b trial in late first quarter of 2025 or early second quarter of 2025. We dosed our first subject in the APEX Phase 2 clinical trial in October 2024. The APEX Phase 2 clinical trial is a global, 24-week, placebo-controlled trial designed to evaluate the safety and efficacy TX45 administered subcutaneously (“SC”) in subjects with PH-HFpEF. Subjects will be randomized to 300 mg SC (2ml injection) once monthly of TX45, 300 mg SC once every other week of TX45, or placebo. We expect topline trial results from the APEX trial in 2026.</w:t>
      </w:r>
    </w:p>
    <w:p>
      <w:pPr>
        <w:spacing w:after="0" w:line="84" w:lineRule="exact"/>
        <w:rPr>
          <w:sz w:val="20"/>
          <w:szCs w:val="20"/>
          <w:color w:val="auto"/>
        </w:rPr>
      </w:pPr>
    </w:p>
    <w:p>
      <w:pPr>
        <w:ind w:left="760" w:right="200"/>
        <w:spacing w:after="0" w:line="255" w:lineRule="auto"/>
        <w:rPr>
          <w:sz w:val="20"/>
          <w:szCs w:val="20"/>
          <w:color w:val="auto"/>
        </w:rPr>
      </w:pPr>
      <w:r>
        <w:rPr>
          <w:rFonts w:ascii="Times New Roman" w:cs="Times New Roman" w:eastAsia="Times New Roman" w:hAnsi="Times New Roman"/>
          <w:sz w:val="18"/>
          <w:szCs w:val="18"/>
          <w:color w:val="auto"/>
        </w:rPr>
        <w:t>We have also identified TX002100 (“TX2100”) as a development candidate for the treatment of Hereditary Hemorrhagic Telangiectasia (“HHT”), the second most common genetic bleeding disorder with no approved therapy. TX2100 is a VHH-Fc fusion antagonist antibody that binds to an undisclosed GPCR target (“GPCR3”)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We expect to initiate a Phase 1 clinical trial for TX2100 in the fourth quarter of 2025 or the first quarter of 2026, subject to the results of IND enabling studies.</w:t>
      </w:r>
    </w:p>
    <w:p>
      <w:pPr>
        <w:spacing w:after="0" w:line="81"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8"/>
          <w:szCs w:val="18"/>
          <w:color w:val="auto"/>
        </w:rPr>
        <w:t>Since our inception in 2019, our operations have focused on organizing and staffing our company, business planning, raising capital, establishing our intellectual property portfolio and conducting preclinical studies and clinical trials. We do not have any product candidates approved for sale and have not generated any revenue from product sales. We have funded our operations with an aggregate of $288.6 million in proceeds from the sale of convertible preferred stock, the issuance of convertible promissory notes, the Merger (as defined below), and sale of common stock. As of September 30, 2024, we had $159.1 million in cash and cash equivalents. Based on our current operating plan, we believe that our existing cash and cash equivalents should be sufficient to fund our operations for at least the next twelve months following the issuance of our interim condensed consolidated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ind w:left="3" w:right="200"/>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losses were $17.7 million and $10.1 million for the three months ended September 30, 2024 and 2023, respectively, and $45.6 million and $35.0 million for the nine months ended September 30, 2024 and 2023, respectively. As of September 30, 2024, we had an accumulated deficit of $136.2 million. We expect to continue to incur significant expenses and operating losses for the foreseeable future. We anticipate that our expenses will increase significantly in connection with our ongoing activities, as we:</w:t>
      </w:r>
    </w:p>
    <w:p>
      <w:pPr>
        <w:spacing w:after="0" w:line="75" w:lineRule="exact"/>
        <w:rPr>
          <w:sz w:val="20"/>
          <w:szCs w:val="20"/>
          <w:color w:val="auto"/>
        </w:rPr>
      </w:pPr>
    </w:p>
    <w:p>
      <w:pPr>
        <w:ind w:left="263" w:hanging="263"/>
        <w:spacing w:after="0"/>
        <w:tabs>
          <w:tab w:leader="none" w:pos="2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and planned research and clinical development of our lead product candidate TX45 and our other product candidates;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that we may pursue in the future;</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and further expand our clinical product pipeline;</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3" w:right="380" w:hanging="3"/>
        <w:spacing w:after="0" w:line="282" w:lineRule="auto"/>
        <w:tabs>
          <w:tab w:leader="none" w:pos="2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scale up external manufacturing capacity with the aim of securing sufficient quantities to meet our capacity requirements for clinical trials and eventual potential commercialization;</w:t>
      </w:r>
    </w:p>
    <w:p>
      <w:pPr>
        <w:spacing w:after="0" w:line="53" w:lineRule="exact"/>
        <w:rPr>
          <w:rFonts w:ascii="Times New Roman" w:cs="Times New Roman" w:eastAsia="Times New Roman" w:hAnsi="Times New Roman"/>
          <w:sz w:val="18"/>
          <w:szCs w:val="18"/>
          <w:color w:val="auto"/>
        </w:rPr>
      </w:pPr>
    </w:p>
    <w:p>
      <w:pPr>
        <w:ind w:left="3" w:right="600" w:hanging="3"/>
        <w:spacing w:after="0" w:line="282" w:lineRule="auto"/>
        <w:tabs>
          <w:tab w:leader="none" w:pos="2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product candidate for which we may obtain regulatory approval;</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in-licenses other product candidates and technologies;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regulatory and manufacturing personnel;</w:t>
      </w:r>
    </w:p>
    <w:p>
      <w:pPr>
        <w:spacing w:after="0" w:line="117" w:lineRule="exact"/>
        <w:rPr>
          <w:rFonts w:ascii="Times New Roman" w:cs="Times New Roman" w:eastAsia="Times New Roman" w:hAnsi="Times New Roman"/>
          <w:sz w:val="18"/>
          <w:szCs w:val="18"/>
          <w:color w:val="auto"/>
        </w:rPr>
      </w:pPr>
    </w:p>
    <w:p>
      <w:pPr>
        <w:ind w:left="3" w:right="560" w:hanging="3"/>
        <w:spacing w:after="0" w:line="282" w:lineRule="auto"/>
        <w:tabs>
          <w:tab w:leader="none" w:pos="2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discovery, clinical,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3" w:right="520" w:hanging="3"/>
        <w:spacing w:after="0" w:line="282" w:lineRule="auto"/>
        <w:tabs>
          <w:tab w:leader="none" w:pos="2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finance, investor relations, public relations and other expenses associated with operating as a public company.</w:t>
      </w:r>
    </w:p>
    <w:p>
      <w:pPr>
        <w:spacing w:after="0" w:line="54" w:lineRule="exact"/>
        <w:rPr>
          <w:sz w:val="20"/>
          <w:szCs w:val="20"/>
          <w:color w:val="auto"/>
        </w:rPr>
      </w:pPr>
    </w:p>
    <w:p>
      <w:pPr>
        <w:ind w:left="3"/>
        <w:spacing w:after="0" w:line="258"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one or more of our product candidates. If we obtain regulatory approval for any of our product candidates and do not enter into a commercialization partnership, we expect to incur significant expenses related to developing our internal commercialization capability to support product sales, marketing and distribution. Further, we will continue to incur additional costs associated with operating as a public company. As a result, we will need substantial additional funding to support our continuing operations and pursue our growth strategy.</w:t>
      </w:r>
    </w:p>
    <w:p>
      <w:pPr>
        <w:spacing w:after="0" w:line="75" w:lineRule="exact"/>
        <w:rPr>
          <w:sz w:val="20"/>
          <w:szCs w:val="20"/>
          <w:color w:val="auto"/>
        </w:rPr>
      </w:pPr>
    </w:p>
    <w:p>
      <w:pPr>
        <w:ind w:left="3" w:right="80"/>
        <w:spacing w:after="0" w:line="256"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product sales, if ever, we expect to finance our operations through a combination of public or private equity offerings, debt financings or other capital sources, which may include collaborations with other companies, marketing, distribution or licensing arrangements with third parties,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our product discovery and development programs or commercialization efforts.</w:t>
      </w:r>
    </w:p>
    <w:p>
      <w:pPr>
        <w:spacing w:after="0" w:line="79" w:lineRule="exact"/>
        <w:rPr>
          <w:sz w:val="20"/>
          <w:szCs w:val="20"/>
          <w:color w:val="auto"/>
        </w:rPr>
      </w:pPr>
    </w:p>
    <w:p>
      <w:pPr>
        <w:ind w:left="3" w:right="2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Merger with AVROBIO</w:t>
      </w:r>
    </w:p>
    <w:p>
      <w:pPr>
        <w:spacing w:after="0" w:line="229" w:lineRule="exact"/>
        <w:rPr>
          <w:sz w:val="20"/>
          <w:szCs w:val="20"/>
          <w:color w:val="auto"/>
        </w:rPr>
      </w:pPr>
    </w:p>
    <w:p>
      <w:pPr>
        <w:ind w:left="3"/>
        <w:spacing w:after="0" w:line="254" w:lineRule="auto"/>
        <w:rPr>
          <w:sz w:val="20"/>
          <w:szCs w:val="20"/>
          <w:color w:val="auto"/>
        </w:rPr>
      </w:pPr>
      <w:r>
        <w:rPr>
          <w:rFonts w:ascii="Times New Roman" w:cs="Times New Roman" w:eastAsia="Times New Roman" w:hAnsi="Times New Roman"/>
          <w:sz w:val="18"/>
          <w:szCs w:val="18"/>
          <w:color w:val="auto"/>
        </w:rPr>
        <w:t>On January 30, 2024, Legacy Tectonic entered into the Agreement and Plan of Merger and Reorganization (“Merger Agreement”) with AVROBIO and Alpine Merger Subsidiary, Inc. (“Merger Sub”). Pursuant to the Merger Agreement and the satisfaction of the conditions described in the Merger Agreement, on June 20, 2024, Merger Sub merged with and into Legacy Tectonic, with Legacy Tectonic surviving as a wholly owned subsidiary of AVROBIO (the “Merger”). The Merger Agreement and the transactions contemplated therein were approved by the members of the AVROBIO board of directors and Legacy Tectonic board of directors. Subject to the terms and conditions of the Merger Agreement, at the effective time, (a) each outstanding share of Legacy Tectonic common stock (including shares of Legacy Tectonic common stock issued upon conversion of its preferred stock and the shares issued pursuant to that certain Subscription Agreement dated January 30, 2024, entered into among Legacy Tectonic and the investors party thereto (the “Subscription Agreement”) and conversion</w:t>
      </w:r>
    </w:p>
    <w:p>
      <w:pPr>
        <w:spacing w:after="0" w:line="19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093" w:right="359" w:bottom="1440" w:gutter="0" w:footer="0" w:header="0"/>
        </w:sectPr>
      </w:pPr>
    </w:p>
    <w:bookmarkStart w:id="21" w:name="page22"/>
    <w:bookmarkEnd w:id="21"/>
    <w:p>
      <w:pPr>
        <w:ind w:left="3" w:right="20"/>
        <w:spacing w:after="0" w:line="266" w:lineRule="auto"/>
        <w:rPr>
          <w:sz w:val="20"/>
          <w:szCs w:val="20"/>
          <w:color w:val="auto"/>
        </w:rPr>
      </w:pPr>
      <w:r>
        <w:rPr>
          <w:rFonts w:ascii="Times New Roman" w:cs="Times New Roman" w:eastAsia="Times New Roman" w:hAnsi="Times New Roman"/>
          <w:sz w:val="18"/>
          <w:szCs w:val="18"/>
          <w:color w:val="auto"/>
        </w:rPr>
        <w:t>of the SAFEs into the right to receive a number of shares of AVROBIO common stock equal to the exchange ratio; and (b) each then outstanding Legacy Tectonic stock option that was outstanding and unexercised immediately prior to the effective time was assumed by AVROBIO, subject to the exchange ratio.</w:t>
      </w:r>
    </w:p>
    <w:p>
      <w:pPr>
        <w:spacing w:after="0" w:line="68" w:lineRule="exact"/>
        <w:rPr>
          <w:sz w:val="20"/>
          <w:szCs w:val="20"/>
          <w:color w:val="auto"/>
        </w:rPr>
      </w:pPr>
    </w:p>
    <w:p>
      <w:pPr>
        <w:ind w:left="3" w:right="80"/>
        <w:spacing w:after="0" w:line="261" w:lineRule="auto"/>
        <w:rPr>
          <w:sz w:val="20"/>
          <w:szCs w:val="20"/>
          <w:color w:val="auto"/>
        </w:rPr>
      </w:pPr>
      <w:r>
        <w:rPr>
          <w:rFonts w:ascii="Times New Roman" w:cs="Times New Roman" w:eastAsia="Times New Roman" w:hAnsi="Times New Roman"/>
          <w:sz w:val="18"/>
          <w:szCs w:val="18"/>
          <w:color w:val="auto"/>
        </w:rPr>
        <w:t>Immediately after the Merger, AVROBIO securityholders as of immediately prior to the Merger owned approximately 24.8% of the outstanding shares of our capital stock on a diluted basis. Immediately after the Merger, Legacy Tectonic securityholders owned approximately 38.5% of the outstanding shares of our capital stock on a diluted basis. Investors participating in the Subscription Agreement and the SAFEs owned approximately 27.1% and 9.6% of the outstanding shares of our capital stock, respectively, on a diluted basis.</w:t>
      </w:r>
    </w:p>
    <w:p>
      <w:pPr>
        <w:spacing w:after="0" w:line="72" w:lineRule="exact"/>
        <w:rPr>
          <w:sz w:val="20"/>
          <w:szCs w:val="20"/>
          <w:color w:val="auto"/>
        </w:rPr>
      </w:pPr>
    </w:p>
    <w:p>
      <w:pPr>
        <w:ind w:left="3"/>
        <w:spacing w:after="0" w:line="256" w:lineRule="auto"/>
        <w:rPr>
          <w:sz w:val="20"/>
          <w:szCs w:val="20"/>
          <w:color w:val="auto"/>
        </w:rPr>
      </w:pPr>
      <w:r>
        <w:rPr>
          <w:rFonts w:ascii="Times New Roman" w:cs="Times New Roman" w:eastAsia="Times New Roman" w:hAnsi="Times New Roman"/>
          <w:sz w:val="18"/>
          <w:szCs w:val="18"/>
          <w:color w:val="auto"/>
        </w:rPr>
        <w:t>Legacy Tectonic stockholders received 10,956,614 shares of AVROBIO common stock in connection with the Merger, including 11,447 shares of AVROBIO common stock subject to vesting terms, based on the number of shares of Legacy Tectonic common stock outstanding immediately prior to the Merger, including Legacy Tectonic restricted stock, the number of shares of Legacy Tectonic common stock issued to investors participating in the Subscription Agreement and SAFEs, and Legacy Tectonic convertible preferred stock outstanding immediately prior to the Merger, which was converted into shares of Legacy Tectonic common stock on a one-for-one basis immediately prior to the closing of the Merger.</w:t>
      </w:r>
    </w:p>
    <w:p>
      <w:pPr>
        <w:spacing w:after="0" w:line="18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Tectonic Subscription Agreement</w:t>
      </w:r>
    </w:p>
    <w:p>
      <w:pPr>
        <w:spacing w:after="0" w:line="229" w:lineRule="exact"/>
        <w:rPr>
          <w:sz w:val="20"/>
          <w:szCs w:val="20"/>
          <w:color w:val="auto"/>
        </w:rPr>
      </w:pPr>
    </w:p>
    <w:p>
      <w:pPr>
        <w:ind w:left="3" w:right="160"/>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Merger, on June 20, 2024, certain investors completed the purchase of shares of Legacy Tectonic common stock pursuant to the Subscription Agreement at a price of $12.40 per share for an aggregate purchase price of $96.6 million. The shares of Legacy Tectonic common stock that were issued pursuant to the Subscription Agreement were converted into 4,163,606 shares of our common stock upon the closing of the Merger based on the exchange ratio, pursuant to the Merger Agreement.</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Macroeconomic Considerations</w:t>
      </w:r>
    </w:p>
    <w:p>
      <w:pPr>
        <w:spacing w:after="0" w:line="229" w:lineRule="exact"/>
        <w:rPr>
          <w:sz w:val="20"/>
          <w:szCs w:val="20"/>
          <w:color w:val="auto"/>
        </w:rPr>
      </w:pPr>
    </w:p>
    <w:p>
      <w:pPr>
        <w:ind w:left="3"/>
        <w:spacing w:after="0" w:line="254" w:lineRule="auto"/>
        <w:rPr>
          <w:sz w:val="20"/>
          <w:szCs w:val="20"/>
          <w:color w:val="auto"/>
        </w:rPr>
      </w:pPr>
      <w:r>
        <w:rPr>
          <w:rFonts w:ascii="Times New Roman" w:cs="Times New Roman" w:eastAsia="Times New Roman" w:hAnsi="Times New Roman"/>
          <w:sz w:val="18"/>
          <w:szCs w:val="18"/>
          <w:color w:val="auto"/>
        </w:rPr>
        <w:t>Uncertainty in the global economy presents significant risks to our business. We are subject to continuing risks and uncertainties in connection with the current macroeconomic environment, including rising interest rates, recent bank failures and geopolitical factors, such as tensions involving China and the United States, the war between Russia and Ukraine and the conflict in the Middle East and the responses thereto. While we are closely monitoring the impact of the current macroeconomic conditions on all aspects of our business, including the impacts on our participants in our clinical trials, employees, suppliers, vendors and collaboration partners, the ultimate extent of the impact on our business remains highly uncertain and will depend on future developments and factors that continue to evolve. Most of these developments and factors are outside our control and could exist for an extended period of time. We will continue to evaluate the nature and extent of the potential impacts to our business, results of operations, liquidity and capital resources.</w:t>
      </w:r>
    </w:p>
    <w:p>
      <w:pPr>
        <w:spacing w:after="0" w:line="18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3" w:right="20"/>
        <w:spacing w:after="0" w:line="277" w:lineRule="auto"/>
        <w:rPr>
          <w:sz w:val="20"/>
          <w:szCs w:val="20"/>
          <w:color w:val="auto"/>
        </w:rPr>
      </w:pPr>
      <w:r>
        <w:rPr>
          <w:rFonts w:ascii="Times New Roman" w:cs="Times New Roman" w:eastAsia="Times New Roman" w:hAnsi="Times New Roman"/>
          <w:sz w:val="17"/>
          <w:szCs w:val="17"/>
          <w:color w:val="auto"/>
        </w:rPr>
        <w:t>We have not generated any revenue since our inception and do not expect to generate any revenue from the sale of products in the 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w:t>
      </w:r>
    </w:p>
    <w:p>
      <w:pPr>
        <w:spacing w:after="0" w:line="1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3" w:right="1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our research activities, including our discovery efforts and the development of our programs and platform. These expenses include:</w:t>
      </w:r>
    </w:p>
    <w:p>
      <w:pPr>
        <w:spacing w:after="0" w:line="54" w:lineRule="exact"/>
        <w:rPr>
          <w:sz w:val="20"/>
          <w:szCs w:val="20"/>
          <w:color w:val="auto"/>
        </w:rPr>
      </w:pPr>
    </w:p>
    <w:p>
      <w:pPr>
        <w:ind w:left="3" w:right="140" w:hanging="3"/>
        <w:spacing w:after="0" w:line="282" w:lineRule="auto"/>
        <w:tabs>
          <w:tab w:leader="none" w:pos="2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bonuses, related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3" w:right="400" w:hanging="3"/>
        <w:spacing w:after="0" w:line="282" w:lineRule="auto"/>
        <w:tabs>
          <w:tab w:leader="none" w:pos="2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and the preclinical and clinical development of our programs and our product candidates, including under agreements with third parties;</w:t>
      </w:r>
    </w:p>
    <w:p>
      <w:pPr>
        <w:spacing w:after="0" w:line="53" w:lineRule="exact"/>
        <w:rPr>
          <w:rFonts w:ascii="Times New Roman" w:cs="Times New Roman" w:eastAsia="Times New Roman" w:hAnsi="Times New Roman"/>
          <w:sz w:val="18"/>
          <w:szCs w:val="18"/>
          <w:color w:val="auto"/>
        </w:rPr>
      </w:pPr>
    </w:p>
    <w:p>
      <w:pPr>
        <w:ind w:left="3" w:right="860" w:hanging="3"/>
        <w:spacing w:after="0" w:line="282" w:lineRule="auto"/>
        <w:tabs>
          <w:tab w:leader="none" w:pos="2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contract manufacturing organizations (“CMOs”);</w:t>
      </w:r>
    </w:p>
    <w:p>
      <w:pPr>
        <w:spacing w:after="0" w:line="16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093" w:right="359" w:bottom="1440" w:gutter="0" w:footer="0" w:header="0"/>
        </w:sectPr>
      </w:pPr>
    </w:p>
    <w:bookmarkStart w:id="22" w:name="page23"/>
    <w:bookmarkEnd w:id="22"/>
    <w:p>
      <w:pPr>
        <w:ind w:left="263" w:hanging="263"/>
        <w:spacing w:after="0"/>
        <w:tabs>
          <w:tab w:leader="none" w:pos="2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consumables and other research materials;</w:t>
      </w:r>
    </w:p>
    <w:p>
      <w:pPr>
        <w:spacing w:after="0" w:line="117" w:lineRule="exact"/>
        <w:rPr>
          <w:rFonts w:ascii="Times New Roman" w:cs="Times New Roman" w:eastAsia="Times New Roman" w:hAnsi="Times New Roman"/>
          <w:sz w:val="18"/>
          <w:szCs w:val="18"/>
          <w:color w:val="auto"/>
        </w:rPr>
      </w:pPr>
    </w:p>
    <w:p>
      <w:pPr>
        <w:ind w:left="3" w:right="120" w:hanging="3"/>
        <w:spacing w:after="0" w:line="282" w:lineRule="auto"/>
        <w:tabs>
          <w:tab w:leader="none" w:pos="2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related to research and development activities, which include direct or allocated expenses for rent and maintenance of facilities, and utilities;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sz w:val="20"/>
          <w:szCs w:val="20"/>
          <w:color w:val="auto"/>
        </w:rPr>
      </w:pPr>
    </w:p>
    <w:p>
      <w:pPr>
        <w:ind w:left="3" w:right="40"/>
        <w:spacing w:after="0" w:line="272" w:lineRule="auto"/>
        <w:rPr>
          <w:sz w:val="20"/>
          <w:szCs w:val="20"/>
          <w:color w:val="auto"/>
        </w:rPr>
      </w:pPr>
      <w:r>
        <w:rPr>
          <w:rFonts w:ascii="Times New Roman" w:cs="Times New Roman" w:eastAsia="Times New Roman" w:hAnsi="Times New Roman"/>
          <w:sz w:val="17"/>
          <w:szCs w:val="17"/>
          <w:color w:val="auto"/>
        </w:rPr>
        <w:t>We expense all research and development costs in the periods in which they are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w:t>
      </w:r>
    </w:p>
    <w:p>
      <w:pPr>
        <w:spacing w:after="0" w:line="64" w:lineRule="exact"/>
        <w:rPr>
          <w:sz w:val="20"/>
          <w:szCs w:val="20"/>
          <w:color w:val="auto"/>
        </w:rPr>
      </w:pPr>
    </w:p>
    <w:p>
      <w:pPr>
        <w:ind w:left="3" w:right="20"/>
        <w:spacing w:after="0" w:line="266" w:lineRule="auto"/>
        <w:rPr>
          <w:sz w:val="20"/>
          <w:szCs w:val="20"/>
          <w:color w:val="auto"/>
        </w:rPr>
      </w:pPr>
      <w:r>
        <w:rPr>
          <w:rFonts w:ascii="Times New Roman" w:cs="Times New Roman" w:eastAsia="Times New Roman" w:hAnsi="Times New Roman"/>
          <w:sz w:val="18"/>
          <w:szCs w:val="18"/>
          <w:color w:val="auto"/>
        </w:rPr>
        <w:t>Our direct research and development expenses relate to the development of TX45, as well as the nonclinical safety pharmacology and toxicology testing of our product candidates. Our external services expenses consist of the external costs and fees paid to consultants and other research laboratories in connection with our preclinical development and clinical development activities.</w:t>
      </w:r>
    </w:p>
    <w:p>
      <w:pPr>
        <w:spacing w:after="0" w:line="68" w:lineRule="exact"/>
        <w:rPr>
          <w:sz w:val="20"/>
          <w:szCs w:val="20"/>
          <w:color w:val="auto"/>
        </w:rPr>
      </w:pPr>
    </w:p>
    <w:p>
      <w:pPr>
        <w:ind w:left="3"/>
        <w:spacing w:after="0" w:line="258" w:lineRule="auto"/>
        <w:rPr>
          <w:sz w:val="20"/>
          <w:szCs w:val="20"/>
          <w:color w:val="auto"/>
        </w:rPr>
      </w:pPr>
      <w:r>
        <w:rPr>
          <w:rFonts w:ascii="Times New Roman" w:cs="Times New Roman" w:eastAsia="Times New Roman" w:hAnsi="Times New Roman"/>
          <w:sz w:val="18"/>
          <w:szCs w:val="18"/>
          <w:color w:val="auto"/>
        </w:rPr>
        <w:t>Costs that are deployed across multiple internal programs, including the HHT program and programs aimed at the discovery and development of potential therapies for fibrotic disease, and our platform technology and are not directly attributable to any single program are not allocated to any single program and, as such, are not separately classified. These costs include multi-program personnel-related costs, cross-program payments made under third-party licensing agreements, costs of laboratory supplies and facilities expenses, including rent, depreciation and other indirect costs, the costs of our discovery efforts and projects, and other expenses.</w:t>
      </w:r>
    </w:p>
    <w:p>
      <w:pPr>
        <w:spacing w:after="0" w:line="75" w:lineRule="exact"/>
        <w:rPr>
          <w:sz w:val="20"/>
          <w:szCs w:val="20"/>
          <w:color w:val="auto"/>
        </w:rPr>
      </w:pPr>
    </w:p>
    <w:p>
      <w:pPr>
        <w:ind w:left="3" w:right="80"/>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86" w:lineRule="exact"/>
        <w:rPr>
          <w:sz w:val="20"/>
          <w:szCs w:val="20"/>
          <w:color w:val="auto"/>
        </w:rPr>
      </w:pPr>
    </w:p>
    <w:p>
      <w:pPr>
        <w:ind w:left="263" w:hanging="263"/>
        <w:spacing w:after="0"/>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225"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093" w:right="359" w:bottom="1440" w:gutter="0" w:footer="0" w:header="0"/>
        </w:sectPr>
      </w:pPr>
    </w:p>
    <w:bookmarkStart w:id="23" w:name="page24"/>
    <w:bookmarkEnd w:id="23"/>
    <w:p>
      <w:pPr>
        <w:ind w:left="1020" w:hanging="26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product candidates;</w:t>
      </w:r>
    </w:p>
    <w:p>
      <w:pPr>
        <w:spacing w:after="0" w:line="117" w:lineRule="exact"/>
        <w:rPr>
          <w:rFonts w:ascii="Times New Roman" w:cs="Times New Roman" w:eastAsia="Times New Roman" w:hAnsi="Times New Roman"/>
          <w:sz w:val="18"/>
          <w:szCs w:val="18"/>
          <w:color w:val="auto"/>
        </w:rPr>
      </w:pPr>
    </w:p>
    <w:p>
      <w:pPr>
        <w:ind w:left="760" w:right="60" w:hanging="3"/>
        <w:spacing w:after="0" w:line="312" w:lineRule="auto"/>
        <w:tabs>
          <w:tab w:leader="none" w:pos="102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31" w:lineRule="exact"/>
        <w:rPr>
          <w:rFonts w:ascii="Times New Roman" w:cs="Times New Roman" w:eastAsia="Times New Roman" w:hAnsi="Times New Roman"/>
          <w:sz w:val="17"/>
          <w:szCs w:val="17"/>
          <w:color w:val="auto"/>
        </w:rPr>
      </w:pPr>
    </w:p>
    <w:p>
      <w:pPr>
        <w:ind w:left="1020" w:hanging="26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left="760" w:right="10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personnel-related costs, including stock-based compensation, for our personnel in executive, legal, finance and accounting, human resources and other administrative functions. General and administrative expenses also include legal fees relating to patents and corporate matters, professional fees paid for accounting, auditing, consulting and tax services, insurance, travel expenses, office and information technology costs and facilities and utilities, depreciation and other expenses related to general and administrative activities.</w:t>
      </w:r>
    </w:p>
    <w:p>
      <w:pPr>
        <w:spacing w:after="0" w:line="75" w:lineRule="exact"/>
        <w:rPr>
          <w:sz w:val="20"/>
          <w:szCs w:val="20"/>
          <w:color w:val="auto"/>
        </w:rPr>
      </w:pPr>
    </w:p>
    <w:p>
      <w:pPr>
        <w:ind w:left="760" w:right="26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expect to incur significantly increased accounting, audit, legal, regulatory, compliance, director and officer insurance, and investor and public relations expenses associated with operating as a public company. We also expect to incur additional intellectual property-related expenses as we file patent applications to protect innovations arising from our research and development activities.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Loss on Issuance of SAFE Liabilities and Change in Fair Value of SAFE Liabilities</w:t>
      </w:r>
    </w:p>
    <w:p>
      <w:pPr>
        <w:spacing w:after="0" w:line="227" w:lineRule="exact"/>
        <w:rPr>
          <w:sz w:val="20"/>
          <w:szCs w:val="20"/>
          <w:color w:val="auto"/>
        </w:rPr>
      </w:pPr>
    </w:p>
    <w:p>
      <w:pPr>
        <w:ind w:left="760" w:right="80"/>
        <w:spacing w:after="0" w:line="261" w:lineRule="auto"/>
        <w:rPr>
          <w:sz w:val="20"/>
          <w:szCs w:val="20"/>
          <w:color w:val="auto"/>
        </w:rPr>
      </w:pPr>
      <w:r>
        <w:rPr>
          <w:rFonts w:ascii="Times New Roman" w:cs="Times New Roman" w:eastAsia="Times New Roman" w:hAnsi="Times New Roman"/>
          <w:sz w:val="18"/>
          <w:szCs w:val="18"/>
          <w:color w:val="auto"/>
        </w:rPr>
        <w:t>In October and December 2023, Legacy Tectonic issued SAFEs for proceeds of $34.1 million. The SAFEs were recorded as liabilities in the condensed consolidated balance sheets at their fair value on the issuance dates. Until redemption on June 20, 2024, the SAFEs were measured at a fair value on a recurring basis, with subsequent changes in fair value recorded in other income and expenses on the consolidated statement of operations and comprehensive loss.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760" w:right="200"/>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money market funds, which are included in cash and cash equivalents in the condensed consolidated balance sheet.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1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14,317</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8,134</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6,183</w:t>
            </w:r>
          </w:p>
        </w:tc>
        <w:tc>
          <w:tcPr>
            <w:tcW w:w="12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5,320</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1,980</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19,637</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10,114</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9,523</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(19,637 )</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(10,114 )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(9,523 )</w:t>
            </w:r>
          </w:p>
        </w:tc>
        <w:tc>
          <w:tcPr>
            <w:tcW w:w="12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3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9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0" w:type="dxa"/>
            <w:vAlign w:val="bottom"/>
          </w:tcPr>
          <w:p>
            <w:pPr>
              <w:spacing w:after="0"/>
              <w:rPr>
                <w:sz w:val="21"/>
                <w:szCs w:val="21"/>
                <w:color w:val="auto"/>
              </w:rPr>
            </w:pPr>
          </w:p>
        </w:tc>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1,952</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1,855</w:t>
            </w:r>
          </w:p>
        </w:tc>
        <w:tc>
          <w:tcPr>
            <w:tcW w:w="12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9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1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1,920</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81"/>
        </w:trPr>
        <w:tc>
          <w:tcPr>
            <w:tcW w:w="800" w:type="dxa"/>
            <w:vAlign w:val="bottom"/>
          </w:tcPr>
          <w:p>
            <w:pPr>
              <w:spacing w:after="0"/>
              <w:rPr>
                <w:sz w:val="24"/>
                <w:szCs w:val="24"/>
                <w:color w:val="auto"/>
              </w:rPr>
            </w:pPr>
          </w:p>
        </w:tc>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(17,717 )</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(10,054 )</w:t>
            </w:r>
          </w:p>
        </w:tc>
        <w:tc>
          <w:tcPr>
            <w:tcW w:w="3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(7,663 )</w:t>
            </w:r>
          </w:p>
        </w:tc>
        <w:tc>
          <w:tcPr>
            <w:tcW w:w="12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629"/>
        </w:trPr>
        <w:tc>
          <w:tcPr>
            <w:tcW w:w="800" w:type="dxa"/>
            <w:vAlign w:val="bottom"/>
          </w:tcPr>
          <w:p>
            <w:pPr>
              <w:spacing w:after="0"/>
              <w:rPr>
                <w:sz w:val="24"/>
                <w:szCs w:val="24"/>
                <w:color w:val="auto"/>
              </w:rPr>
            </w:pPr>
          </w:p>
        </w:tc>
        <w:tc>
          <w:tcPr>
            <w:tcW w:w="344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-2211070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-2211070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-2211070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-1885315</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-1885315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-1885315</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-1259205</wp:posOffset>
            </wp:positionV>
            <wp:extent cx="857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-1259205</wp:posOffset>
            </wp:positionV>
            <wp:extent cx="85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-1259205</wp:posOffset>
            </wp:positionV>
            <wp:extent cx="59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-933450</wp:posOffset>
            </wp:positionV>
            <wp:extent cx="857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-916305</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-933450</wp:posOffset>
            </wp:positionV>
            <wp:extent cx="857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-916305</wp:posOffset>
            </wp:positionV>
            <wp:extent cx="857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-933450</wp:posOffset>
            </wp:positionV>
            <wp:extent cx="596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-916305</wp:posOffset>
            </wp:positionV>
            <wp:extent cx="59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34" w:lineRule="exact"/>
        <w:rPr>
          <w:sz w:val="20"/>
          <w:szCs w:val="20"/>
          <w:color w:val="auto"/>
        </w:rPr>
      </w:pPr>
    </w:p>
    <w:p>
      <w:pPr>
        <w:jc w:val="center"/>
        <w:ind w:left="3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35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TX45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8,922</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3,752</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5,170</w:t>
            </w:r>
          </w:p>
        </w:tc>
        <w:tc>
          <w:tcPr>
            <w:tcW w:w="1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26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3,105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2,886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219</w:t>
            </w:r>
          </w:p>
        </w:tc>
        <w:tc>
          <w:tcPr>
            <w:tcW w:w="1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External services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1,147</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774</w:t>
            </w:r>
          </w:p>
        </w:tc>
        <w:tc>
          <w:tcPr>
            <w:tcW w:w="1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Facility, supplies and 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1,123</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platform development, early-stage research and unallocated</w:t>
            </w:r>
          </w:p>
        </w:tc>
        <w:tc>
          <w:tcPr>
            <w:tcW w:w="26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5,395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4,382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vMerge w:val="restart"/>
            <w:shd w:val="clear" w:color="auto" w:fill="CFF0FC"/>
          </w:tcPr>
          <w:p>
            <w:pPr>
              <w:spacing w:after="0"/>
              <w:rPr>
                <w:sz w:val="18"/>
                <w:szCs w:val="18"/>
                <w:color w:val="auto"/>
              </w:rPr>
            </w:pPr>
          </w:p>
        </w:tc>
        <w:tc>
          <w:tcPr>
            <w:tcW w:w="1180" w:type="dxa"/>
            <w:vAlign w:val="bottom"/>
            <w:vMerge w:val="restart"/>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5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14,317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8,134</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6,183</w:t>
            </w:r>
          </w:p>
        </w:tc>
        <w:tc>
          <w:tcPr>
            <w:tcW w:w="1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-187960</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-187960</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-187960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Total research and development expenses increased $6.2 million for the three months ended September 30, 2024, compared to the three months ended September 30, 2023. The increase in research and development expense was primarily the result of increased external contract research organization (“CRO”) costs related to the progression of the TX45 Phase 1b clinical trial and the initiation of the TX45 Phase 2 clinical trial, along with increase in consulting and professional services to support the ongoing development activities of our early-stage product candidates.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18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3,131</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2,118</w:t>
            </w:r>
          </w:p>
        </w:tc>
        <w:tc>
          <w:tcPr>
            <w:tcW w:w="1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260" w:type="dxa"/>
            <w:vAlign w:val="bottom"/>
          </w:tcPr>
          <w:p>
            <w:pPr>
              <w:spacing w:after="0"/>
              <w:rPr>
                <w:sz w:val="20"/>
                <w:szCs w:val="20"/>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1,397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820</w:t>
            </w:r>
          </w:p>
        </w:tc>
        <w:tc>
          <w:tcPr>
            <w:tcW w:w="12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1"/>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5,320</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1,980</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3,340</w:t>
            </w:r>
          </w:p>
        </w:tc>
        <w:tc>
          <w:tcPr>
            <w:tcW w:w="12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-187960</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-187960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-187960</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Total general and administrative expenses increased $3.3 million for the three months ended September 30, 2024 compared to the three months ended September 30, 2023. Personnel-related expenses increased $2.1 million during the three months ended September 30, 2024 compared to the three months ended September 30, 2023. The increase in personnel-related expenses was primarily due to an increase in stock-based compensation for newly granted stock-based awards and the modification of certain stock options. Professional and consulting fees increased $0.8 million during the three months ended September 30, 2024 compared to the three months ended September 30, 2023 due to an increase in fees to support merger-related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Interest income increased by $1.9 million for the three months ended September 30, 2024 compared to the three months ended September 30, 2023 primarily due to an increase in cash and cash equivalents as a result of the Merger.</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4"/>
                <w:szCs w:val="14"/>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32,208</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29,774</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2,434</w:t>
            </w:r>
          </w:p>
        </w:tc>
        <w:tc>
          <w:tcPr>
            <w:tcW w:w="1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11,816</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5,500</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44,024</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35,274</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(44,024 )</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(35,274 )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(8,750 )</w:t>
            </w:r>
          </w:p>
        </w:tc>
        <w:tc>
          <w:tcPr>
            <w:tcW w:w="1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5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the SAFE liabilities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2,526</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2,078</w:t>
            </w:r>
          </w:p>
        </w:tc>
        <w:tc>
          <w:tcPr>
            <w:tcW w:w="1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4,060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5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(1,585 )</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(1,905 )</w:t>
            </w:r>
          </w:p>
        </w:tc>
        <w:tc>
          <w:tcPr>
            <w:tcW w:w="1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(45,609 )</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(34,954 )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(10,655 )</w:t>
            </w:r>
          </w:p>
        </w:tc>
        <w:tc>
          <w:tcPr>
            <w:tcW w:w="1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4"/>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4"/>
                <w:szCs w:val="14"/>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TX45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17,091</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16,789</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c>
          <w:tcPr>
            <w:tcW w:w="1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26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9,071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8,612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459</w:t>
            </w:r>
          </w:p>
        </w:tc>
        <w:tc>
          <w:tcPr>
            <w:tcW w:w="1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External services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2,717</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1,883</w:t>
            </w:r>
          </w:p>
        </w:tc>
        <w:tc>
          <w:tcPr>
            <w:tcW w:w="1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Facility, supplies and 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3,329</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3,539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platform development, early-stage research and unallocated</w:t>
            </w:r>
          </w:p>
        </w:tc>
        <w:tc>
          <w:tcPr>
            <w:tcW w:w="26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15,117</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12,985</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vMerge w:val="restart"/>
            <w:shd w:val="clear" w:color="auto" w:fill="CFF0FC"/>
          </w:tcPr>
          <w:p>
            <w:pPr>
              <w:spacing w:after="0"/>
              <w:rPr>
                <w:sz w:val="18"/>
                <w:szCs w:val="18"/>
                <w:color w:val="auto"/>
              </w:rPr>
            </w:pPr>
          </w:p>
        </w:tc>
        <w:tc>
          <w:tcPr>
            <w:tcW w:w="118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32,208</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29,774</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2,434</w:t>
            </w:r>
          </w:p>
        </w:tc>
        <w:tc>
          <w:tcPr>
            <w:tcW w:w="1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-3505200</wp:posOffset>
            </wp:positionV>
            <wp:extent cx="6626225"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-3994150</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-3994150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-3994150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-3668395</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-3668395</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-3668395</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-2725420</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-2725420</wp:posOffset>
            </wp:positionV>
            <wp:extent cx="85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-2725420</wp:posOffset>
            </wp:positionV>
            <wp:extent cx="596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-187960</wp:posOffset>
            </wp:positionV>
            <wp:extent cx="857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-187960</wp:posOffset>
            </wp:positionV>
            <wp:extent cx="857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-187960</wp:posOffset>
            </wp:positionV>
            <wp:extent cx="596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Total research and development expenses increased $2.4 million for the nine months ended September 30, 2024, compared to the nine months ended September 30, 2023. The increase in research and development expenses was primarily due to the increase in total platform development, early-stage research and unallocated expenses. Total platform development, early-stage research and unallocated expenses increased $2.1 million during the nine months ended September 30, 2024 compared to the nine months ended September 30, 2023. The increase was primarily due to an increase in consulting and professional services to support the ongoing development activities of our early-stage product candidates.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18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5,920</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3,041</w:t>
            </w:r>
          </w:p>
        </w:tc>
        <w:tc>
          <w:tcPr>
            <w:tcW w:w="3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2,879</w:t>
            </w:r>
          </w:p>
        </w:tc>
        <w:tc>
          <w:tcPr>
            <w:tcW w:w="1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260" w:type="dxa"/>
            <w:vAlign w:val="bottom"/>
          </w:tcPr>
          <w:p>
            <w:pPr>
              <w:spacing w:after="0"/>
              <w:rPr>
                <w:sz w:val="20"/>
                <w:szCs w:val="20"/>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4,170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1,371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2,799</w:t>
            </w:r>
          </w:p>
        </w:tc>
        <w:tc>
          <w:tcPr>
            <w:tcW w:w="12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1,726</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1,088</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1"/>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11,816</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5,500</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6,316</w:t>
            </w:r>
          </w:p>
        </w:tc>
        <w:tc>
          <w:tcPr>
            <w:tcW w:w="12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-187960</wp:posOffset>
            </wp:positionV>
            <wp:extent cx="857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-187960</wp:posOffset>
            </wp:positionV>
            <wp:extent cx="857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-187960</wp:posOffset>
            </wp:positionV>
            <wp:extent cx="596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Total general and administrative expenses increased $6.3 million for the nine months ended September 30, 2024 as compared to the nine months ended September 30, 2023. Personnel-related expenses increased $2.9 million during the nine months ended September 30, 2024 compared to the nine months ended September 30, 2023. The increase in personnel-related</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1080" w:top="1197" w:right="279" w:bottom="1440" w:gutter="0" w:footer="0" w:header="0"/>
        </w:sectPr>
      </w:pPr>
    </w:p>
    <w:bookmarkStart w:id="26" w:name="page27"/>
    <w:bookmarkEnd w:id="26"/>
    <w:p>
      <w:pPr>
        <w:ind w:right="120"/>
        <w:spacing w:after="0" w:line="256" w:lineRule="auto"/>
        <w:rPr>
          <w:sz w:val="20"/>
          <w:szCs w:val="20"/>
          <w:color w:val="auto"/>
        </w:rPr>
      </w:pPr>
      <w:r>
        <w:rPr>
          <w:rFonts w:ascii="Times New Roman" w:cs="Times New Roman" w:eastAsia="Times New Roman" w:hAnsi="Times New Roman"/>
          <w:sz w:val="18"/>
          <w:szCs w:val="18"/>
          <w:color w:val="auto"/>
        </w:rPr>
        <w:t>expenses was due to an increase in stock-based compensation for newly granted stock-based awards, the expense for the modification of certain stock options and severance costs related the reduction in force that occurred during the nine months ended September 30, 2024. Professional and consulting fees increased $2.8 million and facility related and other expenses increased $0.6 million for the nine months ended September 30, 2024 compared to the nine months ended September 30, 2023. The increase in professional and consulting fees and facility and other expenses was due to an increase in consulting and professional services fees to support Merger-related activities and an increase in audit, legal and professional services to support our operations as a public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SAFE Liabilities</w:t>
      </w: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SAFE liabilities loss of $3.6 million resulted from the remeasurement of the SAFE liabilities to fair value during the nine months ended September 30, 2024, upon redemption in June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Interest income increased by $2.0 million for the nine months ended September 30, 2024 compared to the nine months ended September 30, 2023 primarily due to an increase in cash and cash equivalents as a result of the Merger.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do not currently have any approved products and have never generated any revenue from product sales. We have funded our operations with an aggregate of $288.6 million in proceeds from the sale of convertible preferred stock, the issuance of convertible promissory notes, the Merger, and sale of common stock. As of September 30, 2024, we had $159.1 million in cash and cash equivalents and an accumulated deficit of $136.2 million. We believe that our cash and cash equivalents will be sufficient to fund our anticipated operating and capital expenditure requirements into mid-2027. We have based this estimate on assumptions that may prove to be wrong, and we could exhaust our capital resources sooner than we expect.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nine months ended September 30, 2024 and 2023:</w:t>
      </w:r>
    </w:p>
    <w:p>
      <w:pPr>
        <w:spacing w:after="0" w:line="124"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71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9"/>
        </w:trPr>
        <w:tc>
          <w:tcPr>
            <w:tcW w:w="7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(42,259 )</w:t>
            </w:r>
          </w:p>
        </w:tc>
        <w:tc>
          <w:tcPr>
            <w:tcW w:w="6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(29,024 )</w:t>
            </w:r>
          </w:p>
        </w:tc>
        <w:tc>
          <w:tcPr>
            <w:tcW w:w="0" w:type="dxa"/>
            <w:vAlign w:val="bottom"/>
          </w:tcPr>
          <w:p>
            <w:pPr>
              <w:spacing w:after="0"/>
              <w:rPr>
                <w:sz w:val="1"/>
                <w:szCs w:val="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172,783</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130,326</w:t>
            </w:r>
          </w:p>
        </w:tc>
        <w:tc>
          <w:tcPr>
            <w:tcW w:w="180" w:type="dxa"/>
            <w:vAlign w:val="bottom"/>
            <w:vMerge w:val="restart"/>
            <w:shd w:val="clear" w:color="auto" w:fill="CFF0FC"/>
          </w:tcPr>
          <w:p>
            <w:pPr>
              <w:spacing w:after="0"/>
              <w:rPr>
                <w:sz w:val="18"/>
                <w:szCs w:val="18"/>
                <w:color w:val="auto"/>
              </w:rPr>
            </w:pPr>
          </w:p>
        </w:tc>
        <w:tc>
          <w:tcPr>
            <w:tcW w:w="420" w:type="dxa"/>
            <w:vAlign w:val="bottom"/>
            <w:vMerge w:val="restart"/>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(29,636 )</w:t>
            </w:r>
          </w:p>
        </w:tc>
        <w:tc>
          <w:tcPr>
            <w:tcW w:w="0" w:type="dxa"/>
            <w:vAlign w:val="bottom"/>
          </w:tcPr>
          <w:p>
            <w:pPr>
              <w:spacing w:after="0"/>
              <w:rPr>
                <w:sz w:val="1"/>
                <w:szCs w:val="1"/>
                <w:color w:val="auto"/>
              </w:rPr>
            </w:pPr>
          </w:p>
        </w:tc>
      </w:tr>
      <w:tr>
        <w:trPr>
          <w:trHeight w:val="247"/>
        </w:trPr>
        <w:tc>
          <w:tcPr>
            <w:tcW w:w="71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vMerge w:val="continue"/>
            <w:shd w:val="clear" w:color="auto" w:fill="CFF0FC"/>
          </w:tcPr>
          <w:p>
            <w:pPr>
              <w:spacing w:after="0"/>
              <w:rPr>
                <w:sz w:val="21"/>
                <w:szCs w:val="21"/>
                <w:color w:val="auto"/>
              </w:rPr>
            </w:pPr>
          </w:p>
        </w:tc>
        <w:tc>
          <w:tcPr>
            <w:tcW w:w="122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vMerge w:val="continue"/>
            <w:shd w:val="clear" w:color="auto" w:fill="CFF0FC"/>
          </w:tcPr>
          <w:p>
            <w:pPr>
              <w:spacing w:after="0"/>
              <w:rPr>
                <w:sz w:val="21"/>
                <w:szCs w:val="21"/>
                <w:color w:val="auto"/>
              </w:rPr>
            </w:pPr>
          </w:p>
        </w:tc>
        <w:tc>
          <w:tcPr>
            <w:tcW w:w="420" w:type="dxa"/>
            <w:vAlign w:val="bottom"/>
            <w:tcBorders>
              <w:bottom w:val="single" w:sz="8" w:color="auto"/>
            </w:tcBorders>
            <w:vMerge w:val="continue"/>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5574665</wp:posOffset>
            </wp:positionH>
            <wp:positionV relativeFrom="paragraph">
              <wp:posOffset>-25400</wp:posOffset>
            </wp:positionV>
            <wp:extent cx="1111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-8255</wp:posOffset>
            </wp:positionV>
            <wp:extent cx="1111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operating activities was $42.3 million. Cash used in operating activities was primarily used to fund our operations to develop our product candidates resulting in a net loss of $45.6 million and changes in our operating assets and liabilities of $4.7 million, partially offset by non-cash charges of $8.0</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27" w:name="page28"/>
    <w:bookmarkEnd w:id="27"/>
    <w:p>
      <w:pPr>
        <w:ind w:left="3" w:right="120"/>
        <w:spacing w:after="0" w:line="312" w:lineRule="auto"/>
        <w:rPr>
          <w:sz w:val="20"/>
          <w:szCs w:val="20"/>
          <w:color w:val="auto"/>
        </w:rPr>
      </w:pPr>
      <w:r>
        <w:rPr>
          <w:rFonts w:ascii="Times New Roman" w:cs="Times New Roman" w:eastAsia="Times New Roman" w:hAnsi="Times New Roman"/>
          <w:sz w:val="17"/>
          <w:szCs w:val="17"/>
          <w:color w:val="auto"/>
        </w:rPr>
        <w:t>million related to the change in the fair value of the SAFE liabilities, stock-based compensation expense, depreciation and amortization expense and lease expense. The increase in operating assets and liabilities relates to accrued expenses for the Merger and prepayments to the CRO.</w:t>
      </w:r>
    </w:p>
    <w:p>
      <w:pPr>
        <w:spacing w:after="0" w:line="32" w:lineRule="exact"/>
        <w:rPr>
          <w:sz w:val="20"/>
          <w:szCs w:val="20"/>
          <w:color w:val="auto"/>
        </w:rPr>
      </w:pPr>
    </w:p>
    <w:p>
      <w:pPr>
        <w:ind w:left="3" w:right="16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2023, cash used in operating activities was $29.0 million. Cash used in operating activities was primarily due to the use of funds in our operations to develop our product candidates resulting in a net loss of $35.0 million, and changes in our operating assets and liabilities of $3.2 million, partially offset by non-cash charges of $2.8 million related to depreciation and amortization expense, stock-based compensation expense, and lease expense. The increase in operating assets and liabilities relates to accrued expenses, timing of vendor payments, and timing of lease repayments.</w:t>
      </w:r>
    </w:p>
    <w:p>
      <w:pPr>
        <w:spacing w:after="0" w:line="18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3" w:right="420"/>
        <w:spacing w:after="0" w:line="282" w:lineRule="auto"/>
        <w:rPr>
          <w:sz w:val="20"/>
          <w:szCs w:val="20"/>
          <w:color w:val="auto"/>
        </w:rPr>
      </w:pPr>
      <w:r>
        <w:rPr>
          <w:rFonts w:ascii="Times New Roman" w:cs="Times New Roman" w:eastAsia="Times New Roman" w:hAnsi="Times New Roman"/>
          <w:sz w:val="18"/>
          <w:szCs w:val="18"/>
          <w:color w:val="auto"/>
        </w:rPr>
        <w:t>During each of the nine month periods ended September 30, 2024 and 2023, net cash used in investing activities was $0.2 million related to purchases of property, equipment, and improvements.</w:t>
      </w:r>
    </w:p>
    <w:p>
      <w:pPr>
        <w:spacing w:after="0" w:line="1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3"/>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financing activities was $172.8 million, primarily due to net proceeds of $94.6 million from the sale of shares pursuant to the Subscription Agreement, $85.2 million in gross proceeds from the Merger and $0.7 million in proceeds from the exercise of stock options, partially offset by cash paid for transaction costs related to the Merger of $7.4 million. Net cash used in financing activities during the nine months ended September 30, 2023 was primarily due to $0.4 million of repayment of finance lease obligations.</w:t>
      </w:r>
    </w:p>
    <w:p>
      <w:pPr>
        <w:spacing w:after="0" w:line="1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left="3" w:right="100"/>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or initiate clinical trials of, and seek marketing approval for, our product candidates including our lead product candidate TX45. In addition, if we obtain marketing approval for TX45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84" w:lineRule="exact"/>
        <w:rPr>
          <w:sz w:val="20"/>
          <w:szCs w:val="20"/>
          <w:color w:val="auto"/>
        </w:rPr>
      </w:pPr>
    </w:p>
    <w:p>
      <w:pPr>
        <w:ind w:left="3" w:right="100"/>
        <w:spacing w:after="0" w:line="266" w:lineRule="auto"/>
        <w:rPr>
          <w:sz w:val="20"/>
          <w:szCs w:val="20"/>
          <w:color w:val="auto"/>
        </w:rPr>
      </w:pPr>
      <w:r>
        <w:rPr>
          <w:rFonts w:ascii="Times New Roman" w:cs="Times New Roman" w:eastAsia="Times New Roman" w:hAnsi="Times New Roman"/>
          <w:sz w:val="18"/>
          <w:szCs w:val="18"/>
          <w:color w:val="auto"/>
        </w:rPr>
        <w:t>We expect our existing cash and cash equivalents, together with the net proceeds from the Merger and the sale of securities pursuant to the Subscription Agreement, will enable us to fund our operating expenses and capital expenditure requirements for at least the next twelve months. Our future capital requirements will depend on many factors, including:</w:t>
      </w:r>
    </w:p>
    <w:p>
      <w:pPr>
        <w:spacing w:after="0" w:line="68" w:lineRule="exact"/>
        <w:rPr>
          <w:sz w:val="20"/>
          <w:szCs w:val="20"/>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1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17"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the license agreements and any other collaboration agreements we enter into;</w:t>
      </w:r>
    </w:p>
    <w:p>
      <w:pPr>
        <w:spacing w:after="0" w:line="53"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collaboration agreements, if any;</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w:t>
      </w:r>
    </w:p>
    <w:p>
      <w:pPr>
        <w:spacing w:after="0" w:line="225"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28" w:name="page29"/>
    <w:bookmarkEnd w:id="28"/>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publicly traded company;</w:t>
      </w:r>
    </w:p>
    <w:p>
      <w:pPr>
        <w:spacing w:after="0" w:line="117" w:lineRule="exact"/>
        <w:rPr>
          <w:rFonts w:ascii="Times New Roman" w:cs="Times New Roman" w:eastAsia="Times New Roman" w:hAnsi="Times New Roman"/>
          <w:sz w:val="18"/>
          <w:szCs w:val="18"/>
          <w:color w:val="auto"/>
        </w:rPr>
      </w:pPr>
    </w:p>
    <w:p>
      <w:pPr>
        <w:ind w:left="503" w:right="56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 and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environment, including inflation and interest rates.</w:t>
      </w:r>
    </w:p>
    <w:p>
      <w:pPr>
        <w:spacing w:after="0" w:line="117" w:lineRule="exact"/>
        <w:rPr>
          <w:sz w:val="20"/>
          <w:szCs w:val="20"/>
          <w:color w:val="auto"/>
        </w:rPr>
      </w:pPr>
    </w:p>
    <w:p>
      <w:pPr>
        <w:ind w:left="3" w:right="60"/>
        <w:spacing w:after="0" w:line="254"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w:t>
      </w:r>
    </w:p>
    <w:p>
      <w:pPr>
        <w:spacing w:after="0" w:line="80" w:lineRule="exact"/>
        <w:rPr>
          <w:sz w:val="20"/>
          <w:szCs w:val="20"/>
          <w:color w:val="auto"/>
        </w:rPr>
      </w:pPr>
    </w:p>
    <w:p>
      <w:pPr>
        <w:ind w:left="3" w:right="20"/>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75" w:lineRule="exact"/>
        <w:rPr>
          <w:sz w:val="20"/>
          <w:szCs w:val="20"/>
          <w:color w:val="auto"/>
        </w:rPr>
      </w:pPr>
    </w:p>
    <w:p>
      <w:pPr>
        <w:ind w:left="3" w:right="200"/>
        <w:spacing w:after="0" w:line="261" w:lineRule="auto"/>
        <w:rPr>
          <w:sz w:val="20"/>
          <w:szCs w:val="20"/>
          <w:color w:val="auto"/>
        </w:rPr>
      </w:pPr>
      <w:r>
        <w:rPr>
          <w:rFonts w:ascii="Times New Roman" w:cs="Times New Roman" w:eastAsia="Times New Roman" w:hAnsi="Times New Roman"/>
          <w:sz w:val="18"/>
          <w:szCs w:val="18"/>
          <w:color w:val="auto"/>
        </w:rPr>
        <w:t>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w:t>
      </w:r>
    </w:p>
    <w:p>
      <w:pPr>
        <w:spacing w:after="0" w:line="72" w:lineRule="exact"/>
        <w:rPr>
          <w:sz w:val="20"/>
          <w:szCs w:val="20"/>
          <w:color w:val="auto"/>
        </w:rPr>
      </w:pPr>
    </w:p>
    <w:p>
      <w:pPr>
        <w:ind w:left="3" w:right="20"/>
        <w:spacing w:after="0" w:line="282" w:lineRule="auto"/>
        <w:rPr>
          <w:sz w:val="20"/>
          <w:szCs w:val="20"/>
          <w:color w:val="auto"/>
        </w:rPr>
      </w:pPr>
      <w:r>
        <w:rPr>
          <w:rFonts w:ascii="Times New Roman" w:cs="Times New Roman" w:eastAsia="Times New Roman" w:hAnsi="Times New Roman"/>
          <w:sz w:val="18"/>
          <w:szCs w:val="18"/>
          <w:color w:val="auto"/>
        </w:rPr>
        <w:t>We currently have no ongoing material financing commitments, such as lines of credit or guarantees, that are expected to affect our liquidity over the next five years, other than our lease obligations.</w:t>
      </w:r>
    </w:p>
    <w:p>
      <w:pPr>
        <w:spacing w:after="0" w:line="15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Contractual Obligations &amp; Commitments</w:t>
      </w:r>
    </w:p>
    <w:p>
      <w:pPr>
        <w:spacing w:after="0" w:line="2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Lease</w:t>
      </w:r>
    </w:p>
    <w:p>
      <w:pPr>
        <w:spacing w:after="0" w:line="2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following is our contractual obligations and commitments as of September 30, 2024:</w:t>
      </w:r>
    </w:p>
    <w:p>
      <w:pPr>
        <w:spacing w:after="0" w:line="112" w:lineRule="exact"/>
        <w:rPr>
          <w:sz w:val="20"/>
          <w:szCs w:val="20"/>
          <w:color w:val="auto"/>
        </w:rPr>
      </w:pPr>
    </w:p>
    <w:tbl>
      <w:tblPr>
        <w:tblLayout w:type="fixed"/>
        <w:tblInd w:w="43"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3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480" w:type="dxa"/>
            <w:vAlign w:val="bottom"/>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1,097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1,569</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2,097</w:t>
            </w:r>
          </w:p>
        </w:tc>
        <w:tc>
          <w:tcPr>
            <w:tcW w:w="0" w:type="dxa"/>
            <w:vAlign w:val="bottom"/>
          </w:tcPr>
          <w:p>
            <w:pPr>
              <w:spacing w:after="0"/>
              <w:rPr>
                <w:sz w:val="1"/>
                <w:szCs w:val="1"/>
                <w:color w:val="auto"/>
              </w:rPr>
            </w:pPr>
          </w:p>
        </w:tc>
      </w:tr>
      <w:tr>
        <w:trPr>
          <w:trHeight w:val="276"/>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1,625</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3,788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-24765</wp:posOffset>
            </wp:positionV>
            <wp:extent cx="946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-8255</wp:posOffset>
            </wp:positionV>
            <wp:extent cx="9461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-24765</wp:posOffset>
            </wp:positionV>
            <wp:extent cx="939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-8255</wp:posOffset>
            </wp:positionV>
            <wp:extent cx="93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-24765</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-8255</wp:posOffset>
            </wp:positionV>
            <wp:extent cx="857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857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0" w:lineRule="exact"/>
        <w:rPr>
          <w:sz w:val="20"/>
          <w:szCs w:val="20"/>
          <w:color w:val="auto"/>
        </w:rPr>
      </w:pPr>
    </w:p>
    <w:p>
      <w:pPr>
        <w:ind w:left="3" w:right="60"/>
        <w:spacing w:after="0" w:line="266"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7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Harvard Agreement</w:t>
      </w:r>
    </w:p>
    <w:p>
      <w:pPr>
        <w:spacing w:after="0" w:line="227" w:lineRule="exact"/>
        <w:rPr>
          <w:sz w:val="20"/>
          <w:szCs w:val="20"/>
          <w:color w:val="auto"/>
        </w:rPr>
      </w:pPr>
    </w:p>
    <w:p>
      <w:pPr>
        <w:ind w:left="3" w:right="80"/>
        <w:spacing w:after="0" w:line="254" w:lineRule="auto"/>
        <w:rPr>
          <w:sz w:val="20"/>
          <w:szCs w:val="20"/>
          <w:color w:val="auto"/>
        </w:rPr>
      </w:pPr>
      <w:r>
        <w:rPr>
          <w:rFonts w:ascii="Times New Roman" w:cs="Times New Roman" w:eastAsia="Times New Roman" w:hAnsi="Times New Roman"/>
          <w:sz w:val="18"/>
          <w:szCs w:val="18"/>
          <w:color w:val="auto"/>
        </w:rPr>
        <w:t>In July 2020, we entered into an option agreement with the President and Fellows of Harvard College (“Harvard”) and obtained an option to negotiate a license under Harvard’s interest in certain patent rights (the “Patent Rights”) in exchange for an option fee in the low five digits. In October 2021, Legacy Tectonic exercised the option and in February 2022 it entered into a license agreement with Harvard (the “Harvard License Agreement”) to conduct research and development activities using certain materials, technology and patent rights owned by Harvard, with the intent to develop, obtain regulatory approval for, and commercialize products. 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w:t>
      </w:r>
    </w:p>
    <w:p>
      <w:pPr>
        <w:spacing w:after="0" w:line="19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29" w:name="page30"/>
    <w:bookmarkEnd w:id="29"/>
    <w:p>
      <w:pPr>
        <w:ind w:right="20"/>
        <w:spacing w:after="0" w:line="261" w:lineRule="auto"/>
        <w:rPr>
          <w:sz w:val="20"/>
          <w:szCs w:val="20"/>
          <w:color w:val="auto"/>
        </w:rPr>
      </w:pPr>
      <w:r>
        <w:rPr>
          <w:rFonts w:ascii="Times New Roman" w:cs="Times New Roman" w:eastAsia="Times New Roman" w:hAnsi="Times New Roman"/>
          <w:sz w:val="18"/>
          <w:szCs w:val="18"/>
          <w:color w:val="auto"/>
        </w:rPr>
        <w:t>As partial consideration for the Harvard License Agreement, we agreed to pay Harvard a one-time license fee of $170,000, with such fee to be paid in equal installments over three years. The first two installments were paid in July 2022 and 2023 and the third installment was made in July 2024. As partial consideration for the Harvard License Agreement, we entered into a subscription agreement with Harvard in July 2022, pursuant to which Harvard was granted 227,486 shares of our common stock with a fair market value in the mid six digits.</w:t>
      </w:r>
    </w:p>
    <w:p>
      <w:pPr>
        <w:spacing w:after="0" w:line="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We are required to pay a one-time milestone payment of $100,000 for each discovered product granted FDA marketing authorization as well as for the first licensed product or know-how enabled product to reach certain clinical developmental milestones, up to $8.5 million and for the first licensed product or know-how enabled product to reach certain commercial milestones, up to $2.0 million. We are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we receive in connection with a sublicense, strategic partnership or know-how enabled license. With respect to any net sales of licensed products and know-how enabled products sold in certain countries outside of the United States and Europe, we and Harvard will negotiate a royalty percentage on a country-by-country basis.</w:t>
      </w:r>
    </w:p>
    <w:p>
      <w:pPr>
        <w:spacing w:after="0" w:line="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this agreement, see Note 7 “Commitments and Contingencies” to the interim condensed consolidated financial statements included elsewhere in this Quarterly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Alloy Therapeutics License Agreement</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November 29, 2021, we executed a license agreement with Alloy Therapeutics, LLC (“ATX”), whereby we will use ATX technology for the purpose of preclinical development, clinical development and commercialization of potential product candidates, for an initial period of three years, with the option to extend the term for an additional two years. We will pay ATX a non-refundable and non-creditable annual fee of $0.1 million on each anniversary of the agreement. On November 7, 2022, we amended the agreement and extended the period of payment for the first fee due, which was paid in May 2023. Additionally, we will be responsible for annual partnering fees if we decide to pursue clinical development of a product candidate using the ATX technology. The partnering fees may be creditable against future milestone development fees paid by us. We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we are able to commercialize a product using ATX technology, we will be responsible to pay ATX commercial payments in the low seven digits per year during the first six years of commercial sales, amounting to an amount in the high eight digits in total commercial payments under the license agreement. Pursuant to the terms of the agreement, the Company had no expense for the three and nine months ended September 30, 2024, and less than $0.1 million during the three and nine months ended September 30, 2023. We intend to terminate the agreement with ATX effective November 14,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Adimab Agreement</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May 1, 2023, we entered into a discovery agreement with Adimab, LLC (“Adimab”), an antibody discovery company, whereby we and Adimab are collaborating on human antibody discovery in accordance with an agreed upon research program. Legacy Tectonic paid an upfront technology access fee totaling $20,000 upon execution of the Adimab agreement during the year ended December 31, 2023. This agreement was terminated effective July 25, 2024.</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Pursuant to the terms of the agreement, the Company recorded no expense and $0.2 million for the three and nine months ended September 30, 2024, and $0.1 million for the three and nine months ended September 30, 2023. As a result of the termination of the agreement, there are no further amounts due to Adimab and there is no accrual related to the agreement as of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interim condensed consolidated financial statements, which have been prepared in accordance with generally accepted accounting principles in the United States (“GAAP”). The preparation of these interim condensed consolidated financial statements requires us to make estimates and assumptions that affect the reported amounts of assets and liabilities, the disclosures of contingent assets and liabilities at the date of the interim condensed consolidated financial statements and the reported amounts of expenses during the reporting periods. We base our estimates on historical experience, known trends and events,</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0" w:name="page31"/>
    <w:bookmarkEnd w:id="30"/>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and various other assumptions that we believe are reasonable under the circumstances, the results of which form the basis for making judgments about the carrying values of assets and liabilities recorded expenses that are not readily apparent from other sources. We evaluate our estimates and assumptions on an ongoing basis. Actual results may differ from these estimates.</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greater detail in Note 2 “Summary of Significant Accounting Policies” to our audited annual consolidated financial statements, we believe that the following accounting policies are those most critical to the judgements and estimates used in the preparation of our interim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Expenses</w:t>
      </w:r>
    </w:p>
    <w:p>
      <w:pPr>
        <w:spacing w:after="0" w:line="22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As part of the process of preparing our interim condensed consolidated financial statements, we are required to estimate our prepaid and accrued research and development expenses. This process involves estimating the level of service performed and the associated cost incurred for the services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prepaid and accrued research and development expenses as of each balance sheet date in the interim condensed consolidated financial statements based on facts and circumstances known to us at that time, which includes corroboration of these estimates with the service providers. Estimated research and development expenses include those related to fees paid to vendors in connection with clinical, discovery and preclinical development activities and any research organizations in connection with clinical and preclinical studies and testing. Although we do not expect our estimates to be materially different from amounts actually incurred, our understanding of the status and timing of services performed relative to the actual status and timing of services performed may vary and may result in changes in estimates reported in the current period. To date, there have not been any material adjustments to our prior estimates of prepaid and accrued research and development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measure stock options granted to employees and non-employees based on their fair value on the date of the grant using the Black-Scholes-Merton (“BSM”) option pricing model. Compensation expense for those awards is recognized over the requisite service period, which is generally the vesting period of the respective award for employees. Compensation expense for awards to non-employee with service-based vesting conditions is recognized in the same manner as if we had paid cash in exchange for the goods or services, which is generally the over the vesting period of the award. We use the straight-line method to recognize the expense of awards with service-based vesting conditions. We account for forfeitures of stock options as they occur.</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BSM requires the use of assumptions to determine the fair value of the stock options. The determination of fair value of our common stock is described below. Other assumptions used in the BSM, the volatility of our common stock, the expected term of our common stock, the risk-free interest rate for a period that approximates the expected term of our common stock and our expected dividend yield, are determined by our management.</w:t>
      </w:r>
    </w:p>
    <w:p>
      <w:pPr>
        <w:spacing w:after="0" w:line="7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 xml:space="preserve">Prior to being publicly-traded, we estimated the grant date fair value of our common stock using an appropriate valuation methodology, in accordance with the framework of the American Institute of Certified Public Accountants’ Technical Practice Aid, </w:t>
      </w:r>
      <w:r>
        <w:rPr>
          <w:rFonts w:ascii="Times New Roman" w:cs="Times New Roman" w:eastAsia="Times New Roman" w:hAnsi="Times New Roman"/>
          <w:sz w:val="17"/>
          <w:szCs w:val="17"/>
          <w:i w:val="1"/>
          <w:iCs w:val="1"/>
          <w:color w:val="auto"/>
        </w:rPr>
        <w:t>Valuation of Privately-Held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 Equity Securities Issued as Compensation</w:t>
      </w:r>
      <w:r>
        <w:rPr>
          <w:rFonts w:ascii="Times New Roman" w:cs="Times New Roman" w:eastAsia="Times New Roman" w:hAnsi="Times New Roman"/>
          <w:sz w:val="17"/>
          <w:szCs w:val="17"/>
          <w:color w:val="auto"/>
        </w:rPr>
        <w:t>. Each valuation methodology included estimates and assumptions that required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judgment. These estimates and assumptions included a number of objective and subjective factors, including external market conditions, guideline public company information, the prices at which we sold convertible preferred stock to third parties in arms’ length transactions, the rights and preferences of securities senior to our common stock at the time and the likelihood of achieving a liquidity event such as an initial public offering or sale. Significant changes to the assumptions used in the valuations could result in different fair values at each valuation date.</w:t>
      </w:r>
    </w:p>
    <w:p>
      <w:pPr>
        <w:spacing w:after="0" w:line="17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080" w:top="1093"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760" w:right="40"/>
        <w:spacing w:after="0" w:line="256" w:lineRule="auto"/>
        <w:rPr>
          <w:sz w:val="20"/>
          <w:szCs w:val="20"/>
          <w:color w:val="auto"/>
        </w:rPr>
      </w:pPr>
      <w:r>
        <w:rPr>
          <w:rFonts w:ascii="Times New Roman" w:cs="Times New Roman" w:eastAsia="Times New Roman" w:hAnsi="Times New Roman"/>
          <w:sz w:val="18"/>
          <w:szCs w:val="18"/>
          <w:color w:val="auto"/>
        </w:rPr>
        <w:t>Our primary exposure to market risk is to market risk related to interest rate sensitivity, which is affected by changes in the general level of U.S. interest rates. As of September 30, 2024, we had cash and cash equivalents of $159.1 million, which consisted of cash and interest-bearing money market funds. As of September 30, 2024, we had an operating lease liability and a finance lease liability of $2.0 million and $1.0 million, respectively. Interest income and expenses are sensitive to changes in the general level of interest rates. However, due to the nature of these investments, an immediate 10% change in market interest rates would not have a material effect on the fair market value of our investment portfolio.</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ind w:left="760" w:right="20"/>
        <w:spacing w:after="0" w:line="266"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76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79" w:lineRule="exact"/>
        <w:rPr>
          <w:sz w:val="20"/>
          <w:szCs w:val="20"/>
          <w:color w:val="auto"/>
        </w:rPr>
      </w:pPr>
    </w:p>
    <w:p>
      <w:pPr>
        <w:ind w:left="760" w:right="10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2024, the end of the period covered by this Quarterly Report. Based on the evaluation of our disclosure controls and procedures as of September 30, 2024,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760" w:right="160"/>
        <w:spacing w:after="0" w:line="261" w:lineRule="auto"/>
        <w:rPr>
          <w:sz w:val="20"/>
          <w:szCs w:val="20"/>
          <w:color w:val="auto"/>
        </w:rPr>
      </w:pPr>
      <w:r>
        <w:rPr>
          <w:rFonts w:ascii="Times New Roman" w:cs="Times New Roman" w:eastAsia="Times New Roman" w:hAnsi="Times New Roman"/>
          <w:sz w:val="18"/>
          <w:szCs w:val="18"/>
          <w:color w:val="auto"/>
        </w:rPr>
        <w:t>On June 20, 2024, we completed the Merger. Other than any changes relating to the integration of internal controls in connection with the Merger, there were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ind w:left="760" w:right="140"/>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60" w:right="80"/>
        <w:spacing w:after="0" w:line="258" w:lineRule="auto"/>
        <w:rPr>
          <w:sz w:val="20"/>
          <w:szCs w:val="20"/>
          <w:color w:val="auto"/>
        </w:rPr>
      </w:pPr>
      <w:r>
        <w:rPr>
          <w:rFonts w:ascii="Times New Roman" w:cs="Times New Roman" w:eastAsia="Times New Roman" w:hAnsi="Times New Roman"/>
          <w:sz w:val="18"/>
          <w:szCs w:val="18"/>
          <w:color w:val="auto"/>
        </w:rPr>
        <w:t xml:space="preserve">Prior to the closing of the merger between AVROBIO and Tectonic Therapeutic, Inc. on June 20, 2024, three actions were filed by purported stockholders of AVROBIO in connection with the Merger. One action has been filed in the United States District Court for the Southern District of New York captioned </w:t>
      </w:r>
      <w:r>
        <w:rPr>
          <w:rFonts w:ascii="Times New Roman" w:cs="Times New Roman" w:eastAsia="Times New Roman" w:hAnsi="Times New Roman"/>
          <w:sz w:val="18"/>
          <w:szCs w:val="18"/>
          <w:i w:val="1"/>
          <w:iCs w:val="1"/>
          <w:color w:val="auto"/>
        </w:rPr>
        <w:t>Garofalo v. Avrobio, Inc. et al.</w:t>
      </w:r>
      <w:r>
        <w:rPr>
          <w:rFonts w:ascii="Times New Roman" w:cs="Times New Roman" w:eastAsia="Times New Roman" w:hAnsi="Times New Roman"/>
          <w:sz w:val="18"/>
          <w:szCs w:val="18"/>
          <w:color w:val="auto"/>
        </w:rPr>
        <w:t xml:space="preserve">, 24-cv-1493 (filed February 27, 2024). Two actions have been filed in the Supreme Court of New York, captioned </w:t>
      </w:r>
      <w:r>
        <w:rPr>
          <w:rFonts w:ascii="Times New Roman" w:cs="Times New Roman" w:eastAsia="Times New Roman" w:hAnsi="Times New Roman"/>
          <w:sz w:val="18"/>
          <w:szCs w:val="18"/>
          <w:i w:val="1"/>
          <w:iCs w:val="1"/>
          <w:color w:val="auto"/>
        </w:rPr>
        <w:t>Price v. Avrobio, Inc., et al.</w:t>
      </w:r>
      <w:r>
        <w:rPr>
          <w:rFonts w:ascii="Times New Roman" w:cs="Times New Roman" w:eastAsia="Times New Roman" w:hAnsi="Times New Roman"/>
          <w:sz w:val="18"/>
          <w:szCs w:val="18"/>
          <w:color w:val="auto"/>
        </w:rPr>
        <w:t xml:space="preserve">, No. 652555/2024 (filed May 17, 2024) and </w:t>
      </w:r>
      <w:r>
        <w:rPr>
          <w:rFonts w:ascii="Times New Roman" w:cs="Times New Roman" w:eastAsia="Times New Roman" w:hAnsi="Times New Roman"/>
          <w:sz w:val="18"/>
          <w:szCs w:val="18"/>
          <w:i w:val="1"/>
          <w:iCs w:val="1"/>
          <w:color w:val="auto"/>
        </w:rPr>
        <w:t>Keller v. Avrobio, Inc., et al.</w:t>
      </w:r>
      <w:r>
        <w:rPr>
          <w:rFonts w:ascii="Times New Roman" w:cs="Times New Roman" w:eastAsia="Times New Roman" w:hAnsi="Times New Roman"/>
          <w:sz w:val="18"/>
          <w:szCs w:val="18"/>
          <w:color w:val="auto"/>
        </w:rPr>
        <w:t>, No. 652597/2024 (filed May 21, 2024). The foregoing actions are referred to as the “Merger Actions.”</w:t>
      </w:r>
    </w:p>
    <w:p>
      <w:pPr>
        <w:spacing w:after="0" w:line="75" w:lineRule="exact"/>
        <w:rPr>
          <w:sz w:val="20"/>
          <w:szCs w:val="20"/>
          <w:color w:val="auto"/>
        </w:rPr>
      </w:pPr>
    </w:p>
    <w:p>
      <w:pPr>
        <w:ind w:left="760" w:right="40"/>
        <w:spacing w:after="0" w:line="256" w:lineRule="auto"/>
        <w:rPr>
          <w:sz w:val="20"/>
          <w:szCs w:val="20"/>
          <w:color w:val="auto"/>
        </w:rPr>
      </w:pPr>
      <w:r>
        <w:rPr>
          <w:rFonts w:ascii="Times New Roman" w:cs="Times New Roman" w:eastAsia="Times New Roman" w:hAnsi="Times New Roman"/>
          <w:sz w:val="18"/>
          <w:szCs w:val="18"/>
          <w:color w:val="auto"/>
        </w:rPr>
        <w:t xml:space="preserve">The Merger Actions generally allege that the registration statement filed by AVROBIO on February 14, 2024, as amended on March 26, 2024, April 15, 2024, and April 29, 2024 (the “Registration Statement”) misrepresents and/or omits certain purportedly material information in connection with the Merger, potential conflicts of interest of AVROBIO’s officers and directors, and the events that led to the signing of the definitive merger agreement. The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Keller</w:t>
      </w:r>
      <w:r>
        <w:rPr>
          <w:rFonts w:ascii="Times New Roman" w:cs="Times New Roman" w:eastAsia="Times New Roman" w:hAnsi="Times New Roman"/>
          <w:sz w:val="18"/>
          <w:szCs w:val="18"/>
          <w:color w:val="auto"/>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w:t>
      </w:r>
    </w:p>
    <w:p>
      <w:pPr>
        <w:spacing w:after="0" w:line="79"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AVROBIO also received demand letters from eleven purported AVROBIO stockholders (the “Demands”). The Demands generally assert that the Registration Statement misrepresents and/or omits certain purportedly material information relating to the Merger.</w:t>
      </w:r>
    </w:p>
    <w:p>
      <w:pPr>
        <w:spacing w:after="0" w:line="54"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8"/>
          <w:szCs w:val="18"/>
          <w:color w:val="auto"/>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 Following the issuance of the Supplemental Disclosures, each of the Merger Actions was voluntarily dismissed and each of the Demands with withdrawn.</w:t>
      </w:r>
    </w:p>
    <w:p>
      <w:pPr>
        <w:spacing w:after="0" w:line="81"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8"/>
          <w:szCs w:val="18"/>
          <w:color w:val="auto"/>
        </w:rPr>
        <w:t>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w:t>
      </w:r>
    </w:p>
    <w:p>
      <w:pPr>
        <w:spacing w:after="0" w:line="75" w:lineRule="exact"/>
        <w:rPr>
          <w:sz w:val="20"/>
          <w:szCs w:val="20"/>
          <w:color w:val="auto"/>
        </w:rPr>
      </w:pPr>
    </w:p>
    <w:p>
      <w:pPr>
        <w:ind w:left="760" w:right="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Although the results of ordinary course litigation and claims cannot be predicted with certainty, we currently believe that the final outcome of these ordinary course matters will not have a material adverse effect on our business, financial condition, results of operations or cash flows. Regardless of the outcome, litigation can have an adverse impact because of defense and settlement costs, diversion of management resources and other factors.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76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general economic and business risks and the other information in this Quarterly Report.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760" w:right="200"/>
        <w:spacing w:after="0" w:line="266" w:lineRule="auto"/>
        <w:rPr>
          <w:sz w:val="20"/>
          <w:szCs w:val="20"/>
          <w:color w:val="auto"/>
        </w:rPr>
      </w:pPr>
      <w:r>
        <w:rPr>
          <w:rFonts w:ascii="Times New Roman" w:cs="Times New Roman" w:eastAsia="Times New Roman" w:hAnsi="Times New Roman"/>
          <w:sz w:val="18"/>
          <w:szCs w:val="18"/>
          <w:color w:val="auto"/>
        </w:rPr>
        <w:t>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including the following:</w:t>
      </w:r>
    </w:p>
    <w:p>
      <w:pPr>
        <w:spacing w:after="0" w:line="68" w:lineRule="exact"/>
        <w:rPr>
          <w:sz w:val="20"/>
          <w:szCs w:val="20"/>
          <w:color w:val="auto"/>
        </w:rPr>
      </w:pPr>
    </w:p>
    <w:p>
      <w:pPr>
        <w:ind w:left="760" w:right="180" w:hanging="3"/>
        <w:spacing w:after="0" w:line="282" w:lineRule="auto"/>
        <w:tabs>
          <w:tab w:leader="none" w:pos="10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net losses in every year since our inception, and expect to continue to incur net losses in the future.</w:t>
      </w:r>
    </w:p>
    <w:p>
      <w:pPr>
        <w:spacing w:after="0" w:line="53" w:lineRule="exact"/>
        <w:rPr>
          <w:rFonts w:ascii="Times New Roman" w:cs="Times New Roman" w:eastAsia="Times New Roman" w:hAnsi="Times New Roman"/>
          <w:sz w:val="18"/>
          <w:szCs w:val="18"/>
          <w:color w:val="auto"/>
        </w:rPr>
      </w:pPr>
    </w:p>
    <w:p>
      <w:pPr>
        <w:ind w:left="760" w:right="20" w:hanging="3"/>
        <w:spacing w:after="0" w:line="266" w:lineRule="auto"/>
        <w:tabs>
          <w:tab w:leader="none" w:pos="10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67" w:lineRule="exact"/>
        <w:rPr>
          <w:rFonts w:ascii="Times New Roman" w:cs="Times New Roman" w:eastAsia="Times New Roman" w:hAnsi="Times New Roman"/>
          <w:sz w:val="18"/>
          <w:szCs w:val="18"/>
          <w:color w:val="auto"/>
        </w:rPr>
      </w:pPr>
    </w:p>
    <w:p>
      <w:pPr>
        <w:ind w:left="760" w:right="20" w:hanging="3"/>
        <w:spacing w:after="0" w:line="282" w:lineRule="auto"/>
        <w:tabs>
          <w:tab w:leader="none" w:pos="10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therapeutic discovery and development and our GEODe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platform may never result in the regulatory approval of a product candidate.</w:t>
      </w:r>
    </w:p>
    <w:p>
      <w:pPr>
        <w:spacing w:after="0" w:line="53" w:lineRule="exact"/>
        <w:rPr>
          <w:rFonts w:ascii="Times New Roman" w:cs="Times New Roman" w:eastAsia="Times New Roman" w:hAnsi="Times New Roman"/>
          <w:sz w:val="18"/>
          <w:szCs w:val="18"/>
          <w:color w:val="auto"/>
        </w:rPr>
      </w:pPr>
    </w:p>
    <w:p>
      <w:pPr>
        <w:jc w:val="both"/>
        <w:ind w:left="760" w:right="100" w:hanging="3"/>
        <w:spacing w:after="0" w:line="266" w:lineRule="auto"/>
        <w:tabs>
          <w:tab w:leader="none" w:pos="10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p>
    <w:p>
      <w:pPr>
        <w:spacing w:after="0" w:line="67" w:lineRule="exact"/>
        <w:rPr>
          <w:rFonts w:ascii="Times New Roman" w:cs="Times New Roman" w:eastAsia="Times New Roman" w:hAnsi="Times New Roman"/>
          <w:sz w:val="18"/>
          <w:szCs w:val="18"/>
          <w:color w:val="auto"/>
        </w:rPr>
      </w:pPr>
    </w:p>
    <w:p>
      <w:pPr>
        <w:ind w:left="760" w:right="300" w:hanging="3"/>
        <w:spacing w:after="0" w:line="282" w:lineRule="auto"/>
        <w:tabs>
          <w:tab w:leader="none" w:pos="10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53" w:lineRule="exact"/>
        <w:rPr>
          <w:rFonts w:ascii="Times New Roman" w:cs="Times New Roman" w:eastAsia="Times New Roman" w:hAnsi="Times New Roman"/>
          <w:sz w:val="18"/>
          <w:szCs w:val="18"/>
          <w:color w:val="auto"/>
        </w:rPr>
      </w:pPr>
    </w:p>
    <w:p>
      <w:pPr>
        <w:ind w:left="760" w:right="300" w:hanging="3"/>
        <w:spacing w:after="0" w:line="282" w:lineRule="auto"/>
        <w:tabs>
          <w:tab w:leader="none" w:pos="10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commercialize any product candidate for which we receive regulatory approval, or experience significant delays in doing so, our business will be materially harmed.</w:t>
      </w:r>
    </w:p>
    <w:p>
      <w:pPr>
        <w:spacing w:after="0" w:line="53" w:lineRule="exact"/>
        <w:rPr>
          <w:rFonts w:ascii="Times New Roman" w:cs="Times New Roman" w:eastAsia="Times New Roman" w:hAnsi="Times New Roman"/>
          <w:sz w:val="18"/>
          <w:szCs w:val="18"/>
          <w:color w:val="auto"/>
        </w:rPr>
      </w:pPr>
    </w:p>
    <w:p>
      <w:pPr>
        <w:ind w:left="760" w:right="280" w:hanging="3"/>
        <w:spacing w:after="0" w:line="282" w:lineRule="auto"/>
        <w:tabs>
          <w:tab w:leader="none" w:pos="10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53" w:lineRule="exact"/>
        <w:rPr>
          <w:rFonts w:ascii="Times New Roman" w:cs="Times New Roman" w:eastAsia="Times New Roman" w:hAnsi="Times New Roman"/>
          <w:sz w:val="18"/>
          <w:szCs w:val="18"/>
          <w:color w:val="auto"/>
        </w:rPr>
      </w:pPr>
    </w:p>
    <w:p>
      <w:pPr>
        <w:ind w:left="760" w:right="160" w:hanging="3"/>
        <w:spacing w:after="0" w:line="282" w:lineRule="auto"/>
        <w:tabs>
          <w:tab w:leader="none" w:pos="10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would harm our business.</w:t>
      </w:r>
    </w:p>
    <w:p>
      <w:pPr>
        <w:spacing w:after="0" w:line="53" w:lineRule="exact"/>
        <w:rPr>
          <w:rFonts w:ascii="Times New Roman" w:cs="Times New Roman" w:eastAsia="Times New Roman" w:hAnsi="Times New Roman"/>
          <w:sz w:val="18"/>
          <w:szCs w:val="18"/>
          <w:color w:val="auto"/>
        </w:rPr>
      </w:pPr>
    </w:p>
    <w:p>
      <w:pPr>
        <w:ind w:left="760" w:right="40" w:hanging="3"/>
        <w:spacing w:after="0" w:line="282" w:lineRule="auto"/>
        <w:tabs>
          <w:tab w:leader="none" w:pos="10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rely in the future on the use of manufacturing suites in third-party facilities or on third parties to manufacture TX45 and any other product candidates, and we may rely on third parties to produce and process our products, if approved.</w:t>
      </w:r>
    </w:p>
    <w:p>
      <w:pPr>
        <w:spacing w:after="0" w:line="53" w:lineRule="exact"/>
        <w:rPr>
          <w:rFonts w:ascii="Times New Roman" w:cs="Times New Roman" w:eastAsia="Times New Roman" w:hAnsi="Times New Roman"/>
          <w:sz w:val="18"/>
          <w:szCs w:val="18"/>
          <w:color w:val="auto"/>
        </w:rPr>
      </w:pPr>
    </w:p>
    <w:p>
      <w:pPr>
        <w:ind w:left="760" w:right="700" w:hanging="3"/>
        <w:spacing w:after="0" w:line="282" w:lineRule="auto"/>
        <w:tabs>
          <w:tab w:leader="none" w:pos="10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if we are unable to use third-party manufacturing suites or if the third-party manufacturers encounter difficulties in production.</w:t>
      </w:r>
    </w:p>
    <w:p>
      <w:pPr>
        <w:spacing w:after="0" w:line="53" w:lineRule="exact"/>
        <w:rPr>
          <w:rFonts w:ascii="Times New Roman" w:cs="Times New Roman" w:eastAsia="Times New Roman" w:hAnsi="Times New Roman"/>
          <w:sz w:val="18"/>
          <w:szCs w:val="18"/>
          <w:color w:val="auto"/>
        </w:rPr>
      </w:pPr>
    </w:p>
    <w:p>
      <w:pPr>
        <w:ind w:left="760" w:right="220" w:hanging="3"/>
        <w:spacing w:after="0" w:line="282" w:lineRule="auto"/>
        <w:tabs>
          <w:tab w:leader="none" w:pos="10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spacing w:after="0" w:line="53"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 and the market price of the common stock may drop.</w:t>
      </w:r>
    </w:p>
    <w:p>
      <w:pPr>
        <w:spacing w:after="0" w:line="117" w:lineRule="exact"/>
        <w:rPr>
          <w:rFonts w:ascii="Times New Roman" w:cs="Times New Roman" w:eastAsia="Times New Roman" w:hAnsi="Times New Roman"/>
          <w:sz w:val="18"/>
          <w:szCs w:val="18"/>
          <w:color w:val="auto"/>
        </w:rPr>
      </w:pPr>
    </w:p>
    <w:p>
      <w:pPr>
        <w:ind w:left="760" w:right="100" w:hanging="3"/>
        <w:spacing w:after="0" w:line="282" w:lineRule="auto"/>
        <w:tabs>
          <w:tab w:leader="none" w:pos="10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or commercialize our product candidates or otherwise implement our business plan.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4" w:name="page35"/>
    <w:bookmarkEnd w:id="34"/>
    <w:p>
      <w:pPr>
        <w:ind w:left="3"/>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Cash Needs</w:t>
      </w:r>
    </w:p>
    <w:p>
      <w:pPr>
        <w:spacing w:after="0" w:line="225" w:lineRule="exact"/>
        <w:rPr>
          <w:sz w:val="20"/>
          <w:szCs w:val="20"/>
          <w:color w:val="auto"/>
        </w:rPr>
      </w:pPr>
    </w:p>
    <w:p>
      <w:pPr>
        <w:ind w:left="3"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incurred net losses in every year since our inception. We expect to continue to incur net losses in the future.</w:t>
      </w:r>
    </w:p>
    <w:p>
      <w:pPr>
        <w:spacing w:after="0" w:line="159" w:lineRule="exact"/>
        <w:rPr>
          <w:sz w:val="20"/>
          <w:szCs w:val="20"/>
          <w:color w:val="auto"/>
        </w:rPr>
      </w:pPr>
    </w:p>
    <w:p>
      <w:pPr>
        <w:ind w:left="3"/>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the Merger in June 2024 and have been operating under this structure for only a short time.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three months ended September 30, 2024 and 2023, we reported a net loss of $17.7 million and $10.1 million, respectively. As of September 30, 2024, we had an accumulated deficit of $136.2 million. We expect to continue to incur significant losses for the foreseeable future, and expect these losses to increase as we continue our research and development of, and seek regulatory approvals for, our lead product candidate, TX45, along with any future product candidates we may develop.</w:t>
      </w:r>
    </w:p>
    <w:p>
      <w:pPr>
        <w:spacing w:after="0" w:line="8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17" w:lineRule="exact"/>
        <w:rPr>
          <w:sz w:val="20"/>
          <w:szCs w:val="20"/>
          <w:color w:val="auto"/>
        </w:rPr>
      </w:pPr>
    </w:p>
    <w:p>
      <w:pPr>
        <w:ind w:left="3" w:right="160" w:hanging="3"/>
        <w:spacing w:after="0" w:line="282" w:lineRule="auto"/>
        <w:tabs>
          <w:tab w:leader="none" w:pos="2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clinical and preclinical-stage product candidates and discovery-stage programs, including the continued development of our lead product candidate TX45;</w:t>
      </w:r>
    </w:p>
    <w:p>
      <w:pPr>
        <w:spacing w:after="0" w:line="53" w:lineRule="exact"/>
        <w:rPr>
          <w:rFonts w:ascii="Times New Roman" w:cs="Times New Roman" w:eastAsia="Times New Roman" w:hAnsi="Times New Roman"/>
          <w:sz w:val="18"/>
          <w:szCs w:val="18"/>
          <w:color w:val="auto"/>
        </w:rPr>
      </w:pPr>
    </w:p>
    <w:p>
      <w:pPr>
        <w:ind w:left="3" w:right="520" w:hanging="3"/>
        <w:spacing w:after="0" w:line="282" w:lineRule="auto"/>
        <w:tabs>
          <w:tab w:leader="none" w:pos="2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research and development activities to identify and develop product candidates using our proprietary discovery approach;</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under in-license or collaboration agreements;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3" w:right="80" w:hanging="3"/>
        <w:spacing w:after="0" w:line="282" w:lineRule="auto"/>
        <w:tabs>
          <w:tab w:leader="none" w:pos="2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53" w:lineRule="exact"/>
        <w:rPr>
          <w:rFonts w:ascii="Times New Roman" w:cs="Times New Roman" w:eastAsia="Times New Roman" w:hAnsi="Times New Roman"/>
          <w:sz w:val="18"/>
          <w:szCs w:val="18"/>
          <w:color w:val="auto"/>
        </w:rPr>
      </w:pPr>
    </w:p>
    <w:p>
      <w:pPr>
        <w:ind w:left="3" w:right="120" w:hanging="3"/>
        <w:spacing w:after="0" w:line="282" w:lineRule="auto"/>
        <w:tabs>
          <w:tab w:leader="none" w:pos="2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medical affairs and distribution infrastructure to commercialize any products for which we may obtain marketing approval and intend to commercialize on our own or jointly with third parties;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in-license other technologies; and</w:t>
      </w:r>
    </w:p>
    <w:p>
      <w:pPr>
        <w:spacing w:after="0" w:line="117" w:lineRule="exact"/>
        <w:rPr>
          <w:rFonts w:ascii="Times New Roman" w:cs="Times New Roman" w:eastAsia="Times New Roman" w:hAnsi="Times New Roman"/>
          <w:sz w:val="18"/>
          <w:szCs w:val="18"/>
          <w:color w:val="auto"/>
        </w:rPr>
      </w:pPr>
    </w:p>
    <w:p>
      <w:pPr>
        <w:ind w:left="3" w:right="940" w:hanging="3"/>
        <w:spacing w:after="0" w:line="282" w:lineRule="auto"/>
        <w:tabs>
          <w:tab w:leader="none" w:pos="2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manufacturing challenges, safety issues or other regulatory challenges.</w:t>
      </w:r>
    </w:p>
    <w:p>
      <w:pPr>
        <w:spacing w:after="0" w:line="54" w:lineRule="exact"/>
        <w:rPr>
          <w:sz w:val="20"/>
          <w:szCs w:val="20"/>
          <w:color w:val="auto"/>
        </w:rPr>
      </w:pPr>
    </w:p>
    <w:p>
      <w:pPr>
        <w:ind w:left="3" w:right="60"/>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w:t>
      </w:r>
    </w:p>
    <w:p>
      <w:pPr>
        <w:spacing w:after="0" w:line="80" w:lineRule="exact"/>
        <w:rPr>
          <w:sz w:val="20"/>
          <w:szCs w:val="20"/>
          <w:color w:val="auto"/>
        </w:rPr>
      </w:pPr>
    </w:p>
    <w:p>
      <w:pPr>
        <w:ind w:left="3" w:right="20"/>
        <w:spacing w:after="0" w:line="258"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83"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197" w:right="359" w:bottom="1440" w:gutter="0" w:footer="0" w:header="0"/>
        </w:sectPr>
      </w:pPr>
    </w:p>
    <w:bookmarkStart w:id="35" w:name="page36"/>
    <w:bookmarkEnd w:id="35"/>
    <w:p>
      <w:pPr>
        <w:ind w:left="3" w:right="7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175" w:lineRule="exact"/>
        <w:rPr>
          <w:sz w:val="20"/>
          <w:szCs w:val="20"/>
          <w:color w:val="auto"/>
        </w:rPr>
      </w:pPr>
    </w:p>
    <w:p>
      <w:pPr>
        <w:ind w:left="3" w:right="40"/>
        <w:spacing w:after="0" w:line="254"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sale of Series A convertible preferred stock, convertible promissory notes and the issuance of SAFEs. We are also planning to fund our operations with the funds we received in the Merger and pursuant to the Subscription Agreement. We expect our expenses to increase in connection with our ongoing activities, particularly as we continue our Phase 1b and Phase 2 clinical trials of TX45, pursue manufacturing activities for our HHT product candidate, TX2100, and initiate health authority and/or IND enabling safety studies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w:t>
      </w:r>
    </w:p>
    <w:p>
      <w:pPr>
        <w:spacing w:after="0" w:line="80" w:lineRule="exact"/>
        <w:rPr>
          <w:sz w:val="20"/>
          <w:szCs w:val="20"/>
          <w:color w:val="auto"/>
        </w:rPr>
      </w:pPr>
    </w:p>
    <w:p>
      <w:pPr>
        <w:ind w:left="3" w:right="240"/>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enable us to fund our operating expenses and capital expenditure requirements into mid-2027. We have based this estimate on assumptions that may prove to be wrong, and we could use our capital resources sooner than we currently expect. Future capital requirements for TX45 or our preclinical programs will depend on many factors, including:</w:t>
      </w:r>
    </w:p>
    <w:p>
      <w:pPr>
        <w:spacing w:after="0" w:line="68" w:lineRule="exact"/>
        <w:rPr>
          <w:sz w:val="20"/>
          <w:szCs w:val="20"/>
          <w:color w:val="auto"/>
        </w:rPr>
      </w:pPr>
    </w:p>
    <w:p>
      <w:pPr>
        <w:ind w:left="3" w:right="240" w:hanging="3"/>
        <w:spacing w:after="0" w:line="266" w:lineRule="auto"/>
        <w:tabs>
          <w:tab w:leader="none" w:pos="2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w:t>
      </w:r>
    </w:p>
    <w:p>
      <w:pPr>
        <w:spacing w:after="0" w:line="67" w:lineRule="exact"/>
        <w:rPr>
          <w:rFonts w:ascii="Times New Roman" w:cs="Times New Roman" w:eastAsia="Times New Roman" w:hAnsi="Times New Roman"/>
          <w:sz w:val="18"/>
          <w:szCs w:val="18"/>
          <w:color w:val="auto"/>
        </w:rPr>
      </w:pPr>
    </w:p>
    <w:p>
      <w:pPr>
        <w:ind w:left="3" w:right="300" w:hanging="3"/>
        <w:spacing w:after="0" w:line="282" w:lineRule="auto"/>
        <w:tabs>
          <w:tab w:leader="none" w:pos="2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we are required to make or are eligible to receive under our license agreements with Harvard and other license agreements, as applicable;</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identify and decide to develop;</w:t>
      </w:r>
    </w:p>
    <w:p>
      <w:pPr>
        <w:spacing w:after="0" w:line="117" w:lineRule="exact"/>
        <w:rPr>
          <w:rFonts w:ascii="Times New Roman" w:cs="Times New Roman" w:eastAsia="Times New Roman" w:hAnsi="Times New Roman"/>
          <w:sz w:val="18"/>
          <w:szCs w:val="18"/>
          <w:color w:val="auto"/>
        </w:rPr>
      </w:pPr>
    </w:p>
    <w:p>
      <w:pPr>
        <w:ind w:left="3" w:right="260" w:hanging="3"/>
        <w:spacing w:after="0" w:line="282" w:lineRule="auto"/>
        <w:tabs>
          <w:tab w:leader="none" w:pos="2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or expanded pre-clinical studies and clinical trials beyond those that we plan to conduct with respect to our current and future product candidates;</w:t>
      </w:r>
    </w:p>
    <w:p>
      <w:pPr>
        <w:spacing w:after="0" w:line="53" w:lineRule="exact"/>
        <w:rPr>
          <w:rFonts w:ascii="Times New Roman" w:cs="Times New Roman" w:eastAsia="Times New Roman" w:hAnsi="Times New Roman"/>
          <w:sz w:val="18"/>
          <w:szCs w:val="18"/>
          <w:color w:val="auto"/>
        </w:rPr>
      </w:pPr>
    </w:p>
    <w:p>
      <w:pPr>
        <w:ind w:left="3" w:right="140" w:hanging="3"/>
        <w:spacing w:after="0" w:line="282" w:lineRule="auto"/>
        <w:tabs>
          <w:tab w:leader="none" w:pos="2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the organization to the size needed to allow for the research, development and potential commercialization of our current or any future product candidates;</w:t>
      </w:r>
    </w:p>
    <w:p>
      <w:pPr>
        <w:spacing w:after="0" w:line="53" w:lineRule="exact"/>
        <w:rPr>
          <w:rFonts w:ascii="Times New Roman" w:cs="Times New Roman" w:eastAsia="Times New Roman" w:hAnsi="Times New Roman"/>
          <w:sz w:val="18"/>
          <w:szCs w:val="18"/>
          <w:color w:val="auto"/>
        </w:rPr>
      </w:pPr>
    </w:p>
    <w:p>
      <w:pPr>
        <w:ind w:left="3" w:hanging="3"/>
        <w:spacing w:after="0" w:line="282" w:lineRule="auto"/>
        <w:tabs>
          <w:tab w:leader="none" w:pos="2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maintaining and enforcing patents or defending against infringement or other claims raised by third parties;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our existing license and collaboration agreements and the entry into new license and collaboration agreements;</w:t>
      </w:r>
    </w:p>
    <w:p>
      <w:pPr>
        <w:spacing w:after="0" w:line="117" w:lineRule="exact"/>
        <w:rPr>
          <w:rFonts w:ascii="Times New Roman" w:cs="Times New Roman" w:eastAsia="Times New Roman" w:hAnsi="Times New Roman"/>
          <w:sz w:val="18"/>
          <w:szCs w:val="18"/>
          <w:color w:val="auto"/>
        </w:rPr>
      </w:pPr>
    </w:p>
    <w:p>
      <w:pPr>
        <w:ind w:left="3" w:right="460" w:hanging="3"/>
        <w:spacing w:after="0" w:line="282" w:lineRule="auto"/>
        <w:tabs>
          <w:tab w:leader="none" w:pos="2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 for our product candidates and any delays we may encounter as a result of evolving regulatory requirements or adverse results with respect to any of our product candidates;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outsourced manufacturing activities;</w:t>
      </w:r>
    </w:p>
    <w:p>
      <w:pPr>
        <w:spacing w:after="0" w:line="117" w:lineRule="exact"/>
        <w:rPr>
          <w:rFonts w:ascii="Times New Roman" w:cs="Times New Roman" w:eastAsia="Times New Roman" w:hAnsi="Times New Roman"/>
          <w:sz w:val="18"/>
          <w:szCs w:val="18"/>
          <w:color w:val="auto"/>
        </w:rPr>
      </w:pPr>
    </w:p>
    <w:p>
      <w:pPr>
        <w:ind w:left="3" w:right="600" w:hanging="3"/>
        <w:spacing w:after="0" w:line="282" w:lineRule="auto"/>
        <w:tabs>
          <w:tab w:leader="none" w:pos="2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53" w:lineRule="exact"/>
        <w:rPr>
          <w:rFonts w:ascii="Times New Roman" w:cs="Times New Roman" w:eastAsia="Times New Roman" w:hAnsi="Times New Roman"/>
          <w:sz w:val="18"/>
          <w:szCs w:val="18"/>
          <w:color w:val="auto"/>
        </w:rPr>
      </w:pPr>
    </w:p>
    <w:p>
      <w:pPr>
        <w:ind w:left="3" w:right="80" w:hanging="3"/>
        <w:spacing w:after="0" w:line="282" w:lineRule="auto"/>
        <w:tabs>
          <w:tab w:leader="none" w:pos="2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if any, we may derive either directly or in the form of royalty payments from future sales of our product candidates, if approved; and</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sz w:val="20"/>
          <w:szCs w:val="20"/>
          <w:color w:val="auto"/>
        </w:rPr>
      </w:pPr>
    </w:p>
    <w:p>
      <w:pPr>
        <w:ind w:left="3" w:right="200"/>
        <w:spacing w:after="0" w:line="281" w:lineRule="auto"/>
        <w:rPr>
          <w:sz w:val="20"/>
          <w:szCs w:val="20"/>
          <w:color w:val="auto"/>
        </w:rPr>
      </w:pPr>
      <w:r>
        <w:rPr>
          <w:rFonts w:ascii="Times New Roman" w:cs="Times New Roman" w:eastAsia="Times New Roman" w:hAnsi="Times New Roman"/>
          <w:sz w:val="17"/>
          <w:szCs w:val="17"/>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w:t>
      </w:r>
    </w:p>
    <w:p>
      <w:pPr>
        <w:spacing w:after="0" w:line="56" w:lineRule="exact"/>
        <w:rPr>
          <w:sz w:val="20"/>
          <w:szCs w:val="20"/>
          <w:color w:val="auto"/>
        </w:rPr>
      </w:pPr>
    </w:p>
    <w:p>
      <w:pPr>
        <w:jc w:val="both"/>
        <w:ind w:left="3" w:right="20"/>
        <w:spacing w:after="0" w:line="261" w:lineRule="auto"/>
        <w:rPr>
          <w:sz w:val="20"/>
          <w:szCs w:val="20"/>
          <w:color w:val="auto"/>
        </w:rPr>
      </w:pPr>
      <w:r>
        <w:rPr>
          <w:rFonts w:ascii="Times New Roman" w:cs="Times New Roman" w:eastAsia="Times New Roman" w:hAnsi="Times New Roman"/>
          <w:sz w:val="18"/>
          <w:szCs w:val="18"/>
          <w:color w:val="auto"/>
        </w:rPr>
        <w:t>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in the Middle East or other factors could also adversely impact our ability to access capital as and when needed. If adequate funds are not available on commercially acceptable terms when needed, we may be</w:t>
      </w:r>
    </w:p>
    <w:p>
      <w:pPr>
        <w:spacing w:after="0" w:line="180"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197" w:right="379" w:bottom="1440" w:gutter="0" w:footer="0" w:header="0"/>
        </w:sectPr>
      </w:pPr>
    </w:p>
    <w:bookmarkStart w:id="36" w:name="page37"/>
    <w:bookmarkEnd w:id="36"/>
    <w:p>
      <w:pPr>
        <w:ind w:left="3" w:right="240"/>
        <w:spacing w:after="0" w:line="282" w:lineRule="auto"/>
        <w:rPr>
          <w:sz w:val="20"/>
          <w:szCs w:val="20"/>
          <w:color w:val="auto"/>
        </w:rPr>
      </w:pPr>
      <w:r>
        <w:rPr>
          <w:rFonts w:ascii="Times New Roman" w:cs="Times New Roman" w:eastAsia="Times New Roman" w:hAnsi="Times New Roman"/>
          <w:sz w:val="18"/>
          <w:szCs w:val="18"/>
          <w:color w:val="auto"/>
        </w:rPr>
        <w:t>forced to delay, reduce or terminate the development or commercialization of all or part of our research programs or product candidates or we may be unable to take advantage of future business opportunities.</w:t>
      </w:r>
    </w:p>
    <w:p>
      <w:pPr>
        <w:spacing w:after="0" w:line="158" w:lineRule="exact"/>
        <w:rPr>
          <w:sz w:val="20"/>
          <w:szCs w:val="20"/>
          <w:color w:val="auto"/>
        </w:rPr>
      </w:pPr>
    </w:p>
    <w:p>
      <w:pPr>
        <w:ind w:left="3"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will cause dilution to our stockholders, and may restrict our operations, or require us to relinquish rights to our product candidates.</w:t>
      </w:r>
    </w:p>
    <w:p>
      <w:pPr>
        <w:spacing w:after="0" w:line="159" w:lineRule="exact"/>
        <w:rPr>
          <w:sz w:val="20"/>
          <w:szCs w:val="20"/>
          <w:color w:val="auto"/>
        </w:rPr>
      </w:pPr>
    </w:p>
    <w:p>
      <w:pPr>
        <w:ind w:left="3" w:right="80"/>
        <w:spacing w:after="0" w:line="273"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w:t>
      </w:r>
    </w:p>
    <w:p>
      <w:pPr>
        <w:spacing w:after="0" w:line="63" w:lineRule="exact"/>
        <w:rPr>
          <w:sz w:val="20"/>
          <w:szCs w:val="20"/>
          <w:color w:val="auto"/>
        </w:rPr>
      </w:pPr>
    </w:p>
    <w:p>
      <w:pPr>
        <w:ind w:left="3" w:right="80"/>
        <w:spacing w:after="0" w:line="258" w:lineRule="auto"/>
        <w:rPr>
          <w:sz w:val="20"/>
          <w:szCs w:val="20"/>
          <w:color w:val="auto"/>
        </w:rPr>
      </w:pPr>
      <w:r>
        <w:rPr>
          <w:rFonts w:ascii="Times New Roman" w:cs="Times New Roman" w:eastAsia="Times New Roman" w:hAnsi="Times New Roman"/>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1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225" w:lineRule="exact"/>
        <w:rPr>
          <w:sz w:val="20"/>
          <w:szCs w:val="20"/>
          <w:color w:val="auto"/>
        </w:rPr>
      </w:pPr>
    </w:p>
    <w:p>
      <w:pPr>
        <w:ind w:left="3"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therapeutic discovery and development and our GEODe</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platform may never result in the regulatory approval of a product candidate.</w:t>
      </w:r>
    </w:p>
    <w:p>
      <w:pPr>
        <w:spacing w:after="0" w:line="159" w:lineRule="exact"/>
        <w:rPr>
          <w:sz w:val="20"/>
          <w:szCs w:val="20"/>
          <w:color w:val="auto"/>
        </w:rPr>
      </w:pPr>
    </w:p>
    <w:p>
      <w:pPr>
        <w:ind w:left="3"/>
        <w:spacing w:after="0" w:line="256" w:lineRule="auto"/>
        <w:rPr>
          <w:sz w:val="20"/>
          <w:szCs w:val="20"/>
          <w:color w:val="auto"/>
        </w:rPr>
      </w:pPr>
      <w:r>
        <w:rPr>
          <w:rFonts w:ascii="Times New Roman" w:cs="Times New Roman" w:eastAsia="Times New Roman" w:hAnsi="Times New Roman"/>
          <w:sz w:val="18"/>
          <w:szCs w:val="18"/>
          <w:color w:val="auto"/>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w:t>
      </w:r>
    </w:p>
    <w:p>
      <w:pPr>
        <w:spacing w:after="0" w:line="183" w:lineRule="exact"/>
        <w:rPr>
          <w:sz w:val="20"/>
          <w:szCs w:val="20"/>
          <w:color w:val="auto"/>
        </w:rPr>
      </w:pPr>
    </w:p>
    <w:p>
      <w:pPr>
        <w:ind w:left="3"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If we are unable to advance TX45 or any of our other product candidates through clinical development, obtain regulatory approval and ultimately commercialize TX45 or any of our other product candidates, or experience significant delays in doing so, our business will be materially harmed.</w:t>
      </w:r>
    </w:p>
    <w:p>
      <w:pPr>
        <w:spacing w:after="0" w:line="175" w:lineRule="exact"/>
        <w:rPr>
          <w:sz w:val="20"/>
          <w:szCs w:val="20"/>
          <w:color w:val="auto"/>
        </w:rPr>
      </w:pPr>
    </w:p>
    <w:p>
      <w:pPr>
        <w:jc w:val="both"/>
        <w:ind w:left="3" w:right="60"/>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sale and our lead product candidate, TX45, will require clinical development, regulatory review and approval in each jurisdiction in which we intend to market it, access to sufficient commercial manufacturing capacity, and significant sales and marketing efforts before we can generate any revenue from product sales.</w:t>
      </w:r>
    </w:p>
    <w:p>
      <w:pPr>
        <w:spacing w:after="0" w:line="68" w:lineRule="exact"/>
        <w:rPr>
          <w:sz w:val="20"/>
          <w:szCs w:val="20"/>
          <w:color w:val="auto"/>
        </w:rPr>
      </w:pPr>
    </w:p>
    <w:p>
      <w:pPr>
        <w:jc w:val="both"/>
        <w:ind w:left="3" w:right="60"/>
        <w:spacing w:after="0" w:line="26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a Phase 1b clinical trial, and recently initiated a Phase 2 clinical trial.</w:t>
      </w:r>
    </w:p>
    <w:p>
      <w:pPr>
        <w:spacing w:after="0" w:line="68" w:lineRule="exact"/>
        <w:rPr>
          <w:sz w:val="20"/>
          <w:szCs w:val="20"/>
          <w:color w:val="auto"/>
        </w:rPr>
      </w:pPr>
    </w:p>
    <w:p>
      <w:pPr>
        <w:ind w:left="3" w:right="60"/>
        <w:spacing w:after="0" w:line="254"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in the foreseeable future, if ever, will depend heavily on the successful development and eventual commercialization of TX45, TX2100, and any future product candidates we develop, which may never occur. TX45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w:t>
      </w:r>
    </w:p>
    <w:p>
      <w:pPr>
        <w:spacing w:after="0" w:line="84" w:lineRule="exact"/>
        <w:rPr>
          <w:sz w:val="20"/>
          <w:szCs w:val="20"/>
          <w:color w:val="auto"/>
        </w:rPr>
      </w:pPr>
    </w:p>
    <w:p>
      <w:pPr>
        <w:ind w:left="3" w:right="60" w:hanging="3"/>
        <w:spacing w:after="0" w:line="282" w:lineRule="auto"/>
        <w:tabs>
          <w:tab w:leader="none" w:pos="2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studies and clinical trials for which the FDA, or any comparable foreign regulatory authority agree with the design, endpoints or implementation;</w:t>
      </w:r>
    </w:p>
    <w:p>
      <w:pPr>
        <w:spacing w:after="0" w:line="16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093" w:right="379" w:bottom="1440" w:gutter="0" w:footer="0" w:header="0"/>
        </w:sectPr>
      </w:pPr>
    </w:p>
    <w:bookmarkStart w:id="37" w:name="page38"/>
    <w:bookmarkEnd w:id="37"/>
    <w:p>
      <w:pPr>
        <w:ind w:left="263" w:hanging="263"/>
        <w:spacing w:after="0"/>
        <w:tabs>
          <w:tab w:leader="none" w:pos="2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regulatory approvals or authorizations for conducting our planned clinical trials or future clinical trials;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successful patient enrollment in, and completion of, additional clinical trials on a timely basis;</w:t>
      </w:r>
    </w:p>
    <w:p>
      <w:pPr>
        <w:spacing w:after="0" w:line="117" w:lineRule="exact"/>
        <w:rPr>
          <w:rFonts w:ascii="Times New Roman" w:cs="Times New Roman" w:eastAsia="Times New Roman" w:hAnsi="Times New Roman"/>
          <w:sz w:val="18"/>
          <w:szCs w:val="18"/>
          <w:color w:val="auto"/>
        </w:rPr>
      </w:pPr>
    </w:p>
    <w:p>
      <w:pPr>
        <w:ind w:left="3" w:right="60" w:hanging="3"/>
        <w:spacing w:after="0" w:line="282" w:lineRule="auto"/>
        <w:tabs>
          <w:tab w:leader="none" w:pos="2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 is safe, pure, and potent for its targeted indications;</w:t>
      </w:r>
    </w:p>
    <w:p>
      <w:pPr>
        <w:spacing w:after="0" w:line="53" w:lineRule="exact"/>
        <w:rPr>
          <w:rFonts w:ascii="Times New Roman" w:cs="Times New Roman" w:eastAsia="Times New Roman" w:hAnsi="Times New Roman"/>
          <w:sz w:val="18"/>
          <w:szCs w:val="18"/>
          <w:color w:val="auto"/>
        </w:rPr>
      </w:pPr>
    </w:p>
    <w:p>
      <w:pPr>
        <w:ind w:left="3" w:right="800" w:hanging="3"/>
        <w:spacing w:after="0" w:line="282" w:lineRule="auto"/>
        <w:tabs>
          <w:tab w:leader="none" w:pos="2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for our product candidates from applicable regulatory authorities;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3" w:right="80" w:hanging="3"/>
        <w:spacing w:after="0" w:line="282" w:lineRule="auto"/>
        <w:tabs>
          <w:tab w:leader="none" w:pos="2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scaling up, either alone or with third-party manufacturers, manufacturing capabilities of clinical supply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3" w:right="420" w:hanging="3"/>
        <w:spacing w:after="0" w:line="282" w:lineRule="auto"/>
        <w:tabs>
          <w:tab w:leader="none" w:pos="2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proprietary information protection or regulatory exclusivity for our product candidates, both in the United States and internationally;</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scaling a sales and marketing organization and launching commercial sales of our product candidates, if approved;</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benefits and uses,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w:t>
      </w:r>
    </w:p>
    <w:p>
      <w:pPr>
        <w:spacing w:after="0" w:line="117" w:lineRule="exact"/>
        <w:rPr>
          <w:rFonts w:ascii="Times New Roman" w:cs="Times New Roman" w:eastAsia="Times New Roman" w:hAnsi="Times New Roman"/>
          <w:sz w:val="18"/>
          <w:szCs w:val="18"/>
          <w:color w:val="auto"/>
        </w:rPr>
      </w:pPr>
    </w:p>
    <w:p>
      <w:pPr>
        <w:ind w:left="3" w:right="500" w:hanging="3"/>
        <w:spacing w:after="0" w:line="282" w:lineRule="auto"/>
        <w:tabs>
          <w:tab w:leader="none" w:pos="2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companies developing and commercializing other therapies in the indications which our product candidates target;</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 and</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17" w:lineRule="exact"/>
        <w:rPr>
          <w:sz w:val="20"/>
          <w:szCs w:val="20"/>
          <w:color w:val="auto"/>
        </w:rPr>
      </w:pPr>
    </w:p>
    <w:p>
      <w:pPr>
        <w:ind w:left="3" w:right="120"/>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w:t>
      </w:r>
    </w:p>
    <w:p>
      <w:pPr>
        <w:spacing w:after="0" w:line="172" w:lineRule="exact"/>
        <w:rPr>
          <w:sz w:val="20"/>
          <w:szCs w:val="20"/>
          <w:color w:val="auto"/>
        </w:rPr>
      </w:pPr>
    </w:p>
    <w:p>
      <w:pPr>
        <w:ind w:left="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p>
    <w:p>
      <w:pPr>
        <w:spacing w:after="0" w:line="175" w:lineRule="exact"/>
        <w:rPr>
          <w:sz w:val="20"/>
          <w:szCs w:val="20"/>
          <w:color w:val="auto"/>
        </w:rPr>
      </w:pPr>
    </w:p>
    <w:p>
      <w:pPr>
        <w:ind w:left="3" w:right="180"/>
        <w:spacing w:after="0" w:line="261"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w:t>
      </w:r>
    </w:p>
    <w:p>
      <w:pPr>
        <w:spacing w:after="0" w:line="72" w:lineRule="exact"/>
        <w:rPr>
          <w:sz w:val="20"/>
          <w:szCs w:val="20"/>
          <w:color w:val="auto"/>
        </w:rPr>
      </w:pPr>
    </w:p>
    <w:p>
      <w:pPr>
        <w:ind w:left="3" w:right="60"/>
        <w:spacing w:after="0" w:line="254" w:lineRule="auto"/>
        <w:rPr>
          <w:sz w:val="20"/>
          <w:szCs w:val="20"/>
          <w:color w:val="auto"/>
        </w:rPr>
      </w:pPr>
      <w:r>
        <w:rPr>
          <w:rFonts w:ascii="Times New Roman" w:cs="Times New Roman" w:eastAsia="Times New Roman" w:hAnsi="Times New Roman"/>
          <w:sz w:val="18"/>
          <w:szCs w:val="18"/>
          <w:color w:val="auto"/>
        </w:rPr>
        <w:t>To date, we have completed only one clinical trial (Phase 1a study in normal healthy volunteer with TX45) required for the approval of any of our product candidates. Although we are currently enrolling Phase 1b and Phase 2 clinical trials with TX45 in Group 2 PH patients with HFpEF, we may experience delays in our ongoing clinical trials or preclinical studies and we do not know whether planned clinical trials will begin on time, need to be redesigned, enroll patients on time, have sufficient drug supply for our product candidates on a timely basis or be completed on schedule, if at all. Furthermore, our product candidate TX2100 is still in preclinical studies and the full results of such studies are not yet known.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or any future product candidates, including:</w:t>
      </w:r>
    </w:p>
    <w:p>
      <w:pPr>
        <w:spacing w:after="0" w:line="84" w:lineRule="exact"/>
        <w:rPr>
          <w:sz w:val="20"/>
          <w:szCs w:val="20"/>
          <w:color w:val="auto"/>
        </w:rPr>
      </w:pPr>
    </w:p>
    <w:p>
      <w:pPr>
        <w:ind w:left="263" w:hanging="263"/>
        <w:spacing w:after="0"/>
        <w:tabs>
          <w:tab w:leader="none" w:pos="2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authorizations to commence a trial;</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as to the design or implementation of our clinical trials;</w:t>
      </w:r>
    </w:p>
    <w:p>
      <w:pPr>
        <w:spacing w:after="0" w:line="225"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38" w:name="page39"/>
    <w:bookmarkEnd w:id="38"/>
    <w:p>
      <w:pPr>
        <w:ind w:left="3" w:right="180" w:hanging="3"/>
        <w:spacing w:after="0" w:line="282" w:lineRule="auto"/>
        <w:tabs>
          <w:tab w:leader="none" w:pos="2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institutional review board (“IRB”) approval at each site;</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recruit a sufficient number of suitable patients to participate in a trial;</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clinical trial sites;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sufficient quantities of our product candidates for use in clinical trials in a timely manner;</w:t>
      </w:r>
    </w:p>
    <w:p>
      <w:pPr>
        <w:spacing w:after="0" w:line="117" w:lineRule="exact"/>
        <w:rPr>
          <w:rFonts w:ascii="Times New Roman" w:cs="Times New Roman" w:eastAsia="Times New Roman" w:hAnsi="Times New Roman"/>
          <w:sz w:val="18"/>
          <w:szCs w:val="18"/>
          <w:color w:val="auto"/>
        </w:rPr>
      </w:pPr>
    </w:p>
    <w:p>
      <w:pPr>
        <w:ind w:left="3" w:right="80" w:hanging="3"/>
        <w:spacing w:after="0" w:line="266" w:lineRule="auto"/>
        <w:tabs>
          <w:tab w:leader="none" w:pos="2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3" w:right="940" w:hanging="3"/>
        <w:spacing w:after="0" w:line="282" w:lineRule="auto"/>
        <w:tabs>
          <w:tab w:leader="none" w:pos="2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clinical trials in accordance with the FDA’s or any other regulatory authority’s good clinical practices (“GCP”) requirements, or regulatory guidelines in other countries;</w:t>
      </w:r>
    </w:p>
    <w:p>
      <w:pPr>
        <w:spacing w:after="0" w:line="53" w:lineRule="exact"/>
        <w:rPr>
          <w:rFonts w:ascii="Times New Roman" w:cs="Times New Roman" w:eastAsia="Times New Roman" w:hAnsi="Times New Roman"/>
          <w:sz w:val="18"/>
          <w:szCs w:val="18"/>
          <w:color w:val="auto"/>
        </w:rPr>
      </w:pPr>
    </w:p>
    <w:p>
      <w:pPr>
        <w:ind w:left="3" w:right="220" w:hanging="3"/>
        <w:spacing w:after="0" w:line="282" w:lineRule="auto"/>
        <w:tabs>
          <w:tab w:leader="none" w:pos="2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to the satisfaction of the FDA or any comparable foreign regulatory authority that the applicable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117" w:lineRule="exact"/>
        <w:rPr>
          <w:rFonts w:ascii="Times New Roman" w:cs="Times New Roman" w:eastAsia="Times New Roman" w:hAnsi="Times New Roman"/>
          <w:sz w:val="18"/>
          <w:szCs w:val="18"/>
          <w:color w:val="auto"/>
        </w:rPr>
      </w:pPr>
    </w:p>
    <w:p>
      <w:pPr>
        <w:ind w:left="3" w:right="200" w:hanging="3"/>
        <w:spacing w:after="0" w:line="282" w:lineRule="auto"/>
        <w:tabs>
          <w:tab w:leader="none" w:pos="2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research contractors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 in clinical trials;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our product candidates falling below acceptable standards; and</w:t>
      </w:r>
    </w:p>
    <w:p>
      <w:pPr>
        <w:spacing w:after="0" w:line="117" w:lineRule="exact"/>
        <w:rPr>
          <w:rFonts w:ascii="Times New Roman" w:cs="Times New Roman" w:eastAsia="Times New Roman" w:hAnsi="Times New Roman"/>
          <w:sz w:val="18"/>
          <w:szCs w:val="18"/>
          <w:color w:val="auto"/>
        </w:rPr>
      </w:pPr>
    </w:p>
    <w:p>
      <w:pPr>
        <w:ind w:left="3" w:right="220" w:hanging="3"/>
        <w:spacing w:after="0" w:line="266" w:lineRule="auto"/>
        <w:tabs>
          <w:tab w:leader="none" w:pos="2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w:t>
      </w:r>
    </w:p>
    <w:p>
      <w:pPr>
        <w:spacing w:after="0" w:line="68" w:lineRule="exact"/>
        <w:rPr>
          <w:sz w:val="20"/>
          <w:szCs w:val="20"/>
          <w:color w:val="auto"/>
        </w:rPr>
      </w:pPr>
    </w:p>
    <w:p>
      <w:pPr>
        <w:ind w:left="3"/>
        <w:spacing w:after="0" w:line="253" w:lineRule="auto"/>
        <w:rPr>
          <w:sz w:val="20"/>
          <w:szCs w:val="20"/>
          <w:color w:val="auto"/>
        </w:rPr>
      </w:pPr>
      <w:r>
        <w:rPr>
          <w:rFonts w:ascii="Times New Roman" w:cs="Times New Roman" w:eastAsia="Times New Roman" w:hAnsi="Times New Roman"/>
          <w:sz w:val="18"/>
          <w:szCs w:val="18"/>
          <w:color w:val="auto"/>
        </w:rPr>
        <w:t>In addition, 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84" w:lineRule="exact"/>
        <w:rPr>
          <w:sz w:val="20"/>
          <w:szCs w:val="20"/>
          <w:color w:val="auto"/>
        </w:rPr>
      </w:pPr>
    </w:p>
    <w:p>
      <w:pPr>
        <w:ind w:left="3" w:right="20"/>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83" w:lineRule="exact"/>
        <w:rPr>
          <w:sz w:val="20"/>
          <w:szCs w:val="20"/>
          <w:color w:val="auto"/>
        </w:rPr>
      </w:pPr>
    </w:p>
    <w:p>
      <w:pPr>
        <w:ind w:left="3"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159" w:lineRule="exact"/>
        <w:rPr>
          <w:sz w:val="20"/>
          <w:szCs w:val="20"/>
          <w:color w:val="auto"/>
        </w:rPr>
      </w:pPr>
    </w:p>
    <w:p>
      <w:pPr>
        <w:ind w:left="3" w:right="60"/>
        <w:spacing w:after="0" w:line="266" w:lineRule="auto"/>
        <w:rPr>
          <w:sz w:val="20"/>
          <w:szCs w:val="20"/>
          <w:color w:val="auto"/>
        </w:rPr>
      </w:pPr>
      <w:r>
        <w:rPr>
          <w:rFonts w:ascii="Times New Roman" w:cs="Times New Roman" w:eastAsia="Times New Roman" w:hAnsi="Times New Roman"/>
          <w:sz w:val="18"/>
          <w:szCs w:val="18"/>
          <w:color w:val="auto"/>
        </w:rPr>
        <w:t>To obtain the requisite regulatory approvals to market and sell any of our product candidates, including TX45 and any other future product candidates, we must demonstrate through extensive preclinical studies and clinical trials that our biologic products, including TX45, are safe and effective for use in each targeted indication. Clinical testing is expensive and can take</w:t>
      </w:r>
    </w:p>
    <w:p>
      <w:pPr>
        <w:spacing w:after="0" w:line="176"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39" w:name="page40"/>
    <w:bookmarkEnd w:id="39"/>
    <w:p>
      <w:pPr>
        <w:ind w:right="180"/>
        <w:spacing w:after="0" w:line="272" w:lineRule="auto"/>
        <w:rPr>
          <w:sz w:val="20"/>
          <w:szCs w:val="20"/>
          <w:color w:val="auto"/>
        </w:rPr>
      </w:pPr>
      <w:r>
        <w:rPr>
          <w:rFonts w:ascii="Times New Roman" w:cs="Times New Roman" w:eastAsia="Times New Roman" w:hAnsi="Times New Roman"/>
          <w:sz w:val="17"/>
          <w:szCs w:val="17"/>
          <w:color w:val="auto"/>
        </w:rPr>
        <w:t>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w:t>
      </w:r>
    </w:p>
    <w:p>
      <w:pPr>
        <w:spacing w:after="0" w:line="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w:t>
      </w:r>
    </w:p>
    <w:p>
      <w:pPr>
        <w:spacing w:after="0" w:line="18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our clinical development could have a material adverse effect on our business, financial condition and results of operations.</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p>
    <w:p>
      <w:pPr>
        <w:spacing w:after="0" w:line="16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0" w:name="page41"/>
    <w:bookmarkEnd w:id="40"/>
    <w:p>
      <w:pPr>
        <w:ind w:left="3" w:right="220"/>
        <w:spacing w:after="0" w:line="266" w:lineRule="auto"/>
        <w:rPr>
          <w:sz w:val="20"/>
          <w:szCs w:val="20"/>
          <w:color w:val="auto"/>
        </w:rPr>
      </w:pPr>
      <w:r>
        <w:rPr>
          <w:rFonts w:ascii="Times New Roman" w:cs="Times New Roman" w:eastAsia="Times New Roman" w:hAnsi="Times New Roman"/>
          <w:sz w:val="18"/>
          <w:szCs w:val="18"/>
          <w:color w:val="auto"/>
        </w:rPr>
        <w:t>FDA or comparable foreign regulatory authorities. While our lead product candidate, TX45, has been generally well tolerated in its preclinical studies and the Phase 1a healthy volunteer trial to date, the results from future preclinical studies and clinical trials, including of our other product candidates, may identify safety concerns or other undesirable properties of our product candidates.</w:t>
      </w:r>
    </w:p>
    <w:p>
      <w:pPr>
        <w:spacing w:after="0" w:line="176" w:lineRule="exact"/>
        <w:rPr>
          <w:sz w:val="20"/>
          <w:szCs w:val="20"/>
          <w:color w:val="auto"/>
        </w:rPr>
      </w:pPr>
    </w:p>
    <w:p>
      <w:pPr>
        <w:ind w:left="3" w:right="140"/>
        <w:spacing w:after="0" w:line="256" w:lineRule="auto"/>
        <w:rPr>
          <w:sz w:val="20"/>
          <w:szCs w:val="20"/>
          <w:color w:val="auto"/>
        </w:rPr>
      </w:pPr>
      <w:r>
        <w:rPr>
          <w:rFonts w:ascii="Times New Roman" w:cs="Times New Roman" w:eastAsia="Times New Roman" w:hAnsi="Times New Roman"/>
          <w:sz w:val="18"/>
          <w:szCs w:val="18"/>
          <w:color w:val="auto"/>
        </w:rPr>
        <w:t>The results of our ongoing Phase 1b clinical trial of TX45, the recently initiated Phase 2 clinical trial of TX45,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spacing w:after="0" w:line="79" w:lineRule="exact"/>
        <w:rPr>
          <w:sz w:val="20"/>
          <w:szCs w:val="20"/>
          <w:color w:val="auto"/>
        </w:rPr>
      </w:pPr>
    </w:p>
    <w:p>
      <w:pPr>
        <w:ind w:left="3"/>
        <w:spacing w:after="0" w:line="261"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w:t>
      </w:r>
    </w:p>
    <w:p>
      <w:pPr>
        <w:spacing w:after="0" w:line="72" w:lineRule="exact"/>
        <w:rPr>
          <w:sz w:val="20"/>
          <w:szCs w:val="20"/>
          <w:color w:val="auto"/>
        </w:rPr>
      </w:pPr>
    </w:p>
    <w:p>
      <w:pPr>
        <w:ind w:left="3" w:right="20"/>
        <w:spacing w:after="0" w:line="258" w:lineRule="auto"/>
        <w:rPr>
          <w:sz w:val="20"/>
          <w:szCs w:val="20"/>
          <w:color w:val="auto"/>
        </w:rPr>
      </w:pPr>
      <w:r>
        <w:rPr>
          <w:rFonts w:ascii="Times New Roman" w:cs="Times New Roman" w:eastAsia="Times New Roman" w:hAnsi="Times New Roman"/>
          <w:sz w:val="18"/>
          <w:szCs w:val="18"/>
          <w:color w:val="auto"/>
        </w:rPr>
        <w:t>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w:t>
      </w:r>
    </w:p>
    <w:p>
      <w:pPr>
        <w:spacing w:after="0" w:line="75" w:lineRule="exact"/>
        <w:rPr>
          <w:sz w:val="20"/>
          <w:szCs w:val="20"/>
          <w:color w:val="auto"/>
        </w:rPr>
      </w:pPr>
    </w:p>
    <w:p>
      <w:pPr>
        <w:ind w:left="3" w:right="60"/>
        <w:spacing w:after="0" w:line="282" w:lineRule="auto"/>
        <w:rPr>
          <w:sz w:val="20"/>
          <w:szCs w:val="20"/>
          <w:color w:val="auto"/>
        </w:rPr>
      </w:pPr>
      <w:r>
        <w:rPr>
          <w:rFonts w:ascii="Times New Roman" w:cs="Times New Roman" w:eastAsia="Times New Roman" w:hAnsi="Times New Roman"/>
          <w:sz w:val="18"/>
          <w:szCs w:val="18"/>
          <w:color w:val="auto"/>
        </w:rPr>
        <w:t>Additionally, if any of our product candidates receive marketing approval and we or others later identify undesirable or unacceptable side effects caused by such products, a number of potentially significant negative consequences could result, including:</w:t>
      </w:r>
    </w:p>
    <w:p>
      <w:pPr>
        <w:spacing w:after="0" w:line="54" w:lineRule="exact"/>
        <w:rPr>
          <w:sz w:val="20"/>
          <w:szCs w:val="20"/>
          <w:color w:val="auto"/>
        </w:rPr>
      </w:pPr>
    </w:p>
    <w:p>
      <w:pPr>
        <w:ind w:left="263" w:hanging="263"/>
        <w:spacing w:after="0"/>
        <w:tabs>
          <w:tab w:leader="none" w:pos="2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and require us to take such approved product off the market;</w:t>
      </w:r>
    </w:p>
    <w:p>
      <w:pPr>
        <w:spacing w:after="0" w:line="117" w:lineRule="exact"/>
        <w:rPr>
          <w:rFonts w:ascii="Times New Roman" w:cs="Times New Roman" w:eastAsia="Times New Roman" w:hAnsi="Times New Roman"/>
          <w:sz w:val="18"/>
          <w:szCs w:val="18"/>
          <w:color w:val="auto"/>
        </w:rPr>
      </w:pPr>
    </w:p>
    <w:p>
      <w:pPr>
        <w:ind w:left="3" w:right="180" w:hanging="3"/>
        <w:spacing w:after="0" w:line="282" w:lineRule="auto"/>
        <w:tabs>
          <w:tab w:leader="none" w:pos="27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53" w:lineRule="exact"/>
        <w:rPr>
          <w:rFonts w:ascii="Times New Roman" w:cs="Times New Roman" w:eastAsia="Times New Roman" w:hAnsi="Times New Roman"/>
          <w:sz w:val="18"/>
          <w:szCs w:val="18"/>
          <w:color w:val="auto"/>
        </w:rPr>
      </w:pPr>
    </w:p>
    <w:p>
      <w:pPr>
        <w:ind w:left="3" w:right="20" w:hanging="3"/>
        <w:spacing w:after="0" w:line="282" w:lineRule="auto"/>
        <w:tabs>
          <w:tab w:leader="none" w:pos="27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ind w:left="3" w:right="16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w:t>
      </w:r>
    </w:p>
    <w:p>
      <w:pPr>
        <w:spacing w:after="0" w:line="172" w:lineRule="exact"/>
        <w:rPr>
          <w:sz w:val="20"/>
          <w:szCs w:val="20"/>
          <w:color w:val="auto"/>
        </w:rPr>
      </w:pPr>
    </w:p>
    <w:p>
      <w:pPr>
        <w:ind w:left="3"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us from proceeding with, or otherwise adversely affect, clinical trials of our product candidates.</w:t>
      </w:r>
    </w:p>
    <w:p>
      <w:pPr>
        <w:spacing w:after="0" w:line="159" w:lineRule="exact"/>
        <w:rPr>
          <w:sz w:val="20"/>
          <w:szCs w:val="20"/>
          <w:color w:val="auto"/>
        </w:rPr>
      </w:pPr>
    </w:p>
    <w:p>
      <w:pPr>
        <w:ind w:left="3" w:right="120"/>
        <w:spacing w:after="0" w:line="255"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w:t>
      </w:r>
    </w:p>
    <w:p>
      <w:pPr>
        <w:spacing w:after="0" w:line="18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093" w:right="359" w:bottom="1440" w:gutter="0" w:footer="0" w:header="0"/>
        </w:sectPr>
      </w:pPr>
    </w:p>
    <w:bookmarkStart w:id="41" w:name="page42"/>
    <w:bookmarkEnd w:id="41"/>
    <w:p>
      <w:pPr>
        <w:ind w:left="3"/>
        <w:spacing w:after="0"/>
        <w:rPr>
          <w:sz w:val="20"/>
          <w:szCs w:val="20"/>
          <w:color w:val="auto"/>
        </w:rPr>
      </w:pPr>
      <w:r>
        <w:rPr>
          <w:rFonts w:ascii="Times New Roman" w:cs="Times New Roman" w:eastAsia="Times New Roman" w:hAnsi="Times New Roman"/>
          <w:sz w:val="18"/>
          <w:szCs w:val="18"/>
          <w:color w:val="auto"/>
        </w:rPr>
        <w:t>and enroll a sufficient number of patients, or those with the required or desired characteristics, to complete our clinical trials in a timely manner.</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Patient enrollment and trial completion is affected by many factors, including the:</w:t>
      </w:r>
    </w:p>
    <w:p>
      <w:pPr>
        <w:spacing w:after="0" w:line="99" w:lineRule="exact"/>
        <w:rPr>
          <w:sz w:val="20"/>
          <w:szCs w:val="20"/>
          <w:color w:val="auto"/>
        </w:rPr>
      </w:pPr>
    </w:p>
    <w:p>
      <w:pPr>
        <w:ind w:left="263" w:hanging="263"/>
        <w:spacing w:after="0"/>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one of our trial sites in Moldova for the Phase 1b trial and its proximity to the conflict between Russia and the Ukraine;</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clinical trial;</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profile, to date, of the product candidate under study;</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our approach;</w:t>
      </w:r>
    </w:p>
    <w:p>
      <w:pPr>
        <w:spacing w:after="0" w:line="117" w:lineRule="exact"/>
        <w:rPr>
          <w:rFonts w:ascii="Times New Roman" w:cs="Times New Roman" w:eastAsia="Times New Roman" w:hAnsi="Times New Roman"/>
          <w:sz w:val="18"/>
          <w:szCs w:val="18"/>
          <w:color w:val="auto"/>
        </w:rPr>
      </w:pPr>
    </w:p>
    <w:p>
      <w:pPr>
        <w:ind w:left="3" w:right="420" w:hanging="3"/>
        <w:spacing w:after="0" w:line="282" w:lineRule="auto"/>
        <w:tabs>
          <w:tab w:leader="none" w:pos="2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competing product candidates currently under investigation for the treatment of similar diseases or conditions, or competing clinical trials for similar product candidates or targeting patient populations meeting our patient eligibility criteria;</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progression of the patient’s disease at the time of enrollment;</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adequately monitor patients during and after treatment.</w:t>
      </w:r>
    </w:p>
    <w:p>
      <w:pPr>
        <w:spacing w:after="0" w:line="117" w:lineRule="exact"/>
        <w:rPr>
          <w:sz w:val="20"/>
          <w:szCs w:val="20"/>
          <w:color w:val="auto"/>
        </w:rPr>
      </w:pPr>
    </w:p>
    <w:p>
      <w:pPr>
        <w:ind w:left="3" w:right="200"/>
        <w:spacing w:after="0" w:line="258"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75" w:lineRule="exact"/>
        <w:rPr>
          <w:sz w:val="20"/>
          <w:szCs w:val="20"/>
          <w:color w:val="auto"/>
        </w:rPr>
      </w:pPr>
    </w:p>
    <w:p>
      <w:pPr>
        <w:ind w:left="3" w:right="200"/>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158" w:lineRule="exact"/>
        <w:rPr>
          <w:sz w:val="20"/>
          <w:szCs w:val="20"/>
          <w:color w:val="auto"/>
        </w:rPr>
      </w:pPr>
    </w:p>
    <w:p>
      <w:pPr>
        <w:ind w:left="3"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left="3"/>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w:t>
      </w:r>
    </w:p>
    <w:p>
      <w:pPr>
        <w:spacing w:after="0" w:line="81" w:lineRule="exact"/>
        <w:rPr>
          <w:sz w:val="20"/>
          <w:szCs w:val="20"/>
          <w:color w:val="auto"/>
        </w:rPr>
      </w:pPr>
    </w:p>
    <w:p>
      <w:pPr>
        <w:ind w:left="3" w:right="120"/>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w:t>
      </w:r>
    </w:p>
    <w:p>
      <w:pPr>
        <w:spacing w:after="0" w:line="18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42" w:name="page43"/>
    <w:bookmarkEnd w:id="42"/>
    <w:p>
      <w:pPr>
        <w:jc w:val="both"/>
        <w:ind w:left="3" w:right="140"/>
        <w:spacing w:after="0" w:line="312" w:lineRule="auto"/>
        <w:rPr>
          <w:sz w:val="20"/>
          <w:szCs w:val="20"/>
          <w:color w:val="auto"/>
        </w:rPr>
      </w:pPr>
      <w:r>
        <w:rPr>
          <w:rFonts w:ascii="Times New Roman" w:cs="Times New Roman" w:eastAsia="Times New Roman" w:hAnsi="Times New Roman"/>
          <w:sz w:val="17"/>
          <w:szCs w:val="17"/>
          <w:color w:val="auto"/>
        </w:rPr>
        <w:t>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36" w:lineRule="exact"/>
        <w:rPr>
          <w:sz w:val="20"/>
          <w:szCs w:val="20"/>
          <w:color w:val="auto"/>
        </w:rPr>
      </w:pPr>
    </w:p>
    <w:p>
      <w:pPr>
        <w:jc w:val="both"/>
        <w:ind w:left="3"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175" w:lineRule="exact"/>
        <w:rPr>
          <w:sz w:val="20"/>
          <w:szCs w:val="20"/>
          <w:color w:val="auto"/>
        </w:rPr>
      </w:pPr>
    </w:p>
    <w:p>
      <w:pPr>
        <w:ind w:left="3"/>
        <w:spacing w:after="0" w:line="269" w:lineRule="auto"/>
        <w:rPr>
          <w:sz w:val="20"/>
          <w:szCs w:val="20"/>
          <w:color w:val="auto"/>
        </w:rPr>
      </w:pPr>
      <w:r>
        <w:rPr>
          <w:rFonts w:ascii="Times New Roman" w:cs="Times New Roman" w:eastAsia="Times New Roman" w:hAnsi="Times New Roman"/>
          <w:sz w:val="17"/>
          <w:szCs w:val="17"/>
          <w:color w:val="auto"/>
        </w:rPr>
        <w:t>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but as the date of this report, studies are only being conducted in Australia, Moldova and the Netherlands.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a Phase 1b and the recently initiated Phase 2 clinical trials for TX45, including some trials which may be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w:t>
      </w:r>
    </w:p>
    <w:p>
      <w:pPr>
        <w:spacing w:after="0" w:line="178" w:lineRule="exact"/>
        <w:rPr>
          <w:sz w:val="20"/>
          <w:szCs w:val="20"/>
          <w:color w:val="auto"/>
        </w:rPr>
      </w:pPr>
    </w:p>
    <w:p>
      <w:pPr>
        <w:jc w:val="both"/>
        <w:ind w:left="3"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our business will be substantially harmed.</w:t>
      </w:r>
    </w:p>
    <w:p>
      <w:pPr>
        <w:spacing w:after="0" w:line="175" w:lineRule="exact"/>
        <w:rPr>
          <w:sz w:val="20"/>
          <w:szCs w:val="20"/>
          <w:color w:val="auto"/>
        </w:rPr>
      </w:pPr>
    </w:p>
    <w:p>
      <w:pPr>
        <w:ind w:left="3" w:right="4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263" w:hanging="263"/>
        <w:spacing w:after="0"/>
        <w:tabs>
          <w:tab w:leader="none" w:pos="2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3" w:right="60" w:hanging="3"/>
        <w:spacing w:after="0" w:line="282" w:lineRule="auto"/>
        <w:tabs>
          <w:tab w:leader="none" w:pos="2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53" w:lineRule="exact"/>
        <w:rPr>
          <w:rFonts w:ascii="Times New Roman" w:cs="Times New Roman" w:eastAsia="Times New Roman" w:hAnsi="Times New Roman"/>
          <w:sz w:val="18"/>
          <w:szCs w:val="18"/>
          <w:color w:val="auto"/>
        </w:rPr>
      </w:pPr>
    </w:p>
    <w:p>
      <w:pPr>
        <w:ind w:left="3" w:right="600" w:hanging="3"/>
        <w:spacing w:after="0" w:line="282" w:lineRule="auto"/>
        <w:tabs>
          <w:tab w:leader="none" w:pos="2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may not be sufficiently broad or representative to assure safety or efficacy in the population for which we seek approval;</w:t>
      </w:r>
    </w:p>
    <w:p>
      <w:pPr>
        <w:spacing w:after="0" w:line="53" w:lineRule="exact"/>
        <w:rPr>
          <w:rFonts w:ascii="Times New Roman" w:cs="Times New Roman" w:eastAsia="Times New Roman" w:hAnsi="Times New Roman"/>
          <w:sz w:val="18"/>
          <w:szCs w:val="18"/>
          <w:color w:val="auto"/>
        </w:rPr>
      </w:pPr>
    </w:p>
    <w:p>
      <w:pPr>
        <w:ind w:left="3" w:right="140" w:hanging="3"/>
        <w:spacing w:after="0" w:line="282" w:lineRule="auto"/>
        <w:tabs>
          <w:tab w:leader="none" w:pos="2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clinical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3" w:right="580" w:hanging="3"/>
        <w:spacing w:after="0" w:line="282" w:lineRule="auto"/>
        <w:tabs>
          <w:tab w:leader="none" w:pos="2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additional preclinical studies or clinical trials beyond those that we currently anticipate;</w:t>
      </w:r>
    </w:p>
    <w:p>
      <w:pPr>
        <w:spacing w:after="0" w:line="53" w:lineRule="exact"/>
        <w:rPr>
          <w:rFonts w:ascii="Times New Roman" w:cs="Times New Roman" w:eastAsia="Times New Roman" w:hAnsi="Times New Roman"/>
          <w:sz w:val="18"/>
          <w:szCs w:val="18"/>
          <w:color w:val="auto"/>
        </w:rPr>
      </w:pPr>
    </w:p>
    <w:p>
      <w:pPr>
        <w:ind w:left="3" w:right="560" w:hanging="3"/>
        <w:spacing w:after="0" w:line="312" w:lineRule="auto"/>
        <w:tabs>
          <w:tab w:leader="none" w:pos="27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may not be sufficient to support the submission of a Biologics License Application (“BLA”) as applicable, to the FDA or other submission or to obtain regulatory approval in the United States or elsewhere;</w:t>
      </w:r>
    </w:p>
    <w:p>
      <w:pPr>
        <w:spacing w:after="0" w:line="31" w:lineRule="exact"/>
        <w:rPr>
          <w:rFonts w:ascii="Times New Roman" w:cs="Times New Roman" w:eastAsia="Times New Roman" w:hAnsi="Times New Roman"/>
          <w:sz w:val="17"/>
          <w:szCs w:val="17"/>
          <w:color w:val="auto"/>
        </w:rPr>
      </w:pPr>
    </w:p>
    <w:p>
      <w:pPr>
        <w:ind w:left="3" w:right="140" w:hanging="3"/>
        <w:spacing w:after="0" w:line="282" w:lineRule="auto"/>
        <w:tabs>
          <w:tab w:leader="none" w:pos="2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6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093" w:right="359" w:bottom="1440" w:gutter="0" w:footer="0" w:header="0"/>
        </w:sectPr>
      </w:pPr>
    </w:p>
    <w:bookmarkStart w:id="43" w:name="page44"/>
    <w:bookmarkEnd w:id="43"/>
    <w:p>
      <w:pPr>
        <w:ind w:left="3" w:right="180" w:hanging="3"/>
        <w:spacing w:after="0" w:line="282" w:lineRule="auto"/>
        <w:tabs>
          <w:tab w:leader="none" w:pos="2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any comparable foreign regulatory authorities or the laws they enforce may significantly change in a manner rendering our clinical data insufficient for approval.</w:t>
      </w:r>
    </w:p>
    <w:p>
      <w:pPr>
        <w:spacing w:after="0" w:line="54" w:lineRule="exact"/>
        <w:rPr>
          <w:sz w:val="20"/>
          <w:szCs w:val="20"/>
          <w:color w:val="auto"/>
        </w:rPr>
      </w:pPr>
    </w:p>
    <w:p>
      <w:pPr>
        <w:ind w:left="3" w:right="100"/>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w:t>
      </w:r>
    </w:p>
    <w:p>
      <w:pPr>
        <w:spacing w:after="0" w:line="75" w:lineRule="exact"/>
        <w:rPr>
          <w:sz w:val="20"/>
          <w:szCs w:val="20"/>
          <w:color w:val="auto"/>
        </w:rPr>
      </w:pPr>
    </w:p>
    <w:p>
      <w:pPr>
        <w:ind w:left="3" w:right="140"/>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9" w:lineRule="exact"/>
        <w:rPr>
          <w:sz w:val="20"/>
          <w:szCs w:val="20"/>
          <w:color w:val="auto"/>
        </w:rPr>
      </w:pPr>
    </w:p>
    <w:p>
      <w:pPr>
        <w:ind w:left="3"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any comparable foreign regulatory authorities may not accept data from trials conducted in locations outside of their jurisdiction.</w:t>
      </w:r>
    </w:p>
    <w:p>
      <w:pPr>
        <w:spacing w:after="0" w:line="159" w:lineRule="exact"/>
        <w:rPr>
          <w:sz w:val="20"/>
          <w:szCs w:val="20"/>
          <w:color w:val="auto"/>
        </w:rPr>
      </w:pPr>
    </w:p>
    <w:p>
      <w:pPr>
        <w:ind w:left="3"/>
        <w:spacing w:after="0" w:line="269" w:lineRule="auto"/>
        <w:rPr>
          <w:sz w:val="20"/>
          <w:szCs w:val="20"/>
          <w:color w:val="auto"/>
        </w:rPr>
      </w:pPr>
      <w:r>
        <w:rPr>
          <w:rFonts w:ascii="Times New Roman" w:cs="Times New Roman" w:eastAsia="Times New Roman" w:hAnsi="Times New Roman"/>
          <w:sz w:val="17"/>
          <w:szCs w:val="17"/>
          <w:color w:val="auto"/>
        </w:rPr>
        <w:t>We are presently conducting clinical development in Australia, Moldova and the Netherlands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w:t>
      </w:r>
    </w:p>
    <w:p>
      <w:pPr>
        <w:spacing w:after="0" w:line="3" w:lineRule="exact"/>
        <w:rPr>
          <w:sz w:val="20"/>
          <w:szCs w:val="20"/>
          <w:color w:val="auto"/>
        </w:rPr>
      </w:pPr>
    </w:p>
    <w:p>
      <w:pPr>
        <w:ind w:left="263" w:hanging="263"/>
        <w:spacing w:after="0"/>
        <w:tabs>
          <w:tab w:leader="none" w:pos="2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trials are performed by clinical investigators of recognized competence and pursuant to compliance with current GCP requirements and</w:t>
      </w:r>
    </w:p>
    <w:p>
      <w:pPr>
        <w:spacing w:after="0" w:line="9" w:lineRule="exact"/>
        <w:rPr>
          <w:rFonts w:ascii="Times New Roman" w:cs="Times New Roman" w:eastAsia="Times New Roman" w:hAnsi="Times New Roman"/>
          <w:sz w:val="18"/>
          <w:szCs w:val="18"/>
          <w:color w:val="auto"/>
        </w:rPr>
      </w:pPr>
    </w:p>
    <w:p>
      <w:pPr>
        <w:ind w:left="3" w:right="80" w:hanging="3"/>
        <w:spacing w:after="0" w:line="252" w:lineRule="auto"/>
        <w:tabs>
          <w:tab w:leader="none" w:pos="3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84" w:lineRule="exact"/>
        <w:rPr>
          <w:sz w:val="20"/>
          <w:szCs w:val="20"/>
          <w:color w:val="auto"/>
        </w:rPr>
      </w:pPr>
    </w:p>
    <w:p>
      <w:pPr>
        <w:ind w:left="3"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p>
    <w:p>
      <w:pPr>
        <w:spacing w:after="0" w:line="175" w:lineRule="exact"/>
        <w:rPr>
          <w:sz w:val="20"/>
          <w:szCs w:val="20"/>
          <w:color w:val="auto"/>
        </w:rPr>
      </w:pPr>
    </w:p>
    <w:p>
      <w:pPr>
        <w:ind w:left="3" w:right="140"/>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Practices (“cGMPs”) and GCP requirements for any clinical trials that we conduct post-approval.</w:t>
      </w:r>
    </w:p>
    <w:p>
      <w:pPr>
        <w:spacing w:after="0" w:line="75" w:lineRule="exact"/>
        <w:rPr>
          <w:sz w:val="20"/>
          <w:szCs w:val="20"/>
          <w:color w:val="auto"/>
        </w:rPr>
      </w:pPr>
    </w:p>
    <w:p>
      <w:pPr>
        <w:ind w:left="3" w:right="60"/>
        <w:spacing w:after="0" w:line="277" w:lineRule="auto"/>
        <w:rPr>
          <w:sz w:val="20"/>
          <w:szCs w:val="20"/>
          <w:color w:val="auto"/>
        </w:rPr>
      </w:pPr>
      <w:r>
        <w:rPr>
          <w:rFonts w:ascii="Times New Roman" w:cs="Times New Roman" w:eastAsia="Times New Roman" w:hAnsi="Times New Roman"/>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60" w:lineRule="exact"/>
        <w:rPr>
          <w:sz w:val="20"/>
          <w:szCs w:val="20"/>
          <w:color w:val="auto"/>
        </w:rPr>
      </w:pPr>
    </w:p>
    <w:p>
      <w:pPr>
        <w:ind w:left="3" w:right="80"/>
        <w:spacing w:after="0" w:line="256"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w:t>
      </w:r>
    </w:p>
    <w:p>
      <w:pPr>
        <w:spacing w:after="0" w:line="187"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093" w:right="359" w:bottom="1440" w:gutter="0" w:footer="0" w:header="0"/>
        </w:sectPr>
      </w:pPr>
    </w:p>
    <w:bookmarkStart w:id="44" w:name="page45"/>
    <w:bookmarkEnd w:id="44"/>
    <w:p>
      <w:pPr>
        <w:ind w:left="3" w:right="260"/>
        <w:spacing w:after="0" w:line="282" w:lineRule="auto"/>
        <w:rPr>
          <w:sz w:val="20"/>
          <w:szCs w:val="20"/>
          <w:color w:val="auto"/>
        </w:rPr>
      </w:pPr>
      <w:r>
        <w:rPr>
          <w:rFonts w:ascii="Times New Roman" w:cs="Times New Roman" w:eastAsia="Times New Roman" w:hAnsi="Times New Roman"/>
          <w:sz w:val="18"/>
          <w:szCs w:val="18"/>
          <w:color w:val="auto"/>
        </w:rPr>
        <w:t>addition, if the FDA or a comparable foreign regulatory authority approves our product candidates, we will have to comply with requirements including submissions of safety and other post-marketing information and reports and registration.</w:t>
      </w:r>
    </w:p>
    <w:p>
      <w:pPr>
        <w:spacing w:after="0" w:line="54" w:lineRule="exact"/>
        <w:rPr>
          <w:sz w:val="20"/>
          <w:szCs w:val="20"/>
          <w:color w:val="auto"/>
        </w:rPr>
      </w:pPr>
    </w:p>
    <w:p>
      <w:pPr>
        <w:ind w:left="3" w:right="80"/>
        <w:spacing w:after="0" w:line="256"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79" w:lineRule="exact"/>
        <w:rPr>
          <w:sz w:val="20"/>
          <w:szCs w:val="20"/>
          <w:color w:val="auto"/>
        </w:rPr>
      </w:pPr>
    </w:p>
    <w:p>
      <w:pPr>
        <w:ind w:left="3" w:hanging="3"/>
        <w:spacing w:after="0" w:line="282" w:lineRule="auto"/>
        <w:tabs>
          <w:tab w:leader="none" w:pos="2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3" w:right="480" w:hanging="3"/>
        <w:spacing w:after="0" w:line="282" w:lineRule="auto"/>
        <w:tabs>
          <w:tab w:leader="none" w:pos="2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left="3" w:right="40"/>
        <w:spacing w:after="0" w:line="253"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w:t>
      </w:r>
    </w:p>
    <w:p>
      <w:pPr>
        <w:spacing w:after="0" w:line="82" w:lineRule="exact"/>
        <w:rPr>
          <w:sz w:val="20"/>
          <w:szCs w:val="20"/>
          <w:color w:val="auto"/>
        </w:rPr>
      </w:pPr>
    </w:p>
    <w:p>
      <w:pPr>
        <w:ind w:left="3" w:right="80"/>
        <w:spacing w:after="0" w:line="258" w:lineRule="auto"/>
        <w:rPr>
          <w:sz w:val="20"/>
          <w:szCs w:val="20"/>
          <w:color w:val="auto"/>
        </w:rPr>
      </w:pPr>
      <w:r>
        <w:rPr>
          <w:rFonts w:ascii="Times New Roman" w:cs="Times New Roman" w:eastAsia="Times New Roman" w:hAnsi="Times New Roman"/>
          <w:sz w:val="18"/>
          <w:szCs w:val="18"/>
          <w:color w:val="auto"/>
        </w:rPr>
        <w:t>The holder of a BLA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75" w:lineRule="exact"/>
        <w:rPr>
          <w:sz w:val="20"/>
          <w:szCs w:val="20"/>
          <w:color w:val="auto"/>
        </w:rPr>
      </w:pPr>
    </w:p>
    <w:p>
      <w:pPr>
        <w:ind w:left="3" w:right="20"/>
        <w:spacing w:after="0" w:line="258" w:lineRule="auto"/>
        <w:rPr>
          <w:sz w:val="20"/>
          <w:szCs w:val="20"/>
          <w:color w:val="auto"/>
        </w:rPr>
      </w:pPr>
      <w:r>
        <w:rPr>
          <w:rFonts w:ascii="Times New Roman" w:cs="Times New Roman" w:eastAsia="Times New Roman" w:hAnsi="Times New Roman"/>
          <w:sz w:val="18"/>
          <w:szCs w:val="18"/>
          <w:color w:val="auto"/>
        </w:rPr>
        <w:t>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may face competition from biosimilars approved through an abbreviated regulatory pathway.</w:t>
      </w:r>
    </w:p>
    <w:p>
      <w:pPr>
        <w:spacing w:after="0" w:line="229" w:lineRule="exact"/>
        <w:rPr>
          <w:sz w:val="20"/>
          <w:szCs w:val="20"/>
          <w:color w:val="auto"/>
        </w:rPr>
      </w:pPr>
    </w:p>
    <w:p>
      <w:pPr>
        <w:ind w:left="3" w:right="20"/>
        <w:spacing w:after="0" w:line="255" w:lineRule="auto"/>
        <w:rPr>
          <w:sz w:val="20"/>
          <w:szCs w:val="20"/>
          <w:color w:val="auto"/>
        </w:rPr>
      </w:pPr>
      <w:r>
        <w:rPr>
          <w:rFonts w:ascii="Times New Roman" w:cs="Times New Roman" w:eastAsia="Times New Roman" w:hAnsi="Times New Roman"/>
          <w:sz w:val="18"/>
          <w:szCs w:val="18"/>
          <w:color w:val="auto"/>
        </w:rPr>
        <w:t>We are developing TX45 initially for the treatment of Group 2 Pulmonary Hypertension (“PH”) in HFpEF,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w:t>
      </w:r>
    </w:p>
    <w:p>
      <w:pPr>
        <w:spacing w:after="0" w:line="18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093" w:right="359" w:bottom="1440" w:gutter="0" w:footer="0" w:header="0"/>
        </w:sectPr>
      </w:pPr>
    </w:p>
    <w:bookmarkStart w:id="45" w:name="page46"/>
    <w:bookmarkEnd w:id="45"/>
    <w:p>
      <w:pPr>
        <w:ind w:left="3" w:right="120"/>
        <w:spacing w:after="0" w:line="261" w:lineRule="auto"/>
        <w:rPr>
          <w:sz w:val="20"/>
          <w:szCs w:val="20"/>
          <w:color w:val="auto"/>
        </w:rPr>
      </w:pPr>
      <w:r>
        <w:rPr>
          <w:rFonts w:ascii="Times New Roman" w:cs="Times New Roman" w:eastAsia="Times New Roman" w:hAnsi="Times New Roman"/>
          <w:sz w:val="18"/>
          <w:szCs w:val="18"/>
          <w:color w:val="auto"/>
        </w:rPr>
        <w:t>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72" w:lineRule="exact"/>
        <w:rPr>
          <w:sz w:val="20"/>
          <w:szCs w:val="20"/>
          <w:color w:val="auto"/>
        </w:rPr>
      </w:pPr>
    </w:p>
    <w:p>
      <w:pPr>
        <w:ind w:left="3" w:right="40"/>
        <w:spacing w:after="0" w:line="255"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81" w:lineRule="exact"/>
        <w:rPr>
          <w:sz w:val="20"/>
          <w:szCs w:val="20"/>
          <w:color w:val="auto"/>
        </w:rPr>
      </w:pPr>
    </w:p>
    <w:p>
      <w:pPr>
        <w:ind w:left="3" w:right="220"/>
        <w:spacing w:after="0" w:line="282"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58" w:lineRule="exact"/>
        <w:rPr>
          <w:sz w:val="20"/>
          <w:szCs w:val="20"/>
          <w:color w:val="auto"/>
        </w:rPr>
      </w:pPr>
    </w:p>
    <w:p>
      <w:pPr>
        <w:ind w:left="3"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59" w:lineRule="exact"/>
        <w:rPr>
          <w:sz w:val="20"/>
          <w:szCs w:val="20"/>
          <w:color w:val="auto"/>
        </w:rPr>
      </w:pPr>
    </w:p>
    <w:p>
      <w:pPr>
        <w:ind w:left="3" w:right="40"/>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84" w:lineRule="exact"/>
        <w:rPr>
          <w:sz w:val="20"/>
          <w:szCs w:val="20"/>
          <w:color w:val="auto"/>
        </w:rPr>
      </w:pPr>
    </w:p>
    <w:p>
      <w:pPr>
        <w:ind w:left="263" w:hanging="263"/>
        <w:spacing w:after="0"/>
        <w:tabs>
          <w:tab w:leader="none" w:pos="2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due to negative public perception;</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difficulties in recruiting new trial participants;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or settle the related litigation;</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 if approved.</w:t>
      </w:r>
    </w:p>
    <w:p>
      <w:pPr>
        <w:spacing w:after="0" w:line="117" w:lineRule="exact"/>
        <w:rPr>
          <w:sz w:val="20"/>
          <w:szCs w:val="20"/>
          <w:color w:val="auto"/>
        </w:rPr>
      </w:pPr>
    </w:p>
    <w:p>
      <w:pPr>
        <w:ind w:left="3"/>
        <w:spacing w:after="0" w:line="256" w:lineRule="auto"/>
        <w:rPr>
          <w:sz w:val="20"/>
          <w:szCs w:val="20"/>
          <w:color w:val="auto"/>
        </w:rPr>
      </w:pPr>
      <w:r>
        <w:rPr>
          <w:rFonts w:ascii="Times New Roman" w:cs="Times New Roman" w:eastAsia="Times New Roman" w:hAnsi="Times New Roman"/>
          <w:sz w:val="18"/>
          <w:szCs w:val="18"/>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79" w:lineRule="exact"/>
        <w:rPr>
          <w:sz w:val="20"/>
          <w:szCs w:val="20"/>
          <w:color w:val="auto"/>
        </w:rPr>
      </w:pPr>
    </w:p>
    <w:p>
      <w:pPr>
        <w:ind w:left="3" w:right="460"/>
        <w:spacing w:after="0" w:line="282" w:lineRule="auto"/>
        <w:rPr>
          <w:sz w:val="20"/>
          <w:szCs w:val="20"/>
          <w:color w:val="auto"/>
        </w:rPr>
      </w:pPr>
      <w:r>
        <w:rPr>
          <w:rFonts w:ascii="Times New Roman" w:cs="Times New Roman" w:eastAsia="Times New Roman" w:hAnsi="Times New Roman"/>
          <w:sz w:val="18"/>
          <w:szCs w:val="18"/>
          <w:color w:val="auto"/>
        </w:rPr>
        <w:t>Should any of the events described above occur, this could have a material adverse effect on our business, financial condition and results of operations.</w:t>
      </w:r>
    </w:p>
    <w:p>
      <w:pPr>
        <w:spacing w:after="0" w:line="16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46" w:name="page47"/>
    <w:bookmarkEnd w:id="46"/>
    <w:p>
      <w:pPr>
        <w:ind w:left="3"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175" w:lineRule="exact"/>
        <w:rPr>
          <w:sz w:val="20"/>
          <w:szCs w:val="20"/>
          <w:color w:val="auto"/>
        </w:rPr>
      </w:pPr>
    </w:p>
    <w:p>
      <w:pPr>
        <w:ind w:left="3" w:right="140"/>
        <w:spacing w:after="0" w:line="254"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 TX45, TX2100, our business, financial condition and results of operations could be materially adversely affected.</w:t>
      </w:r>
    </w:p>
    <w:p>
      <w:pPr>
        <w:spacing w:after="0" w:line="188" w:lineRule="exact"/>
        <w:rPr>
          <w:sz w:val="20"/>
          <w:szCs w:val="20"/>
          <w:color w:val="auto"/>
        </w:rPr>
      </w:pPr>
    </w:p>
    <w:p>
      <w:pPr>
        <w:ind w:left="3"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ind w:left="3"/>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w:t>
      </w:r>
    </w:p>
    <w:p>
      <w:pPr>
        <w:spacing w:after="0" w:line="84" w:lineRule="exact"/>
        <w:rPr>
          <w:sz w:val="20"/>
          <w:szCs w:val="20"/>
          <w:color w:val="auto"/>
        </w:rPr>
      </w:pPr>
    </w:p>
    <w:p>
      <w:pPr>
        <w:ind w:left="3"/>
        <w:spacing w:after="0" w:line="266" w:lineRule="auto"/>
        <w:rPr>
          <w:sz w:val="20"/>
          <w:szCs w:val="20"/>
          <w:color w:val="auto"/>
        </w:rPr>
      </w:pPr>
      <w:r>
        <w:rPr>
          <w:rFonts w:ascii="Times New Roman" w:cs="Times New Roman" w:eastAsia="Times New Roman" w:hAnsi="Times New Roman"/>
          <w:sz w:val="18"/>
          <w:szCs w:val="18"/>
          <w:color w:val="auto"/>
        </w:rPr>
        <w:t>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w:t>
      </w:r>
    </w:p>
    <w:p>
      <w:pPr>
        <w:spacing w:after="0" w:line="68" w:lineRule="exact"/>
        <w:rPr>
          <w:sz w:val="20"/>
          <w:szCs w:val="20"/>
          <w:color w:val="auto"/>
        </w:rPr>
      </w:pPr>
    </w:p>
    <w:p>
      <w:pPr>
        <w:ind w:left="3" w:right="80"/>
        <w:spacing w:after="0" w:line="253" w:lineRule="auto"/>
        <w:rPr>
          <w:sz w:val="20"/>
          <w:szCs w:val="20"/>
          <w:color w:val="auto"/>
        </w:rPr>
      </w:pPr>
      <w:r>
        <w:rPr>
          <w:rFonts w:ascii="Times New Roman" w:cs="Times New Roman" w:eastAsia="Times New Roman" w:hAnsi="Times New Roman"/>
          <w:sz w:val="18"/>
          <w:szCs w:val="18"/>
          <w:color w:val="auto"/>
        </w:rPr>
        <w:t>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18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left="3"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commercialize any product candidate for which we receive regulatory approval, or experience significant delays in doing so, our business will be materially harmed.</w:t>
      </w:r>
    </w:p>
    <w:p>
      <w:pPr>
        <w:spacing w:after="0" w:line="159" w:lineRule="exact"/>
        <w:rPr>
          <w:sz w:val="20"/>
          <w:szCs w:val="20"/>
          <w:color w:val="auto"/>
        </w:rPr>
      </w:pPr>
    </w:p>
    <w:p>
      <w:pPr>
        <w:ind w:left="3" w:right="140"/>
        <w:spacing w:after="0" w:line="282" w:lineRule="auto"/>
        <w:rPr>
          <w:sz w:val="20"/>
          <w:szCs w:val="20"/>
          <w:color w:val="auto"/>
        </w:rPr>
      </w:pPr>
      <w:r>
        <w:rPr>
          <w:rFonts w:ascii="Times New Roman" w:cs="Times New Roman" w:eastAsia="Times New Roman" w:hAnsi="Times New Roman"/>
          <w:sz w:val="18"/>
          <w:szCs w:val="18"/>
          <w:color w:val="auto"/>
        </w:rPr>
        <w:t>If we are successful in obtaining marketing approval from applicable regulatory authorities for TX45 or any other product candidate, our ability to generate revenues from any such products will depend on our success in:</w:t>
      </w:r>
    </w:p>
    <w:p>
      <w:pPr>
        <w:spacing w:after="0" w:line="54" w:lineRule="exact"/>
        <w:rPr>
          <w:sz w:val="20"/>
          <w:szCs w:val="20"/>
          <w:color w:val="auto"/>
        </w:rPr>
      </w:pPr>
    </w:p>
    <w:p>
      <w:pPr>
        <w:ind w:left="263" w:hanging="263"/>
        <w:spacing w:after="0"/>
        <w:tabs>
          <w:tab w:leader="none" w:pos="2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such products, whether alone or in collaboration with others;</w:t>
      </w:r>
    </w:p>
    <w:p>
      <w:pPr>
        <w:spacing w:after="0" w:line="117" w:lineRule="exact"/>
        <w:rPr>
          <w:rFonts w:ascii="Times New Roman" w:cs="Times New Roman" w:eastAsia="Times New Roman" w:hAnsi="Times New Roman"/>
          <w:sz w:val="18"/>
          <w:szCs w:val="18"/>
          <w:color w:val="auto"/>
        </w:rPr>
      </w:pPr>
    </w:p>
    <w:p>
      <w:pPr>
        <w:ind w:left="3" w:right="640" w:hanging="3"/>
        <w:spacing w:after="0" w:line="282" w:lineRule="auto"/>
        <w:tabs>
          <w:tab w:leader="none" w:pos="2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approved labels with claims that are necessary or desirable for successful marketing, and that do not contain safety or other limitations that would impede our ability to market such products;</w:t>
      </w:r>
    </w:p>
    <w:p>
      <w:pPr>
        <w:spacing w:after="0" w:line="16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97" w:right="339" w:bottom="1440" w:gutter="0" w:footer="0" w:header="0"/>
        </w:sectPr>
      </w:pPr>
    </w:p>
    <w:bookmarkStart w:id="47" w:name="page48"/>
    <w:bookmarkEnd w:id="47"/>
    <w:p>
      <w:pPr>
        <w:ind w:left="263" w:hanging="263"/>
        <w:spacing w:after="0"/>
        <w:tabs>
          <w:tab w:leader="none" w:pos="2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 demand for such products through marketing, sales and promotion activities;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and deploying a sales force or contracting with third parties to commercialize such products in the United States;</w:t>
      </w:r>
    </w:p>
    <w:p>
      <w:pPr>
        <w:spacing w:after="0" w:line="117" w:lineRule="exact"/>
        <w:rPr>
          <w:rFonts w:ascii="Times New Roman" w:cs="Times New Roman" w:eastAsia="Times New Roman" w:hAnsi="Times New Roman"/>
          <w:sz w:val="18"/>
          <w:szCs w:val="18"/>
          <w:color w:val="auto"/>
        </w:rPr>
      </w:pPr>
    </w:p>
    <w:p>
      <w:pPr>
        <w:ind w:left="3" w:right="360" w:hanging="3"/>
        <w:spacing w:after="0" w:line="282" w:lineRule="auto"/>
        <w:tabs>
          <w:tab w:leader="none" w:pos="2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strategic collaborations with, or offering licenses to, third parties to promote and sell such products in foreign markets where we receive marketing approval;</w:t>
      </w:r>
    </w:p>
    <w:p>
      <w:pPr>
        <w:spacing w:after="0" w:line="53" w:lineRule="exact"/>
        <w:rPr>
          <w:rFonts w:ascii="Times New Roman" w:cs="Times New Roman" w:eastAsia="Times New Roman" w:hAnsi="Times New Roman"/>
          <w:sz w:val="18"/>
          <w:szCs w:val="18"/>
          <w:color w:val="auto"/>
        </w:rPr>
      </w:pPr>
    </w:p>
    <w:p>
      <w:pPr>
        <w:ind w:left="3" w:right="480" w:hanging="3"/>
        <w:spacing w:after="0" w:line="282" w:lineRule="auto"/>
        <w:tabs>
          <w:tab w:leader="none" w:pos="2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such products (i) in sufficient quantities, (ii) at acceptable quality and cost and (iii) in a presentation that is practical and compatible with the intended clinical use to meet commercial demand at launch and thereafter;</w:t>
      </w:r>
    </w:p>
    <w:p>
      <w:pPr>
        <w:spacing w:after="0" w:line="53" w:lineRule="exact"/>
        <w:rPr>
          <w:rFonts w:ascii="Times New Roman" w:cs="Times New Roman" w:eastAsia="Times New Roman" w:hAnsi="Times New Roman"/>
          <w:sz w:val="18"/>
          <w:szCs w:val="18"/>
          <w:color w:val="auto"/>
        </w:rPr>
      </w:pPr>
    </w:p>
    <w:p>
      <w:pPr>
        <w:ind w:left="3" w:right="380" w:hanging="3"/>
        <w:spacing w:after="0" w:line="282" w:lineRule="auto"/>
        <w:tabs>
          <w:tab w:leader="none" w:pos="2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wholesalers, distributors, and group purchasing organizations on commercially reasonable terms;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patent and trade secret protection and regulatory exclusivity for such products;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market acceptance of such products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coverage and adequate reimbursement from third-party payors for such products;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such coverage and adequate reimbursement from third-party payors;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such products following launch.</w:t>
      </w:r>
    </w:p>
    <w:p>
      <w:pPr>
        <w:spacing w:after="0" w:line="117" w:lineRule="exact"/>
        <w:rPr>
          <w:sz w:val="20"/>
          <w:szCs w:val="20"/>
          <w:color w:val="auto"/>
        </w:rPr>
      </w:pPr>
    </w:p>
    <w:p>
      <w:pPr>
        <w:ind w:left="3" w:right="60"/>
        <w:spacing w:after="0" w:line="282" w:lineRule="auto"/>
        <w:rPr>
          <w:sz w:val="20"/>
          <w:szCs w:val="20"/>
          <w:color w:val="auto"/>
        </w:rPr>
      </w:pPr>
      <w:r>
        <w:rPr>
          <w:rFonts w:ascii="Times New Roman" w:cs="Times New Roman" w:eastAsia="Times New Roman" w:hAnsi="Times New Roman"/>
          <w:sz w:val="18"/>
          <w:szCs w:val="18"/>
          <w:color w:val="auto"/>
        </w:rPr>
        <w:t>To the extent we are not able to do any of the foregoing, our business, financial condition, results of operations, stock price and prospects will be materially harmed.</w:t>
      </w:r>
    </w:p>
    <w:p>
      <w:pPr>
        <w:spacing w:after="0" w:line="158" w:lineRule="exact"/>
        <w:rPr>
          <w:sz w:val="20"/>
          <w:szCs w:val="20"/>
          <w:color w:val="auto"/>
        </w:rPr>
      </w:pPr>
    </w:p>
    <w:p>
      <w:pPr>
        <w:ind w:left="3"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59" w:lineRule="exact"/>
        <w:rPr>
          <w:sz w:val="20"/>
          <w:szCs w:val="20"/>
          <w:color w:val="auto"/>
        </w:rPr>
      </w:pPr>
    </w:p>
    <w:p>
      <w:pPr>
        <w:ind w:left="3"/>
        <w:spacing w:after="0" w:line="252" w:lineRule="auto"/>
        <w:rPr>
          <w:sz w:val="20"/>
          <w:szCs w:val="20"/>
          <w:color w:val="auto"/>
        </w:rPr>
      </w:pPr>
      <w:r>
        <w:rPr>
          <w:rFonts w:ascii="Times New Roman" w:cs="Times New Roman" w:eastAsia="Times New Roman" w:hAnsi="Times New Roman"/>
          <w:sz w:val="18"/>
          <w:szCs w:val="18"/>
          <w:color w:val="auto"/>
        </w:rPr>
        <w:t>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88" w:lineRule="exact"/>
        <w:rPr>
          <w:sz w:val="20"/>
          <w:szCs w:val="20"/>
          <w:color w:val="auto"/>
        </w:rPr>
      </w:pPr>
    </w:p>
    <w:p>
      <w:pPr>
        <w:ind w:left="3"/>
        <w:spacing w:after="0" w:line="255" w:lineRule="auto"/>
        <w:rPr>
          <w:sz w:val="20"/>
          <w:szCs w:val="20"/>
          <w:color w:val="auto"/>
        </w:rPr>
      </w:pPr>
      <w:r>
        <w:rPr>
          <w:rFonts w:ascii="Times New Roman" w:cs="Times New Roman" w:eastAsia="Times New Roman" w:hAnsi="Times New Roman"/>
          <w:sz w:val="18"/>
          <w:szCs w:val="18"/>
          <w:color w:val="auto"/>
        </w:rPr>
        <w:t>We compete in the segments of the biotechnology, pharmaceutical and other related industries that develop and market therapies for the treatment of Group 2 PH with HFpEF and Hereditary Hemorrhagic Telangiectasia (“HHT”) disorders. Although there are no other companies who have commercialized therapies for the same therapeutic areas that our product candidates target, there are many other companies, including large biotechnology and pharmaceutical companies, that are developing therapies for the same therapeutic areas. For example, AstraZeneca and Tenax Therapeutics for the treatment of Group 2 PH and Diagonal Therapeutics and Vaderis Therapeutics for the treatment of HHT. Also, treatments that could potentially be of use across all HFpEF patients, such as are currently being developed by Lilly and others, could also benefit the Group 2 PH subgroup of the HFpEF population and thus represent competition for us in this segment as well.</w:t>
      </w:r>
    </w:p>
    <w:p>
      <w:pPr>
        <w:spacing w:after="0" w:line="81" w:lineRule="exact"/>
        <w:rPr>
          <w:sz w:val="20"/>
          <w:szCs w:val="20"/>
          <w:color w:val="auto"/>
        </w:rPr>
      </w:pPr>
    </w:p>
    <w:p>
      <w:pPr>
        <w:ind w:left="3"/>
        <w:spacing w:after="0" w:line="258" w:lineRule="auto"/>
        <w:rPr>
          <w:sz w:val="20"/>
          <w:szCs w:val="20"/>
          <w:color w:val="auto"/>
        </w:rPr>
      </w:pPr>
      <w:r>
        <w:rPr>
          <w:rFonts w:ascii="Times New Roman" w:cs="Times New Roman" w:eastAsia="Times New Roman" w:hAnsi="Times New Roman"/>
          <w:sz w:val="18"/>
          <w:szCs w:val="18"/>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w:t>
      </w:r>
    </w:p>
    <w:p>
      <w:pPr>
        <w:spacing w:after="0" w:line="183"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48" w:name="page49"/>
    <w:bookmarkEnd w:id="48"/>
    <w:p>
      <w:pPr>
        <w:ind w:left="3" w:right="40"/>
        <w:spacing w:after="0" w:line="266" w:lineRule="auto"/>
        <w:rPr>
          <w:sz w:val="20"/>
          <w:szCs w:val="20"/>
          <w:color w:val="auto"/>
        </w:rPr>
      </w:pPr>
      <w:r>
        <w:rPr>
          <w:rFonts w:ascii="Times New Roman" w:cs="Times New Roman" w:eastAsia="Times New Roman" w:hAnsi="Times New Roman"/>
          <w:sz w:val="18"/>
          <w:szCs w:val="18"/>
          <w:color w:val="auto"/>
        </w:rPr>
        <w:t>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172" w:lineRule="exact"/>
        <w:rPr>
          <w:sz w:val="20"/>
          <w:szCs w:val="20"/>
          <w:color w:val="auto"/>
        </w:rPr>
      </w:pPr>
    </w:p>
    <w:p>
      <w:pPr>
        <w:ind w:left="3"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p>
    <w:p>
      <w:pPr>
        <w:spacing w:after="0" w:line="175" w:lineRule="exact"/>
        <w:rPr>
          <w:sz w:val="20"/>
          <w:szCs w:val="20"/>
          <w:color w:val="auto"/>
        </w:rPr>
      </w:pPr>
    </w:p>
    <w:p>
      <w:pPr>
        <w:ind w:left="3"/>
        <w:spacing w:after="0" w:line="254" w:lineRule="auto"/>
        <w:rPr>
          <w:sz w:val="20"/>
          <w:szCs w:val="20"/>
          <w:color w:val="auto"/>
        </w:rPr>
      </w:pPr>
      <w:r>
        <w:rPr>
          <w:rFonts w:ascii="Times New Roman" w:cs="Times New Roman" w:eastAsia="Times New Roman" w:hAnsi="Times New Roman"/>
          <w:sz w:val="18"/>
          <w:szCs w:val="18"/>
          <w:color w:val="auto"/>
        </w:rPr>
        <w:t>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84" w:lineRule="exact"/>
        <w:rPr>
          <w:sz w:val="20"/>
          <w:szCs w:val="20"/>
          <w:color w:val="auto"/>
        </w:rPr>
      </w:pPr>
    </w:p>
    <w:p>
      <w:pPr>
        <w:ind w:left="263" w:hanging="263"/>
        <w:spacing w:after="0"/>
        <w:tabs>
          <w:tab w:leader="none" w:pos="2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adequate numbers of physicians on the benefits of our products;</w:t>
      </w:r>
    </w:p>
    <w:p>
      <w:pPr>
        <w:spacing w:after="0" w:line="117" w:lineRule="exact"/>
        <w:rPr>
          <w:rFonts w:ascii="Times New Roman" w:cs="Times New Roman" w:eastAsia="Times New Roman" w:hAnsi="Times New Roman"/>
          <w:sz w:val="18"/>
          <w:szCs w:val="18"/>
          <w:color w:val="auto"/>
        </w:rPr>
      </w:pPr>
    </w:p>
    <w:p>
      <w:pPr>
        <w:ind w:left="3" w:right="180" w:hanging="3"/>
        <w:spacing w:after="0" w:line="282" w:lineRule="auto"/>
        <w:tabs>
          <w:tab w:leader="none" w:pos="2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marketing and promotion above those anticipated by us.</w:t>
      </w:r>
    </w:p>
    <w:p>
      <w:pPr>
        <w:spacing w:after="0" w:line="117" w:lineRule="exact"/>
        <w:rPr>
          <w:sz w:val="20"/>
          <w:szCs w:val="20"/>
          <w:color w:val="auto"/>
        </w:rPr>
      </w:pPr>
    </w:p>
    <w:p>
      <w:pPr>
        <w:ind w:left="3"/>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84" w:lineRule="exact"/>
        <w:rPr>
          <w:sz w:val="20"/>
          <w:szCs w:val="20"/>
          <w:color w:val="auto"/>
        </w:rPr>
      </w:pPr>
    </w:p>
    <w:p>
      <w:pPr>
        <w:ind w:left="3" w:right="220"/>
        <w:spacing w:after="0" w:line="266"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w:t>
      </w:r>
    </w:p>
    <w:p>
      <w:pPr>
        <w:spacing w:after="0" w:line="172" w:lineRule="exact"/>
        <w:rPr>
          <w:sz w:val="20"/>
          <w:szCs w:val="20"/>
          <w:color w:val="auto"/>
        </w:rPr>
      </w:pPr>
    </w:p>
    <w:p>
      <w:pPr>
        <w:ind w:left="3"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p>
    <w:p>
      <w:pPr>
        <w:spacing w:after="0" w:line="175" w:lineRule="exact"/>
        <w:rPr>
          <w:sz w:val="20"/>
          <w:szCs w:val="20"/>
          <w:color w:val="auto"/>
        </w:rPr>
      </w:pPr>
    </w:p>
    <w:p>
      <w:pPr>
        <w:ind w:left="3" w:right="40"/>
        <w:spacing w:after="0" w:line="255"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81" w:lineRule="exact"/>
        <w:rPr>
          <w:sz w:val="20"/>
          <w:szCs w:val="20"/>
          <w:color w:val="auto"/>
        </w:rPr>
      </w:pPr>
    </w:p>
    <w:p>
      <w:pPr>
        <w:ind w:left="3" w:right="10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spacing w:after="0" w:line="72" w:lineRule="exact"/>
        <w:rPr>
          <w:sz w:val="20"/>
          <w:szCs w:val="20"/>
          <w:color w:val="auto"/>
        </w:rPr>
      </w:pPr>
    </w:p>
    <w:p>
      <w:pPr>
        <w:ind w:left="4783" w:right="5140" w:hanging="4783"/>
        <w:spacing w:after="0" w:line="409" w:lineRule="auto"/>
        <w:tabs>
          <w:tab w:leader="none" w:pos="27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our product candidates are approved;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678815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49" w:name="page50"/>
    <w:bookmarkEnd w:id="49"/>
    <w:p>
      <w:pPr>
        <w:ind w:left="263" w:hanging="263"/>
        <w:spacing w:after="0"/>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and patients considering our product candidates as a safe and effective treatment;</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in relation to other potentially competitive products;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product candidates in relation to alternative treatments;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upfront costs or training required for physicians to administer our product candidates;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third-party payors and government authorities;</w:t>
      </w:r>
    </w:p>
    <w:p>
      <w:pPr>
        <w:spacing w:after="0" w:line="117" w:lineRule="exact"/>
        <w:rPr>
          <w:rFonts w:ascii="Times New Roman" w:cs="Times New Roman" w:eastAsia="Times New Roman" w:hAnsi="Times New Roman"/>
          <w:sz w:val="18"/>
          <w:szCs w:val="18"/>
          <w:color w:val="auto"/>
        </w:rPr>
      </w:pPr>
    </w:p>
    <w:p>
      <w:pPr>
        <w:ind w:left="3" w:right="440" w:hanging="3"/>
        <w:spacing w:after="0" w:line="282" w:lineRule="auto"/>
        <w:tabs>
          <w:tab w:leader="none" w:pos="2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comprehensive coverage and reimbursement by third-party payors and government authorities;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including as compared to alternative treatments and competitive therapies;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distribution support; and</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or perceived risk of potential product liability claims.</w:t>
      </w:r>
    </w:p>
    <w:p>
      <w:pPr>
        <w:spacing w:after="0" w:line="2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may negatively impact our ability to profitably sell TX45 and any potential future product candidates, if approved.</w:t>
      </w:r>
    </w:p>
    <w:p>
      <w:pPr>
        <w:spacing w:after="0" w:line="229" w:lineRule="exact"/>
        <w:rPr>
          <w:sz w:val="20"/>
          <w:szCs w:val="20"/>
          <w:color w:val="auto"/>
        </w:rPr>
      </w:pPr>
    </w:p>
    <w:p>
      <w:pPr>
        <w:ind w:left="3" w:right="340"/>
        <w:spacing w:after="0" w:line="261"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our ability to profitably sell any product for which we obtain marketing approval.</w:t>
      </w:r>
    </w:p>
    <w:p>
      <w:pPr>
        <w:spacing w:after="0" w:line="72" w:lineRule="exact"/>
        <w:rPr>
          <w:sz w:val="20"/>
          <w:szCs w:val="20"/>
          <w:color w:val="auto"/>
        </w:rPr>
      </w:pPr>
    </w:p>
    <w:p>
      <w:pPr>
        <w:ind w:left="3"/>
        <w:spacing w:after="0" w:line="253"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our business. For example, the Tax Cuts and Jobs Act, repealed the tax-based shared responsibility payment imposed by the ACA on certain individuals who fail to maintain qualifying health coverage that is commonly referred to as the “individual mandate.” On June 17, 2021, the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79" w:lineRule="exact"/>
        <w:rPr>
          <w:sz w:val="20"/>
          <w:szCs w:val="20"/>
          <w:color w:val="auto"/>
        </w:rPr>
      </w:pPr>
    </w:p>
    <w:p>
      <w:pPr>
        <w:ind w:left="3" w:right="20"/>
        <w:spacing w:after="0" w:line="261" w:lineRule="auto"/>
        <w:rPr>
          <w:sz w:val="20"/>
          <w:szCs w:val="20"/>
          <w:color w:val="auto"/>
        </w:rPr>
      </w:pPr>
      <w:r>
        <w:rPr>
          <w:rFonts w:ascii="Times New Roman" w:cs="Times New Roman" w:eastAsia="Times New Roman" w:hAnsi="Times New Roman"/>
          <w:sz w:val="18"/>
          <w:szCs w:val="18"/>
          <w:color w:val="auto"/>
        </w:rPr>
        <w:t>Further, on July 9, 2021, President Biden issued an executive order directing the FDA to, among other things,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w:t>
      </w:r>
    </w:p>
    <w:p>
      <w:pPr>
        <w:spacing w:after="0" w:line="72" w:lineRule="exact"/>
        <w:rPr>
          <w:sz w:val="20"/>
          <w:szCs w:val="20"/>
          <w:color w:val="auto"/>
        </w:rPr>
      </w:pPr>
    </w:p>
    <w:p>
      <w:pPr>
        <w:ind w:left="3" w:right="140"/>
        <w:spacing w:after="0" w:line="255" w:lineRule="auto"/>
        <w:rPr>
          <w:sz w:val="20"/>
          <w:szCs w:val="20"/>
          <w:color w:val="auto"/>
        </w:rPr>
      </w:pPr>
      <w:r>
        <w:rPr>
          <w:rFonts w:ascii="Times New Roman" w:cs="Times New Roman" w:eastAsia="Times New Roman" w:hAnsi="Times New Roman"/>
          <w:sz w:val="18"/>
          <w:szCs w:val="18"/>
          <w:color w:val="auto"/>
        </w:rPr>
        <w:t>Additionally, on August 16, 2022, President Biden signed the Inflation Reduction Act (the “IRA”), into law, which among other things, (1) directs the Department of Health and Human Services (the “HHS”), to negotiate the price of certain single-source drugs and biologics covered under Medicare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our interest in pursuing orphan drug designation for our product candidates in multiple indications. The IRA also, among</w:t>
      </w:r>
    </w:p>
    <w:p>
      <w:pPr>
        <w:spacing w:after="0" w:line="18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50" w:name="page51"/>
    <w:bookmarkEnd w:id="50"/>
    <w:p>
      <w:pPr>
        <w:ind w:right="80"/>
        <w:spacing w:after="0" w:line="253" w:lineRule="auto"/>
        <w:rPr>
          <w:sz w:val="20"/>
          <w:szCs w:val="20"/>
          <w:color w:val="auto"/>
        </w:rPr>
      </w:pPr>
      <w:r>
        <w:rPr>
          <w:rFonts w:ascii="Times New Roman" w:cs="Times New Roman" w:eastAsia="Times New Roman" w:hAnsi="Times New Roman"/>
          <w:sz w:val="18"/>
          <w:szCs w:val="18"/>
          <w:color w:val="auto"/>
        </w:rPr>
        <w:t>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take effect progressively starting in fiscal year 2023. On August 15, 2024, HHS announced the agreed-upon reimbursement prices of the first ten drugs that were subject to price negotiations, although the Medicare drug price negotiation program is currently subject to legal challenges. HHS will select up to fifteen additional drugs covered under Part D for price negotiation in 2025. The IRA permits HHS to implement many of these provisions through guidance, as opposed to regulation, for the initial years. HHS has and will continue to issue and update guidance as these programs are implemented. It is possible that the ACA and IRA may be subject to judicial or Congressional challenges in the future. It is unclear how any additional healthcare reform measures may impact the ACA or IRA, increase the pressure on drug pricing or limit the availability of coverage and adequate reimbursement for TX45 and any potential future product candidates, which would adversely affect our business.</w:t>
      </w:r>
    </w:p>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in response to the Biden administration’s October 2022 executive order, on February 14, 2023, HHS released a report outlining three new models for testing by the Centers for Medicare &amp; Medicaid Services (“CMS”), Innovation Center which will be evaluated on their ability to lower the cost of drugs, promote accessibility, and improve the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particularly in light of the recent U.S. presidential and Congressional elections. Such reforms could have an adverse effect on anticipated revenue from TX45 and any potential future product candidates that we may successfully develop and for which we may obtain regulatory approval and may affect our overall financial condition and ability to develop product candidates.</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w:t>
      </w:r>
    </w:p>
    <w:p>
      <w:pPr>
        <w:spacing w:after="0" w:line="1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51" w:name="page52"/>
    <w:bookmarkEnd w:id="51"/>
    <w:p>
      <w:pPr>
        <w:ind w:left="3" w:right="320"/>
        <w:spacing w:after="0" w:line="261" w:lineRule="auto"/>
        <w:rPr>
          <w:sz w:val="20"/>
          <w:szCs w:val="20"/>
          <w:color w:val="auto"/>
        </w:rPr>
      </w:pPr>
      <w:r>
        <w:rPr>
          <w:rFonts w:ascii="Times New Roman" w:cs="Times New Roman" w:eastAsia="Times New Roman" w:hAnsi="Times New Roman"/>
          <w:sz w:val="18"/>
          <w:szCs w:val="18"/>
          <w:color w:val="auto"/>
        </w:rPr>
        <w:t>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w:t>
      </w:r>
    </w:p>
    <w:p>
      <w:pPr>
        <w:spacing w:after="0" w:line="72" w:lineRule="exact"/>
        <w:rPr>
          <w:sz w:val="20"/>
          <w:szCs w:val="20"/>
          <w:color w:val="auto"/>
        </w:rPr>
      </w:pPr>
    </w:p>
    <w:p>
      <w:pPr>
        <w:ind w:left="3" w:right="40"/>
        <w:spacing w:after="0" w:line="289" w:lineRule="auto"/>
        <w:rPr>
          <w:sz w:val="20"/>
          <w:szCs w:val="20"/>
          <w:color w:val="auto"/>
        </w:rPr>
      </w:pPr>
      <w:r>
        <w:rPr>
          <w:rFonts w:ascii="Times New Roman" w:cs="Times New Roman" w:eastAsia="Times New Roman" w:hAnsi="Times New Roman"/>
          <w:sz w:val="17"/>
          <w:szCs w:val="17"/>
          <w:color w:val="auto"/>
        </w:rPr>
        <w:t>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w:t>
      </w:r>
    </w:p>
    <w:p>
      <w:pPr>
        <w:spacing w:after="0" w:line="50" w:lineRule="exact"/>
        <w:rPr>
          <w:sz w:val="20"/>
          <w:szCs w:val="20"/>
          <w:color w:val="auto"/>
        </w:rPr>
      </w:pPr>
    </w:p>
    <w:p>
      <w:pPr>
        <w:ind w:left="3" w:right="100"/>
        <w:spacing w:after="0" w:line="266" w:lineRule="auto"/>
        <w:rPr>
          <w:sz w:val="20"/>
          <w:szCs w:val="20"/>
          <w:color w:val="auto"/>
        </w:rPr>
      </w:pPr>
      <w:r>
        <w:rPr>
          <w:rFonts w:ascii="Times New Roman" w:cs="Times New Roman" w:eastAsia="Times New Roman" w:hAnsi="Times New Roman"/>
          <w:sz w:val="18"/>
          <w:szCs w:val="18"/>
          <w:color w:val="auto"/>
        </w:rPr>
        <w:t>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72" w:lineRule="exact"/>
        <w:rPr>
          <w:sz w:val="20"/>
          <w:szCs w:val="20"/>
          <w:color w:val="auto"/>
        </w:rPr>
      </w:pPr>
    </w:p>
    <w:p>
      <w:pPr>
        <w:ind w:left="3"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left="3"/>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5" w:lineRule="exact"/>
        <w:rPr>
          <w:sz w:val="20"/>
          <w:szCs w:val="20"/>
          <w:color w:val="auto"/>
        </w:rPr>
      </w:pPr>
    </w:p>
    <w:p>
      <w:pPr>
        <w:ind w:left="3" w:right="220"/>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w:t>
      </w:r>
    </w:p>
    <w:p>
      <w:pPr>
        <w:spacing w:after="0" w:line="179" w:lineRule="exact"/>
        <w:rPr>
          <w:sz w:val="20"/>
          <w:szCs w:val="20"/>
          <w:color w:val="auto"/>
        </w:rPr>
      </w:pPr>
    </w:p>
    <w:p>
      <w:pPr>
        <w:ind w:left="3"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175" w:lineRule="exact"/>
        <w:rPr>
          <w:sz w:val="20"/>
          <w:szCs w:val="20"/>
          <w:color w:val="auto"/>
        </w:rPr>
      </w:pPr>
    </w:p>
    <w:p>
      <w:pPr>
        <w:ind w:left="3" w:right="140"/>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w:t>
      </w:r>
    </w:p>
    <w:p>
      <w:pPr>
        <w:spacing w:after="0" w:line="75" w:lineRule="exact"/>
        <w:rPr>
          <w:sz w:val="20"/>
          <w:szCs w:val="20"/>
          <w:color w:val="auto"/>
        </w:rPr>
      </w:pPr>
    </w:p>
    <w:p>
      <w:pPr>
        <w:ind w:left="3" w:right="20" w:hanging="3"/>
        <w:spacing w:after="0" w:line="254" w:lineRule="auto"/>
        <w:tabs>
          <w:tab w:leader="none" w:pos="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w:t>
      </w:r>
    </w:p>
    <w:p>
      <w:pPr>
        <w:spacing w:after="0" w:line="80" w:lineRule="exact"/>
        <w:rPr>
          <w:rFonts w:ascii="Times New Roman" w:cs="Times New Roman" w:eastAsia="Times New Roman" w:hAnsi="Times New Roman"/>
          <w:sz w:val="18"/>
          <w:szCs w:val="18"/>
          <w:color w:val="auto"/>
        </w:rPr>
      </w:pPr>
    </w:p>
    <w:p>
      <w:pPr>
        <w:ind w:left="3" w:right="200" w:hanging="3"/>
        <w:spacing w:after="0" w:line="258" w:lineRule="auto"/>
        <w:tabs>
          <w:tab w:leader="none" w:pos="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w:t>
      </w:r>
    </w:p>
    <w:p>
      <w:pPr>
        <w:spacing w:after="0" w:line="183"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52" w:name="page53"/>
    <w:bookmarkEnd w:id="52"/>
    <w:p>
      <w:pPr>
        <w:ind w:left="3" w:right="80" w:firstLine="269"/>
        <w:spacing w:after="0" w:line="282" w:lineRule="auto"/>
        <w:rPr>
          <w:sz w:val="20"/>
          <w:szCs w:val="20"/>
          <w:color w:val="auto"/>
        </w:rPr>
      </w:pPr>
      <w:r>
        <w:rPr>
          <w:rFonts w:ascii="Times New Roman" w:cs="Times New Roman" w:eastAsia="Times New Roman" w:hAnsi="Times New Roman"/>
          <w:sz w:val="18"/>
          <w:szCs w:val="18"/>
          <w:color w:val="auto"/>
        </w:rPr>
        <w:t>acting as a “whistleblower” to bring actions on behalf of the federal government alleging violations of the FCA and to share in any monetary recovery;</w:t>
      </w:r>
    </w:p>
    <w:p>
      <w:pPr>
        <w:spacing w:after="0" w:line="54" w:lineRule="exact"/>
        <w:rPr>
          <w:sz w:val="20"/>
          <w:szCs w:val="20"/>
          <w:color w:val="auto"/>
        </w:rPr>
      </w:pPr>
    </w:p>
    <w:p>
      <w:pPr>
        <w:ind w:left="3" w:right="360" w:hanging="3"/>
        <w:spacing w:after="0" w:line="258" w:lineRule="auto"/>
        <w:tabs>
          <w:tab w:leader="none" w:pos="27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3" w:right="20" w:hanging="3"/>
        <w:spacing w:after="0" w:line="271" w:lineRule="auto"/>
        <w:tabs>
          <w:tab w:leader="none" w:pos="27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65" w:lineRule="exact"/>
        <w:rPr>
          <w:rFonts w:ascii="Times New Roman" w:cs="Times New Roman" w:eastAsia="Times New Roman" w:hAnsi="Times New Roman"/>
          <w:sz w:val="17"/>
          <w:szCs w:val="17"/>
          <w:color w:val="auto"/>
        </w:rPr>
      </w:pPr>
    </w:p>
    <w:p>
      <w:pPr>
        <w:ind w:left="3" w:hanging="3"/>
        <w:spacing w:after="0" w:line="258" w:lineRule="auto"/>
        <w:tabs>
          <w:tab w:leader="none" w:pos="27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spacing w:after="0" w:line="75" w:lineRule="exact"/>
        <w:rPr>
          <w:rFonts w:ascii="Times New Roman" w:cs="Times New Roman" w:eastAsia="Times New Roman" w:hAnsi="Times New Roman"/>
          <w:sz w:val="18"/>
          <w:szCs w:val="18"/>
          <w:color w:val="auto"/>
        </w:rPr>
      </w:pPr>
    </w:p>
    <w:p>
      <w:pPr>
        <w:ind w:left="3" w:right="80" w:hanging="3"/>
        <w:spacing w:after="0" w:line="253" w:lineRule="auto"/>
        <w:tabs>
          <w:tab w:leader="none" w:pos="27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spacing w:after="0" w:line="86" w:lineRule="exact"/>
        <w:rPr>
          <w:sz w:val="20"/>
          <w:szCs w:val="20"/>
          <w:color w:val="auto"/>
        </w:rPr>
      </w:pPr>
    </w:p>
    <w:p>
      <w:pPr>
        <w:ind w:left="3" w:right="2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84" w:lineRule="exact"/>
        <w:rPr>
          <w:sz w:val="20"/>
          <w:szCs w:val="20"/>
          <w:color w:val="auto"/>
        </w:rPr>
      </w:pPr>
    </w:p>
    <w:p>
      <w:pPr>
        <w:ind w:left="3" w:right="60"/>
        <w:spacing w:after="0" w:line="261" w:lineRule="auto"/>
        <w:rPr>
          <w:sz w:val="20"/>
          <w:szCs w:val="20"/>
          <w:color w:val="auto"/>
        </w:rPr>
      </w:pPr>
      <w:r>
        <w:rPr>
          <w:rFonts w:ascii="Times New Roman" w:cs="Times New Roman" w:eastAsia="Times New Roman" w:hAnsi="Times New Roman"/>
          <w:sz w:val="18"/>
          <w:szCs w:val="18"/>
          <w:color w:val="auto"/>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76" w:lineRule="exact"/>
        <w:rPr>
          <w:sz w:val="20"/>
          <w:szCs w:val="20"/>
          <w:color w:val="auto"/>
        </w:rPr>
      </w:pPr>
    </w:p>
    <w:p>
      <w:pPr>
        <w:ind w:left="3"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in the future by political unrest in China, as well as the effects of disease outbreaks, epidemics and pandemics.</w:t>
      </w:r>
    </w:p>
    <w:p>
      <w:pPr>
        <w:spacing w:after="0" w:line="159" w:lineRule="exact"/>
        <w:rPr>
          <w:sz w:val="20"/>
          <w:szCs w:val="20"/>
          <w:color w:val="auto"/>
        </w:rPr>
      </w:pPr>
    </w:p>
    <w:p>
      <w:pPr>
        <w:ind w:left="3" w:right="40"/>
        <w:spacing w:after="0" w:line="282" w:lineRule="auto"/>
        <w:rPr>
          <w:sz w:val="20"/>
          <w:szCs w:val="20"/>
          <w:color w:val="auto"/>
        </w:rPr>
      </w:pPr>
      <w:r>
        <w:rPr>
          <w:rFonts w:ascii="Times New Roman" w:cs="Times New Roman" w:eastAsia="Times New Roman" w:hAnsi="Times New Roman"/>
          <w:sz w:val="18"/>
          <w:szCs w:val="18"/>
          <w:color w:val="auto"/>
        </w:rPr>
        <w:t>Disease outbreaks, epidemics and pandemics in regions where we may have clinical trial sites or other business operations could adversely affect our business, including by causing significant disruptions in our operations and/or in the operations of</w:t>
      </w:r>
    </w:p>
    <w:p>
      <w:pPr>
        <w:spacing w:after="0" w:line="16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53" w:name="page54"/>
    <w:bookmarkEnd w:id="53"/>
    <w:p>
      <w:pPr>
        <w:ind w:right="100"/>
        <w:spacing w:after="0" w:line="254" w:lineRule="auto"/>
        <w:rPr>
          <w:sz w:val="20"/>
          <w:szCs w:val="20"/>
          <w:color w:val="auto"/>
        </w:rPr>
      </w:pPr>
      <w:r>
        <w:rPr>
          <w:rFonts w:ascii="Times New Roman" w:cs="Times New Roman" w:eastAsia="Times New Roman" w:hAnsi="Times New Roman"/>
          <w:sz w:val="18"/>
          <w:szCs w:val="18"/>
          <w:color w:val="auto"/>
        </w:rPr>
        <w:t>third-party manufacturers and CROs upon whom we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TX45, TX2100 and any potential future product candidates, if at all. Disease outbreaks, epidemics and pandemics also could adversely impact clinical trial results for TX45 or other future potential product candidates, such as by diminishing or eliminating their efficacy or by producing a safety concern, either through direct biological effects or through confounding of the data collection and analysis. This adverse impact could terminate further development of TX45, result in a lack of product approval by the FDA or other regulatory authorities, delay the timing (and/or increase the cost) of a product approval by the FDA or other regulatory authorities, lead to a restrictive product label that significantly limits prescribing of an approved product, delay or preclude reimbursement by payors, or significantly limit or preclude the commercialization of TX45.</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because our key manufacturer and supplier for TX45 is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recently proposed BIOSECURE Act passed in the U.S. House of Representatives, as well as a substantially similar bill in the U.S. Senate, target U.S. government contracts, grants, and loans for entities that use equipment and services from certain named Chinese biotechnology companies, and would authorize the U.S. government to name additional Chinese biotechnology companies of concern. If these bills become law, or similar laws are passed, they would have the potential to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supply chain issues may be exacerbated during disease outbreaks, epidemics and pandemics and may also impact the ability of our clinical trial sites to obtain basic medical supplies used in our trials in a timely fashion, if at all.</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our contract manufacturing organizations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spacing w:after="0" w:line="1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15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6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54" w:name="page55"/>
    <w:bookmarkEnd w:id="54"/>
    <w:p>
      <w:pPr>
        <w:ind w:right="120"/>
        <w:spacing w:after="0" w:line="282" w:lineRule="auto"/>
        <w:rPr>
          <w:sz w:val="20"/>
          <w:szCs w:val="20"/>
          <w:color w:val="auto"/>
        </w:rPr>
      </w:pPr>
      <w:r>
        <w:rPr>
          <w:rFonts w:ascii="Times New Roman" w:cs="Times New Roman" w:eastAsia="Times New Roman" w:hAnsi="Times New Roman"/>
          <w:sz w:val="18"/>
          <w:szCs w:val="18"/>
          <w:color w:val="auto"/>
        </w:rPr>
        <w:t>estimate, the indication approved by regulatory authorities is narrower than our expects or the treatment population is narrowed by competition, physician choice or treatment guidelines, we may not generate significant revenue from sales of such products, even if approved.</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approval to market TX45 or other potential future product candidates, these products may become subject to unfavorable pricing regulations, reimbursement practices from third-party payors or healthcare reform initiatives in the United States and abroad, which could harm our business.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w:t>
      </w:r>
    </w:p>
    <w:p>
      <w:pPr>
        <w:spacing w:after="0" w:line="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w:t>
      </w:r>
    </w:p>
    <w:p>
      <w:pPr>
        <w:spacing w:after="0" w:line="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20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 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patent applications and the enforcement or defense of our issued patents. Under the enacted Leahy-Smith America Invents Act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197" w:right="379" w:bottom="1440" w:gutter="0" w:footer="0" w:header="0"/>
        </w:sectPr>
      </w:pPr>
    </w:p>
    <w:bookmarkStart w:id="56" w:name="page57"/>
    <w:bookmarkEnd w:id="56"/>
    <w:p>
      <w:pPr>
        <w:ind w:left="3" w:right="20"/>
        <w:spacing w:after="0" w:line="255" w:lineRule="auto"/>
        <w:rPr>
          <w:sz w:val="20"/>
          <w:szCs w:val="20"/>
          <w:color w:val="auto"/>
        </w:rPr>
      </w:pPr>
      <w:r>
        <w:rPr>
          <w:rFonts w:ascii="Times New Roman" w:cs="Times New Roman" w:eastAsia="Times New Roman" w:hAnsi="Times New Roman"/>
          <w:sz w:val="18"/>
          <w:szCs w:val="18"/>
          <w:color w:val="auto"/>
        </w:rPr>
        <w:t>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our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81" w:lineRule="exact"/>
        <w:rPr>
          <w:sz w:val="20"/>
          <w:szCs w:val="20"/>
          <w:color w:val="auto"/>
        </w:rPr>
      </w:pPr>
    </w:p>
    <w:p>
      <w:pPr>
        <w:ind w:left="3" w:right="6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4" w:lineRule="exact"/>
        <w:rPr>
          <w:sz w:val="20"/>
          <w:szCs w:val="20"/>
          <w:color w:val="auto"/>
        </w:rPr>
      </w:pPr>
    </w:p>
    <w:p>
      <w:pPr>
        <w:ind w:left="3" w:right="240" w:hanging="3"/>
        <w:spacing w:after="0" w:line="282" w:lineRule="auto"/>
        <w:tabs>
          <w:tab w:leader="none" w:pos="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or cells that are similar to the biological compositions of our product candidates but that are not covered by the claims of our patents;</w:t>
      </w:r>
    </w:p>
    <w:p>
      <w:pPr>
        <w:spacing w:after="0" w:line="53" w:lineRule="exact"/>
        <w:rPr>
          <w:rFonts w:ascii="Times New Roman" w:cs="Times New Roman" w:eastAsia="Times New Roman" w:hAnsi="Times New Roman"/>
          <w:sz w:val="18"/>
          <w:szCs w:val="18"/>
          <w:color w:val="auto"/>
        </w:rPr>
      </w:pPr>
    </w:p>
    <w:p>
      <w:pPr>
        <w:ind w:left="3" w:right="700" w:hanging="3"/>
        <w:spacing w:after="0" w:line="282" w:lineRule="auto"/>
        <w:tabs>
          <w:tab w:leader="none" w:pos="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53" w:lineRule="exact"/>
        <w:rPr>
          <w:rFonts w:ascii="Times New Roman" w:cs="Times New Roman" w:eastAsia="Times New Roman" w:hAnsi="Times New Roman"/>
          <w:sz w:val="18"/>
          <w:szCs w:val="18"/>
          <w:color w:val="auto"/>
        </w:rPr>
      </w:pPr>
    </w:p>
    <w:p>
      <w:pPr>
        <w:ind w:left="3" w:right="360" w:hanging="3"/>
        <w:spacing w:after="0" w:line="282" w:lineRule="auto"/>
        <w:tabs>
          <w:tab w:leader="none" w:pos="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17" w:lineRule="exact"/>
        <w:rPr>
          <w:rFonts w:ascii="Times New Roman" w:cs="Times New Roman" w:eastAsia="Times New Roman" w:hAnsi="Times New Roman"/>
          <w:sz w:val="18"/>
          <w:szCs w:val="18"/>
          <w:color w:val="auto"/>
        </w:rPr>
      </w:pPr>
    </w:p>
    <w:p>
      <w:pPr>
        <w:ind w:left="3" w:right="300" w:hanging="3"/>
        <w:spacing w:after="0" w:line="282" w:lineRule="auto"/>
        <w:tabs>
          <w:tab w:leader="none" w:pos="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us or our licensors’ patents, as the case may be, or parts of ours or their patents;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117" w:lineRule="exact"/>
        <w:rPr>
          <w:rFonts w:ascii="Times New Roman" w:cs="Times New Roman" w:eastAsia="Times New Roman" w:hAnsi="Times New Roman"/>
          <w:sz w:val="18"/>
          <w:szCs w:val="18"/>
          <w:color w:val="auto"/>
        </w:rPr>
      </w:pPr>
    </w:p>
    <w:p>
      <w:pPr>
        <w:ind w:left="3" w:hanging="3"/>
        <w:spacing w:after="0" w:line="282" w:lineRule="auto"/>
        <w:tabs>
          <w:tab w:leader="none" w:pos="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 own;</w:t>
      </w:r>
    </w:p>
    <w:p>
      <w:pPr>
        <w:spacing w:after="0" w:line="53" w:lineRule="exact"/>
        <w:rPr>
          <w:rFonts w:ascii="Times New Roman" w:cs="Times New Roman" w:eastAsia="Times New Roman" w:hAnsi="Times New Roman"/>
          <w:sz w:val="18"/>
          <w:szCs w:val="18"/>
          <w:color w:val="auto"/>
        </w:rPr>
      </w:pPr>
    </w:p>
    <w:p>
      <w:pPr>
        <w:ind w:left="3" w:right="260" w:hanging="3"/>
        <w:spacing w:after="0" w:line="282" w:lineRule="auto"/>
        <w:tabs>
          <w:tab w:leader="none" w:pos="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ours or our licensors’, as the case may be, proprietary rights to the same extent as the laws of the United States;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117" w:lineRule="exact"/>
        <w:rPr>
          <w:rFonts w:ascii="Times New Roman" w:cs="Times New Roman" w:eastAsia="Times New Roman" w:hAnsi="Times New Roman"/>
          <w:sz w:val="18"/>
          <w:szCs w:val="18"/>
          <w:color w:val="auto"/>
        </w:rPr>
      </w:pPr>
    </w:p>
    <w:p>
      <w:pPr>
        <w:ind w:left="3" w:hanging="3"/>
        <w:spacing w:after="0" w:line="282" w:lineRule="auto"/>
        <w:tabs>
          <w:tab w:leader="none" w:pos="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53" w:lineRule="exact"/>
        <w:rPr>
          <w:rFonts w:ascii="Times New Roman" w:cs="Times New Roman" w:eastAsia="Times New Roman" w:hAnsi="Times New Roman"/>
          <w:sz w:val="18"/>
          <w:szCs w:val="18"/>
          <w:color w:val="auto"/>
        </w:rPr>
      </w:pPr>
    </w:p>
    <w:p>
      <w:pPr>
        <w:ind w:left="3" w:right="220" w:hanging="3"/>
        <w:spacing w:after="0" w:line="282" w:lineRule="auto"/>
        <w:tabs>
          <w:tab w:leader="none" w:pos="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53" w:lineRule="exact"/>
        <w:rPr>
          <w:rFonts w:ascii="Times New Roman" w:cs="Times New Roman" w:eastAsia="Times New Roman" w:hAnsi="Times New Roman"/>
          <w:sz w:val="18"/>
          <w:szCs w:val="18"/>
          <w:color w:val="auto"/>
        </w:rPr>
      </w:pPr>
    </w:p>
    <w:p>
      <w:pPr>
        <w:ind w:left="3" w:right="200" w:hanging="3"/>
        <w:spacing w:after="0" w:line="266" w:lineRule="auto"/>
        <w:tabs>
          <w:tab w:leader="none" w:pos="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7" w:lineRule="exact"/>
        <w:rPr>
          <w:rFonts w:ascii="Times New Roman" w:cs="Times New Roman" w:eastAsia="Times New Roman" w:hAnsi="Times New Roman"/>
          <w:sz w:val="18"/>
          <w:szCs w:val="18"/>
          <w:color w:val="auto"/>
        </w:rPr>
      </w:pPr>
    </w:p>
    <w:p>
      <w:pPr>
        <w:ind w:left="3" w:right="120" w:hanging="3"/>
        <w:spacing w:after="0" w:line="282" w:lineRule="auto"/>
        <w:tabs>
          <w:tab w:leader="none" w:pos="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we develop may be covered by third parties’ patents or other exclusive rights; or</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1" w:lineRule="exact"/>
        <w:rPr>
          <w:sz w:val="20"/>
          <w:szCs w:val="20"/>
          <w:color w:val="auto"/>
        </w:rPr>
      </w:pPr>
    </w:p>
    <w:p>
      <w:pPr>
        <w:ind w:left="3"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159" w:lineRule="exact"/>
        <w:rPr>
          <w:sz w:val="20"/>
          <w:szCs w:val="20"/>
          <w:color w:val="auto"/>
        </w:rPr>
      </w:pPr>
    </w:p>
    <w:p>
      <w:pPr>
        <w:ind w:left="3" w:right="80"/>
        <w:spacing w:after="0" w:line="282"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licensed from others including Harvard. Any termination of these licenses could result in the loss of significant rights and could harm our ability to commercialize our product candidates.</w:t>
      </w:r>
    </w:p>
    <w:p>
      <w:pPr>
        <w:spacing w:after="0" w:line="16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57" w:name="page58"/>
    <w:bookmarkEnd w:id="57"/>
    <w:p>
      <w:pPr>
        <w:ind w:left="3"/>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3" w:right="780" w:hanging="3"/>
        <w:spacing w:after="0" w:line="282" w:lineRule="auto"/>
        <w:tabs>
          <w:tab w:leader="none" w:pos="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3" w:right="420" w:hanging="3"/>
        <w:spacing w:after="0" w:line="282" w:lineRule="auto"/>
        <w:tabs>
          <w:tab w:leader="none" w:pos="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53" w:lineRule="exact"/>
        <w:rPr>
          <w:rFonts w:ascii="Times New Roman" w:cs="Times New Roman" w:eastAsia="Times New Roman" w:hAnsi="Times New Roman"/>
          <w:sz w:val="18"/>
          <w:szCs w:val="18"/>
          <w:color w:val="auto"/>
        </w:rPr>
      </w:pPr>
    </w:p>
    <w:p>
      <w:pPr>
        <w:ind w:left="3" w:right="220" w:hanging="3"/>
        <w:spacing w:after="0" w:line="282" w:lineRule="auto"/>
        <w:tabs>
          <w:tab w:leader="none" w:pos="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w:t>
      </w:r>
    </w:p>
    <w:p>
      <w:pPr>
        <w:spacing w:after="0" w:line="54" w:lineRule="exact"/>
        <w:rPr>
          <w:sz w:val="20"/>
          <w:szCs w:val="20"/>
          <w:color w:val="auto"/>
        </w:rPr>
      </w:pPr>
    </w:p>
    <w:p>
      <w:pPr>
        <w:ind w:left="3" w:right="60"/>
        <w:spacing w:after="0" w:line="254" w:lineRule="auto"/>
        <w:rPr>
          <w:sz w:val="20"/>
          <w:szCs w:val="20"/>
          <w:color w:val="auto"/>
        </w:rPr>
      </w:pPr>
      <w:r>
        <w:rPr>
          <w:rFonts w:ascii="Times New Roman" w:cs="Times New Roman" w:eastAsia="Times New Roman" w:hAnsi="Times New Roman"/>
          <w:sz w:val="18"/>
          <w:szCs w:val="18"/>
          <w:color w:val="auto"/>
        </w:rPr>
        <w:t>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w:t>
      </w:r>
    </w:p>
    <w:p>
      <w:pPr>
        <w:spacing w:after="0" w:line="188" w:lineRule="exact"/>
        <w:rPr>
          <w:sz w:val="20"/>
          <w:szCs w:val="20"/>
          <w:color w:val="auto"/>
        </w:rPr>
      </w:pPr>
    </w:p>
    <w:p>
      <w:pPr>
        <w:ind w:left="3"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patent license with a third party, we could lose license rights that are important to our business.</w:t>
      </w:r>
    </w:p>
    <w:p>
      <w:pPr>
        <w:spacing w:after="0" w:line="159" w:lineRule="exact"/>
        <w:rPr>
          <w:sz w:val="20"/>
          <w:szCs w:val="20"/>
          <w:color w:val="auto"/>
        </w:rPr>
      </w:pPr>
    </w:p>
    <w:p>
      <w:pPr>
        <w:ind w:left="3" w:right="40"/>
        <w:spacing w:after="0" w:line="274" w:lineRule="auto"/>
        <w:rPr>
          <w:sz w:val="20"/>
          <w:szCs w:val="20"/>
          <w:color w:val="auto"/>
        </w:rPr>
      </w:pPr>
      <w:r>
        <w:rPr>
          <w:rFonts w:ascii="Times New Roman" w:cs="Times New Roman" w:eastAsia="Times New Roman" w:hAnsi="Times New Roman"/>
          <w:sz w:val="17"/>
          <w:szCs w:val="17"/>
          <w:color w:val="auto"/>
        </w:rPr>
        <w:t>We are a party to a license agreement pursuant to which we in-license key patent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w:t>
      </w:r>
    </w:p>
    <w:p>
      <w:pPr>
        <w:spacing w:after="0" w:line="65" w:lineRule="exact"/>
        <w:rPr>
          <w:sz w:val="20"/>
          <w:szCs w:val="20"/>
          <w:color w:val="auto"/>
        </w:rPr>
      </w:pPr>
    </w:p>
    <w:p>
      <w:pPr>
        <w:jc w:val="both"/>
        <w:ind w:left="3" w:right="260"/>
        <w:spacing w:after="0" w:line="261" w:lineRule="auto"/>
        <w:rPr>
          <w:sz w:val="20"/>
          <w:szCs w:val="20"/>
          <w:color w:val="auto"/>
        </w:rPr>
      </w:pPr>
      <w:r>
        <w:rPr>
          <w:rFonts w:ascii="Times New Roman" w:cs="Times New Roman" w:eastAsia="Times New Roman" w:hAnsi="Times New Roman"/>
          <w:sz w:val="18"/>
          <w:szCs w:val="18"/>
          <w:color w:val="auto"/>
        </w:rPr>
        <w:t>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our business and competitive position would be harmed.</w:t>
      </w:r>
    </w:p>
    <w:p>
      <w:pPr>
        <w:spacing w:after="0" w:line="229" w:lineRule="exact"/>
        <w:rPr>
          <w:sz w:val="20"/>
          <w:szCs w:val="20"/>
          <w:color w:val="auto"/>
        </w:rPr>
      </w:pPr>
    </w:p>
    <w:p>
      <w:pPr>
        <w:ind w:left="3" w:right="20"/>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w:t>
      </w:r>
    </w:p>
    <w:p>
      <w:pPr>
        <w:spacing w:after="0" w:line="84" w:lineRule="exact"/>
        <w:rPr>
          <w:sz w:val="20"/>
          <w:szCs w:val="20"/>
          <w:color w:val="auto"/>
        </w:rPr>
      </w:pPr>
    </w:p>
    <w:p>
      <w:pPr>
        <w:ind w:left="3"/>
        <w:spacing w:after="0" w:line="261"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and proprietary information, including through contractual means with our employees and consultants, third</w:t>
      </w:r>
    </w:p>
    <w:p>
      <w:pPr>
        <w:spacing w:after="0" w:line="180"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201" w:right="359" w:bottom="1440" w:gutter="0" w:footer="0" w:header="0"/>
        </w:sectPr>
      </w:pPr>
    </w:p>
    <w:bookmarkStart w:id="58" w:name="page59"/>
    <w:bookmarkEnd w:id="58"/>
    <w:p>
      <w:pPr>
        <w:ind w:left="3" w:right="140"/>
        <w:spacing w:after="0" w:line="282" w:lineRule="auto"/>
        <w:rPr>
          <w:sz w:val="20"/>
          <w:szCs w:val="20"/>
          <w:color w:val="auto"/>
        </w:rPr>
      </w:pPr>
      <w:r>
        <w:rPr>
          <w:rFonts w:ascii="Times New Roman" w:cs="Times New Roman" w:eastAsia="Times New Roman" w:hAnsi="Times New Roman"/>
          <w:sz w:val="18"/>
          <w:szCs w:val="18"/>
          <w:color w:val="auto"/>
        </w:rPr>
        <w:t>parties may independently develop substantially equivalent proprietary information and techniques or otherwise gain access to, or disclose, our technology.</w:t>
      </w:r>
    </w:p>
    <w:p>
      <w:pPr>
        <w:spacing w:after="0" w:line="54" w:lineRule="exact"/>
        <w:rPr>
          <w:sz w:val="20"/>
          <w:szCs w:val="20"/>
          <w:color w:val="auto"/>
        </w:rPr>
      </w:pPr>
    </w:p>
    <w:p>
      <w:pPr>
        <w:ind w:left="3" w:right="40"/>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w:t>
      </w:r>
    </w:p>
    <w:p>
      <w:pPr>
        <w:spacing w:after="0" w:line="1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product discovery and development efforts.</w:t>
      </w:r>
    </w:p>
    <w:p>
      <w:pPr>
        <w:spacing w:after="0" w:line="229" w:lineRule="exact"/>
        <w:rPr>
          <w:sz w:val="20"/>
          <w:szCs w:val="20"/>
          <w:color w:val="auto"/>
        </w:rPr>
      </w:pPr>
    </w:p>
    <w:p>
      <w:pPr>
        <w:ind w:left="3" w:right="2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If a third-party claims that we infringe its intellectual property rights, we may face a number of issues, including, but not limited to:</w:t>
      </w:r>
    </w:p>
    <w:p>
      <w:pPr>
        <w:spacing w:after="0" w:line="117" w:lineRule="exact"/>
        <w:rPr>
          <w:sz w:val="20"/>
          <w:szCs w:val="20"/>
          <w:color w:val="auto"/>
        </w:rPr>
      </w:pPr>
    </w:p>
    <w:p>
      <w:pPr>
        <w:ind w:left="3" w:right="300" w:hanging="3"/>
        <w:spacing w:after="0" w:line="282" w:lineRule="auto"/>
        <w:tabs>
          <w:tab w:leader="none" w:pos="2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53" w:lineRule="exact"/>
        <w:rPr>
          <w:rFonts w:ascii="Times New Roman" w:cs="Times New Roman" w:eastAsia="Times New Roman" w:hAnsi="Times New Roman"/>
          <w:sz w:val="18"/>
          <w:szCs w:val="18"/>
          <w:color w:val="auto"/>
        </w:rPr>
      </w:pPr>
    </w:p>
    <w:p>
      <w:pPr>
        <w:jc w:val="both"/>
        <w:ind w:left="3" w:hanging="3"/>
        <w:spacing w:after="0" w:line="266" w:lineRule="auto"/>
        <w:tabs>
          <w:tab w:leader="none" w:pos="2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ind w:left="3" w:right="820" w:hanging="3"/>
        <w:spacing w:after="0" w:line="282" w:lineRule="auto"/>
        <w:tabs>
          <w:tab w:leader="none" w:pos="2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53" w:lineRule="exact"/>
        <w:rPr>
          <w:rFonts w:ascii="Times New Roman" w:cs="Times New Roman" w:eastAsia="Times New Roman" w:hAnsi="Times New Roman"/>
          <w:sz w:val="18"/>
          <w:szCs w:val="18"/>
          <w:color w:val="auto"/>
        </w:rPr>
      </w:pPr>
    </w:p>
    <w:p>
      <w:pPr>
        <w:ind w:left="3" w:right="460" w:hanging="3"/>
        <w:spacing w:after="0" w:line="282" w:lineRule="auto"/>
        <w:tabs>
          <w:tab w:leader="none" w:pos="2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its products; and</w:t>
      </w:r>
    </w:p>
    <w:p>
      <w:pPr>
        <w:spacing w:after="0" w:line="53" w:lineRule="exact"/>
        <w:rPr>
          <w:rFonts w:ascii="Times New Roman" w:cs="Times New Roman" w:eastAsia="Times New Roman" w:hAnsi="Times New Roman"/>
          <w:sz w:val="18"/>
          <w:szCs w:val="18"/>
          <w:color w:val="auto"/>
        </w:rPr>
      </w:pPr>
    </w:p>
    <w:p>
      <w:pPr>
        <w:ind w:left="3" w:right="400" w:hanging="3"/>
        <w:spacing w:after="0" w:line="282" w:lineRule="auto"/>
        <w:tabs>
          <w:tab w:leader="none" w:pos="2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which may not be possible or may require substantial monetary expenditures and time.</w:t>
      </w:r>
    </w:p>
    <w:p>
      <w:pPr>
        <w:spacing w:after="0" w:line="54" w:lineRule="exact"/>
        <w:rPr>
          <w:sz w:val="20"/>
          <w:szCs w:val="20"/>
          <w:color w:val="auto"/>
        </w:rPr>
      </w:pPr>
    </w:p>
    <w:p>
      <w:pPr>
        <w:ind w:left="3" w:right="20"/>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72" w:lineRule="exact"/>
        <w:rPr>
          <w:sz w:val="20"/>
          <w:szCs w:val="20"/>
          <w:color w:val="auto"/>
        </w:rPr>
      </w:pPr>
    </w:p>
    <w:p>
      <w:pPr>
        <w:ind w:left="3" w:right="40"/>
        <w:spacing w:after="0" w:line="258"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clinical trials and other development activities in the United States is protected under the Safe Harbor exemption as set forth in 35 U.S.C. § 271. If and when TX45 or another one of our product candidates is approved by the FDA, that certain third party may then seek to enforce its patent by filing a patent infringement lawsuit against us. While we do not believe that any claims of such patent that could otherwise materially adversely affect commercialization of its product candidates, if</w:t>
      </w:r>
    </w:p>
    <w:p>
      <w:pPr>
        <w:spacing w:after="0" w:line="183"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093" w:right="379" w:bottom="1440" w:gutter="0" w:footer="0" w:header="0"/>
        </w:sectPr>
      </w:pPr>
    </w:p>
    <w:bookmarkStart w:id="59" w:name="page60"/>
    <w:bookmarkEnd w:id="59"/>
    <w:p>
      <w:pPr>
        <w:spacing w:after="0" w:line="252" w:lineRule="auto"/>
        <w:rPr>
          <w:sz w:val="20"/>
          <w:szCs w:val="20"/>
          <w:color w:val="auto"/>
        </w:rPr>
      </w:pPr>
      <w:r>
        <w:rPr>
          <w:rFonts w:ascii="Times New Roman" w:cs="Times New Roman" w:eastAsia="Times New Roman" w:hAnsi="Times New Roman"/>
          <w:sz w:val="18"/>
          <w:szCs w:val="18"/>
          <w:color w:val="auto"/>
        </w:rPr>
        <w:t>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Lastly, we may need to indemnify our customers and distributors against claims relating to the infringement of intellectual property rights of third parties related to our product candidates, including TX45.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proprietary information.</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 including trade secrets or other proprietary information, of a former employer or other 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60" w:name="page61"/>
    <w:bookmarkEnd w:id="60"/>
    <w:p>
      <w:pPr>
        <w:ind w:right="460"/>
        <w:spacing w:after="0" w:line="261" w:lineRule="auto"/>
        <w:rPr>
          <w:sz w:val="20"/>
          <w:szCs w:val="20"/>
          <w:color w:val="auto"/>
        </w:rPr>
      </w:pPr>
      <w:r>
        <w:rPr>
          <w:rFonts w:ascii="Times New Roman" w:cs="Times New Roman" w:eastAsia="Times New Roman" w:hAnsi="Times New Roman"/>
          <w:sz w:val="18"/>
          <w:szCs w:val="18"/>
          <w:color w:val="auto"/>
        </w:rPr>
        <w:t>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Uncertainties resulting from the initiation and continuation of patent litigation or other intellectual property related proceedings could adversely affect our ability to compete in the marketplace.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any future product candidates on acceptable terms.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product candidates may also require specific formulations to work effectively and efficiently and these rights may be held by others. We may develop products containing its compounds and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8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 xml:space="preserve">ex-parte </w:t>
      </w:r>
      <w:r>
        <w:rPr>
          <w:rFonts w:ascii="Times New Roman" w:cs="Times New Roman" w:eastAsia="Times New Roman" w:hAnsi="Times New Roman"/>
          <w:sz w:val="18"/>
          <w:szCs w:val="18"/>
          <w:color w:val="auto"/>
        </w:rPr>
        <w:t>re-exam,</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or post-grant review proceedings. These proceedings are expensive and may consume our time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61" w:name="page62"/>
    <w:bookmarkEnd w:id="61"/>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9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62" w:name="page63"/>
    <w:bookmarkEnd w:id="62"/>
    <w:p>
      <w:pPr>
        <w:spacing w:after="0" w:line="255" w:lineRule="auto"/>
        <w:rPr>
          <w:sz w:val="20"/>
          <w:szCs w:val="20"/>
          <w:color w:val="auto"/>
        </w:rPr>
      </w:pPr>
      <w:r>
        <w:rPr>
          <w:rFonts w:ascii="Times New Roman" w:cs="Times New Roman" w:eastAsia="Times New Roman" w:hAnsi="Times New Roman"/>
          <w:sz w:val="18"/>
          <w:szCs w:val="18"/>
          <w:color w:val="auto"/>
        </w:rPr>
        <w:t>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2044, without taking into account any possible patent term adjustments or extensions. However, we cannot be assured that the USPTO or relevant foreign patent offices will grant any of these patent applications.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in ex-U.S. jurisdictions could diminish the value of patents in general, thereby impairing our ability to protect our products.</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cs="Times New Roman" w:eastAsia="Times New Roman" w:hAnsi="Times New Roman"/>
          <w:sz w:val="18"/>
          <w:szCs w:val="18"/>
          <w:i w:val="1"/>
          <w:iCs w:val="1"/>
          <w:color w:val="auto"/>
        </w:rPr>
        <w:t>Amgen Inc. v. Sanofi,</w:t>
      </w:r>
      <w:r>
        <w:rPr>
          <w:rFonts w:ascii="Times New Roman" w:cs="Times New Roman" w:eastAsia="Times New Roman" w:hAnsi="Times New Roman"/>
          <w:sz w:val="18"/>
          <w:szCs w:val="18"/>
          <w:color w:val="auto"/>
        </w:rPr>
        <w:t xml:space="preserve"> the Federal Circuit held that a well-characterized antigen is insufficient to satisfy the written description requirement of certain claims directed to a genus of antibodies that are solely defined by function; and in the case of </w:t>
      </w:r>
      <w:r>
        <w:rPr>
          <w:rFonts w:ascii="Times New Roman" w:cs="Times New Roman" w:eastAsia="Times New Roman" w:hAnsi="Times New Roman"/>
          <w:sz w:val="18"/>
          <w:szCs w:val="18"/>
          <w:i w:val="1"/>
          <w:iCs w:val="1"/>
          <w:color w:val="auto"/>
        </w:rPr>
        <w:t>Assoc. for Molecular Pathology v. Myriad Genetics, Inc.,</w:t>
      </w:r>
      <w:r>
        <w:rPr>
          <w:rFonts w:ascii="Times New Roman" w:cs="Times New Roman" w:eastAsia="Times New Roman" w:hAnsi="Times New Roman"/>
          <w:sz w:val="18"/>
          <w:szCs w:val="18"/>
          <w:color w:val="auto"/>
        </w:rPr>
        <w:t xml:space="preserve"> 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63" w:name="page64"/>
    <w:bookmarkEnd w:id="63"/>
    <w:p>
      <w:pPr>
        <w:ind w:right="580"/>
        <w:spacing w:after="0" w:line="282" w:lineRule="auto"/>
        <w:rPr>
          <w:sz w:val="20"/>
          <w:szCs w:val="20"/>
          <w:color w:val="auto"/>
        </w:rPr>
      </w:pPr>
      <w:r>
        <w:rPr>
          <w:rFonts w:ascii="Times New Roman" w:cs="Times New Roman" w:eastAsia="Times New Roman" w:hAnsi="Times New Roman"/>
          <w:sz w:val="18"/>
          <w:szCs w:val="18"/>
          <w:color w:val="auto"/>
        </w:rPr>
        <w:t>Accordingly, our efforts to enforce our intellectual property rights around the world may be inadequate to obtain a significant commercial advantage from the intellectual property that we develop or license.</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patents, and we may be unable to protect our rights to our products and technology.</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7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If another party questions the patentability of any of our claims in our owned or in-licensed U.S. patents, the third-party can request that the USPTO review the patent claims such as in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w:t>
      </w:r>
    </w:p>
    <w:p>
      <w:pPr>
        <w:spacing w:after="0" w:line="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the future, we may be involved in similar proceedings challenging the patent rights of others, and the outcome of such proceedings is highly uncertain.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64" w:name="page65"/>
    <w:bookmarkEnd w:id="64"/>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do not currently lease or own any facility that may be used as our clinical-scale manufacturing and processing facility and currently rely on a contract manufacturing organization (“CMO”), WuXi Biologics (Hong Kong) Limited (“WuXi Biologics”), to manufacture TX45 our product candidate used in our Phase 1a, Phase 1b and the recently initiated Phase 2 clinical trials. We currently have a sole source relationship with WuXi Biologics for our supply of TX45. If there should be any disruption in such supply arrangement, including any adverse events affecting our sole supplier,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 for compliance with cGMP requirements and any other regulatory requirements of the FDA or comparable foreign regulatory authorities for the manufacture of a product candidate. We perform periodic audits of each CMO facility that supports our supply of TX45 and reviews and approves all TX45 cGMP-related documentation. We also have a quality agreement with WuXi Biologics that documents our mutual agreement on compliance with cGMPs and expectations on quality-required communications to us. Beyond this, we have no control over the ability of our CMO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CMO,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197" w:right="359" w:bottom="1440" w:gutter="0" w:footer="0" w:header="0"/>
        </w:sectPr>
      </w:pPr>
    </w:p>
    <w:bookmarkStart w:id="65" w:name="page66"/>
    <w:bookmarkEnd w:id="65"/>
    <w:p>
      <w:pPr>
        <w:ind w:right="1020"/>
        <w:spacing w:after="0" w:line="282" w:lineRule="auto"/>
        <w:rPr>
          <w:sz w:val="20"/>
          <w:szCs w:val="20"/>
          <w:color w:val="auto"/>
        </w:rPr>
      </w:pPr>
      <w:r>
        <w:rPr>
          <w:rFonts w:ascii="Times New Roman" w:cs="Times New Roman" w:eastAsia="Times New Roman" w:hAnsi="Times New Roman"/>
          <w:sz w:val="18"/>
          <w:szCs w:val="18"/>
          <w:color w:val="auto"/>
        </w:rPr>
        <w:t>candidate or drug and harm our business and results of operations. In addition, we have not yet caused any product candidates to be manufactured on a commercial scale and may not be able to do so for any of our product candidates, if approved.</w:t>
      </w:r>
    </w:p>
    <w:p>
      <w:pPr>
        <w:spacing w:after="0" w:line="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Moreover, our CMO may experience manufacturing difficulties due to resource constraints, governmental restrictions or as a result of labor disputes or unstable political environments. Supply chain issues, including those resulting from the COVID-19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the recently proposed BIOSECURE Act passed in the U.S. House of Representatives, as well as a substantially similar bill in the U.S. Senate, target U.S. government contracts, loans, and grants to entities that use equipment or services from certain Chinese biotechnology companies, including Wuxi Biologics, and would authorize the U.S. government to name other Chinese biotechnology companies of concern. The current version of the BIOSECURE Act includes a grandfathering provision allowing biotechnology equipment and services provided or produced by WuXi Biologics and other named biotechnology companies of concern under a contract or agreement entered into before the effective date until January 1, 2032. Depending on whether the BIOSECURE Act becomes law, what the final language of the BIOSECURE Act includes, and how the law is interpreted by U.S. federal agencies, we could be potentially restricted from pursuing U.S. federal government business or funding if we continue to use WuXi Biologics or other suppliers or partners identified as “biotechnology companies of concern” beyond the grandfathering period.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w:t>
      </w:r>
    </w:p>
    <w:p>
      <w:pPr>
        <w:spacing w:after="0" w:line="19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w:t>
      </w:r>
    </w:p>
    <w:p>
      <w:pPr>
        <w:spacing w:after="0" w:line="19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66" w:name="page67"/>
    <w:bookmarkEnd w:id="66"/>
    <w:p>
      <w:pPr>
        <w:spacing w:after="0" w:line="256" w:lineRule="auto"/>
        <w:rPr>
          <w:sz w:val="20"/>
          <w:szCs w:val="20"/>
          <w:color w:val="auto"/>
        </w:rPr>
      </w:pPr>
      <w:r>
        <w:rPr>
          <w:rFonts w:ascii="Times New Roman" w:cs="Times New Roman" w:eastAsia="Times New Roman" w:hAnsi="Times New Roman"/>
          <w:sz w:val="18"/>
          <w:szCs w:val="18"/>
          <w:color w:val="auto"/>
        </w:rPr>
        <w:t>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79"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w:t>
      </w:r>
    </w:p>
    <w:p>
      <w:pPr>
        <w:spacing w:after="0" w:line="5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6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collaborations will be important to our business. If we are unable to enter into new collaborations, or if these collaborations are not successful, our business could be adversely affected.</w:t>
      </w:r>
    </w:p>
    <w:p>
      <w:pPr>
        <w:spacing w:after="0" w:line="15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67" w:name="page68"/>
    <w:bookmarkEnd w:id="67"/>
    <w:p>
      <w:pPr>
        <w:ind w:left="3"/>
        <w:spacing w:after="0"/>
        <w:rPr>
          <w:sz w:val="20"/>
          <w:szCs w:val="20"/>
          <w:color w:val="auto"/>
        </w:rPr>
      </w:pPr>
      <w:r>
        <w:rPr>
          <w:rFonts w:ascii="Times New Roman" w:cs="Times New Roman" w:eastAsia="Times New Roman" w:hAnsi="Times New Roman"/>
          <w:sz w:val="18"/>
          <w:szCs w:val="18"/>
          <w:color w:val="auto"/>
        </w:rPr>
        <w:t>Any future collaborations we enter into may pose a number of risks, including, but not limited to, the following:</w:t>
      </w:r>
    </w:p>
    <w:p>
      <w:pPr>
        <w:spacing w:after="0" w:line="117" w:lineRule="exact"/>
        <w:rPr>
          <w:sz w:val="20"/>
          <w:szCs w:val="20"/>
          <w:color w:val="auto"/>
        </w:rPr>
      </w:pPr>
    </w:p>
    <w:p>
      <w:pPr>
        <w:ind w:left="263" w:hanging="263"/>
        <w:spacing w:after="0"/>
        <w:tabs>
          <w:tab w:leader="none" w:pos="2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3" w:right="260" w:hanging="3"/>
        <w:spacing w:after="0" w:line="261" w:lineRule="auto"/>
        <w:tabs>
          <w:tab w:leader="none" w:pos="2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71" w:lineRule="exact"/>
        <w:rPr>
          <w:rFonts w:ascii="Times New Roman" w:cs="Times New Roman" w:eastAsia="Times New Roman" w:hAnsi="Times New Roman"/>
          <w:sz w:val="18"/>
          <w:szCs w:val="18"/>
          <w:color w:val="auto"/>
        </w:rPr>
      </w:pPr>
    </w:p>
    <w:p>
      <w:pPr>
        <w:ind w:left="3" w:right="460" w:hanging="3"/>
        <w:spacing w:after="0" w:line="282" w:lineRule="auto"/>
        <w:tabs>
          <w:tab w:leader="none" w:pos="2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3" w:right="200" w:hanging="3"/>
        <w:spacing w:after="0" w:line="266" w:lineRule="auto"/>
        <w:tabs>
          <w:tab w:leader="none" w:pos="2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jc w:val="both"/>
        <w:ind w:left="3" w:right="740" w:hanging="3"/>
        <w:spacing w:after="0" w:line="312" w:lineRule="auto"/>
        <w:tabs>
          <w:tab w:leader="none" w:pos="273"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ours may be viewed by our collaborators as competitive with their own product candidates or products, which may cause collaborators to cease to devote resources to the commercialization of our product candidates;</w:t>
      </w:r>
    </w:p>
    <w:p>
      <w:pPr>
        <w:spacing w:after="0" w:line="31" w:lineRule="exact"/>
        <w:rPr>
          <w:rFonts w:ascii="Times New Roman" w:cs="Times New Roman" w:eastAsia="Times New Roman" w:hAnsi="Times New Roman"/>
          <w:sz w:val="17"/>
          <w:szCs w:val="17"/>
          <w:color w:val="auto"/>
        </w:rPr>
      </w:pPr>
    </w:p>
    <w:p>
      <w:pPr>
        <w:ind w:left="3" w:right="100" w:hanging="3"/>
        <w:spacing w:after="0" w:line="282" w:lineRule="auto"/>
        <w:tabs>
          <w:tab w:leader="none" w:pos="2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3" w:right="520" w:hanging="3"/>
        <w:spacing w:after="0" w:line="282" w:lineRule="auto"/>
        <w:tabs>
          <w:tab w:leader="none" w:pos="2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3" w:right="480" w:hanging="3"/>
        <w:spacing w:after="0" w:line="261" w:lineRule="auto"/>
        <w:tabs>
          <w:tab w:leader="none" w:pos="2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3" w:right="80" w:hanging="3"/>
        <w:spacing w:after="0" w:line="282" w:lineRule="auto"/>
        <w:tabs>
          <w:tab w:leader="none" w:pos="2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3" w:right="760" w:hanging="3"/>
        <w:spacing w:after="0" w:line="282" w:lineRule="auto"/>
        <w:tabs>
          <w:tab w:leader="none" w:pos="2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53" w:lineRule="exact"/>
        <w:rPr>
          <w:rFonts w:ascii="Times New Roman" w:cs="Times New Roman" w:eastAsia="Times New Roman" w:hAnsi="Times New Roman"/>
          <w:sz w:val="18"/>
          <w:szCs w:val="18"/>
          <w:color w:val="auto"/>
        </w:rPr>
      </w:pPr>
    </w:p>
    <w:p>
      <w:pPr>
        <w:ind w:left="3" w:right="340" w:hanging="3"/>
        <w:spacing w:after="0" w:line="282" w:lineRule="auto"/>
        <w:tabs>
          <w:tab w:leader="none" w:pos="2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54" w:lineRule="exact"/>
        <w:rPr>
          <w:sz w:val="20"/>
          <w:szCs w:val="20"/>
          <w:color w:val="auto"/>
        </w:rPr>
      </w:pPr>
    </w:p>
    <w:p>
      <w:pPr>
        <w:ind w:left="3"/>
        <w:spacing w:after="0" w:line="261" w:lineRule="auto"/>
        <w:rPr>
          <w:sz w:val="20"/>
          <w:szCs w:val="20"/>
          <w:color w:val="auto"/>
        </w:rPr>
      </w:pPr>
      <w:r>
        <w:rPr>
          <w:rFonts w:ascii="Times New Roman" w:cs="Times New Roman" w:eastAsia="Times New Roman" w:hAnsi="Times New Roman"/>
          <w:sz w:val="18"/>
          <w:szCs w:val="18"/>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w:t>
      </w:r>
    </w:p>
    <w:p>
      <w:pPr>
        <w:spacing w:after="0" w:line="72" w:lineRule="exact"/>
        <w:rPr>
          <w:sz w:val="20"/>
          <w:szCs w:val="20"/>
          <w:color w:val="auto"/>
        </w:rPr>
      </w:pPr>
    </w:p>
    <w:p>
      <w:pPr>
        <w:ind w:left="3" w:right="480"/>
        <w:spacing w:after="0" w:line="282" w:lineRule="auto"/>
        <w:rPr>
          <w:sz w:val="20"/>
          <w:szCs w:val="20"/>
          <w:color w:val="auto"/>
        </w:rPr>
      </w:pPr>
      <w:r>
        <w:rPr>
          <w:rFonts w:ascii="Times New Roman" w:cs="Times New Roman" w:eastAsia="Times New Roman" w:hAnsi="Times New Roman"/>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54" w:lineRule="exact"/>
        <w:rPr>
          <w:sz w:val="20"/>
          <w:szCs w:val="20"/>
          <w:color w:val="auto"/>
        </w:rPr>
      </w:pPr>
    </w:p>
    <w:p>
      <w:pPr>
        <w:ind w:left="3" w:right="10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9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68" w:name="page69"/>
    <w:bookmarkEnd w:id="68"/>
    <w:p>
      <w:pPr>
        <w:ind w:right="60"/>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Nonclinical research requires the use of Non-Human Primates (“NHP”), the supply of which could delay or prevent development of product candidates.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18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15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6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093" w:right="379" w:bottom="1440" w:gutter="0" w:footer="0" w:header="0"/>
        </w:sectPr>
      </w:pPr>
    </w:p>
    <w:bookmarkStart w:id="69" w:name="page70"/>
    <w:bookmarkEnd w:id="69"/>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a product candidate in the clinical or at the commercial stage, and our product liability insurance may not cover all damages from such claims.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 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70" w:name="page71"/>
    <w:bookmarkEnd w:id="70"/>
    <w:p>
      <w:pPr>
        <w:ind w:right="220"/>
        <w:spacing w:after="0" w:line="282" w:lineRule="auto"/>
        <w:rPr>
          <w:sz w:val="20"/>
          <w:szCs w:val="20"/>
          <w:color w:val="auto"/>
        </w:rPr>
      </w:pPr>
      <w:r>
        <w:rPr>
          <w:rFonts w:ascii="Times New Roman" w:cs="Times New Roman" w:eastAsia="Times New Roman" w:hAnsi="Times New Roman"/>
          <w:sz w:val="18"/>
          <w:szCs w:val="18"/>
          <w:color w:val="auto"/>
        </w:rPr>
        <w:t>obtain clinical supplies of our product candidates could be disrupted if the operations of these suppliers are affected by a man-made or natural disaster or other business interruption.</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8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8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the information technology systems of our CROs, our CMOs, service providers, our current and potential future partners or other third parties upon which we rely were compromised, we could experience adverse consequences, including but not limited to material disruptions to our business operations, regulatory investigations or actions, litigation, fines and penalties, reputational harm, loss of revenue or profits, or other adverse consequences.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collect, store, receive, process, generate, use, transfer, disclose, make accessible, protect, secure, dispose of, share, and transmit (collectively, process) proprietary, confidential and sensitive information, including personal information (such as</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080" w:top="1093" w:right="399" w:bottom="1440" w:gutter="0" w:footer="0" w:header="0"/>
        </w:sectPr>
      </w:pPr>
    </w:p>
    <w:bookmarkStart w:id="71" w:name="page72"/>
    <w:bookmarkEnd w:id="71"/>
    <w:p>
      <w:pPr>
        <w:ind w:right="160"/>
        <w:spacing w:after="0" w:line="282" w:lineRule="auto"/>
        <w:rPr>
          <w:sz w:val="20"/>
          <w:szCs w:val="20"/>
          <w:color w:val="auto"/>
        </w:rPr>
      </w:pPr>
      <w:r>
        <w:rPr>
          <w:rFonts w:ascii="Times New Roman" w:cs="Times New Roman" w:eastAsia="Times New Roman" w:hAnsi="Times New Roman"/>
          <w:sz w:val="18"/>
          <w:szCs w:val="18"/>
          <w:color w:val="auto"/>
        </w:rPr>
        <w:t>health-related data of clinical trial participants and employee information), in the course of our business. Similarly, third-parties upon which we rely process certain of that information on our behalf.</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Security incidents may result from the actions of a wide variety of actors with a wide range of motives and expertise, including traditional hackers, our personnel or the personnel of the third parties upon which we rely,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produce, sell and distribute our goods and services.</w:t>
      </w:r>
    </w:p>
    <w:p>
      <w:pPr>
        <w:spacing w:after="0" w:line="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w:t>
      </w:r>
    </w:p>
    <w:p>
      <w:pPr>
        <w:spacing w:after="0" w:line="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Certain functional areas of our workforce work remotely on a full- or part-time basis or otherwise utilize network connections, computers and devices outside of our premises or network, which imposes additional risks to our business.</w:t>
      </w:r>
    </w:p>
    <w:p>
      <w:pPr>
        <w:spacing w:after="0" w:line="5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We may be required to, or we may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may require us to implement and maintain specific security measures or industry-standard or reasonable security measures to protect our information technology systems and sensitive information.</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which we rely. If our information systems or data, or that of the third parties on which we rely, are compromised, it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TX45, to analyze clinical trial samples and to conduct clinical trials,</w:t>
      </w:r>
    </w:p>
    <w:p>
      <w:pPr>
        <w:spacing w:after="0" w:line="18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72" w:name="page73"/>
    <w:bookmarkEnd w:id="72"/>
    <w:p>
      <w:pPr>
        <w:ind w:right="60"/>
        <w:spacing w:after="0" w:line="254" w:lineRule="auto"/>
        <w:rPr>
          <w:sz w:val="20"/>
          <w:szCs w:val="20"/>
          <w:color w:val="auto"/>
        </w:rPr>
      </w:pPr>
      <w:r>
        <w:rPr>
          <w:rFonts w:ascii="Times New Roman" w:cs="Times New Roman" w:eastAsia="Times New Roman" w:hAnsi="Times New Roman"/>
          <w:sz w:val="18"/>
          <w:szCs w:val="18"/>
          <w:color w:val="auto"/>
        </w:rPr>
        <w:t>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w:t>
      </w:r>
    </w:p>
    <w:p>
      <w:pPr>
        <w:spacing w:after="0" w:line="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w:t>
      </w:r>
    </w:p>
    <w:p>
      <w:pPr>
        <w:spacing w:after="0" w:line="17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w:t>
      </w:r>
    </w:p>
    <w:p>
      <w:pPr>
        <w:spacing w:after="0" w:line="7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and may apply to our processing of personal information from clinical trial participants and other individuals located in the EEA, the United Kingdom (the “UK”), or Switzerland and, if TX45 or any potential future product candidates are approved, our possible commercialization of those products in the EEA, the UK, or Switzerland (as applicable).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w:t>
      </w: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73" w:name="page74"/>
    <w:bookmarkEnd w:id="73"/>
    <w:p>
      <w:pPr>
        <w:ind w:right="120"/>
        <w:spacing w:after="0" w:line="256" w:lineRule="auto"/>
        <w:rPr>
          <w:sz w:val="20"/>
          <w:szCs w:val="20"/>
          <w:color w:val="auto"/>
        </w:rPr>
      </w:pPr>
      <w:r>
        <w:rPr>
          <w:rFonts w:ascii="Times New Roman" w:cs="Times New Roman" w:eastAsia="Times New Roman" w:hAnsi="Times New Roman"/>
          <w:sz w:val="18"/>
          <w:szCs w:val="18"/>
          <w:color w:val="auto"/>
        </w:rPr>
        <w:t>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We may also become subject to new laws in the EEA and other jurisdictions that regulate cybersecurity and non-personal data, such as data collected through the internet of things. Depending on how these laws are interpreted, we may have to make changes to our business practices and products to comply with such obligations.</w:t>
      </w:r>
    </w:p>
    <w:p>
      <w:pPr>
        <w:spacing w:after="0" w:line="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contains an exemption for certain personal information processed in connection with clinical trials, we may process other personal information that is subject to the CCPA. Other states, such as Virginia, Colorado, Connecticut, and Utah, have also passed comprehensive privacy laws that become effective in 2023, and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bound by contractual obligations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(or third parties on which we rely)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74" w:name="page75"/>
    <w:bookmarkEnd w:id="74"/>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w:t>
      </w:r>
    </w:p>
    <w:p>
      <w:pPr>
        <w:spacing w:after="0" w:line="1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certain research and development operations through our Australian wholly-owned subsidiary. If we lose our ability to operate in Australia, or if our subsidiary is unable to receive the research and development incentive payment allowed by Australian regulations, our business and results of operations could suffer.</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September 2023, we formed a wholly-owned Australian subsidiary, Tectonic Therapeutic Pty Ltd., to conduct various preclinical studies and clinical trials for our product candidates in Australia. Due to the geographical distance and lack of employees currently in Australia, as well as our lack of experience operating in Australia, we may not be able to efficiently or successfully monitor our clinical activities in Australia, including conducting preclinical studies and clinical trials. Furthermore, we have no assurance that the results of any clinical trials that we conduct for our product candidate in Australia will be accepted by the FDA or comparable foreign regulatory authorities for development and commercialization approvals.</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current Australian tax regulations provide for a refundable research and development incentive payment equal to 43.5% of qualified expenditures to companies with an annual turnover of less than AU$20 million. To date, Tectonic Therapeutic Pty Ltd. has not received tax inventive payments for research expenditures in Australia, and it is unlikely that it will receive incentive payments during 2025 for research expenditures made during 2024. If our subsidiary loses our ability to operate in Australia, or if we are ineligible or unable to receive the research and development incentive payment, or the Australian government significantly reduces or eliminates the incentive program, our business and results of operation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or other changes in U.S. tax law could adversely affect our business and financial condition.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U.S. net operating loss carryforwards and certain other U.S. tax attributes may be limited.</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2023, we had U.S. federal net operating loss carryforwards of $43.6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Code,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could be limited by an “ownership change” as described above, which could result in increased tax liability to us.</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and actions taken to slow its spread,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8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w:t>
      </w:r>
    </w:p>
    <w:p>
      <w:pPr>
        <w:spacing w:after="0" w:line="15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15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CMOs and suppliers we engage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and any CMOs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76" w:name="page77"/>
    <w:bookmarkEnd w:id="76"/>
    <w:p>
      <w:pPr>
        <w:ind w:right="300"/>
        <w:spacing w:after="0" w:line="282" w:lineRule="auto"/>
        <w:rPr>
          <w:sz w:val="20"/>
          <w:szCs w:val="20"/>
          <w:color w:val="auto"/>
        </w:rPr>
      </w:pPr>
      <w:r>
        <w:rPr>
          <w:rFonts w:ascii="Times New Roman" w:cs="Times New Roman" w:eastAsia="Times New Roman" w:hAnsi="Times New Roman"/>
          <w:sz w:val="18"/>
          <w:szCs w:val="18"/>
          <w:color w:val="auto"/>
        </w:rPr>
        <w:t>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Any third-party CMOs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72"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will be required to devote substantial time to new compliance initiatives.</w:t>
      </w:r>
    </w:p>
    <w:p>
      <w:pPr>
        <w:spacing w:after="0" w:line="15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17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18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w:t>
      </w:r>
    </w:p>
    <w:p>
      <w:pPr>
        <w:spacing w:after="0" w:line="1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77" w:name="page78"/>
    <w:bookmarkEnd w:id="77"/>
    <w:p>
      <w:pPr>
        <w:ind w:right="80"/>
        <w:spacing w:after="0" w:line="261" w:lineRule="auto"/>
        <w:rPr>
          <w:sz w:val="20"/>
          <w:szCs w:val="20"/>
          <w:color w:val="auto"/>
        </w:rPr>
      </w:pPr>
      <w:r>
        <w:rPr>
          <w:rFonts w:ascii="Times New Roman" w:cs="Times New Roman" w:eastAsia="Times New Roman" w:hAnsi="Times New Roman"/>
          <w:sz w:val="18"/>
          <w:szCs w:val="18"/>
          <w:color w:val="auto"/>
        </w:rPr>
        <w:t>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Stockholders previously filed lawsuits, which were subsequently dismissed, relating to the Merger; however, additional lawsuits could be filed.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Merger, three actions were filed by purported stockholders of AVROBIO in connection with the Merger. One action has been filed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United States District Court for the Southern District of New York captioned </w:t>
      </w:r>
      <w:r>
        <w:rPr>
          <w:rFonts w:ascii="Times New Roman" w:cs="Times New Roman" w:eastAsia="Times New Roman" w:hAnsi="Times New Roman"/>
          <w:sz w:val="18"/>
          <w:szCs w:val="18"/>
          <w:i w:val="1"/>
          <w:iCs w:val="1"/>
          <w:color w:val="auto"/>
        </w:rPr>
        <w:t>Garofalo v. Avrobio, Inc. et al.</w:t>
      </w:r>
      <w:r>
        <w:rPr>
          <w:rFonts w:ascii="Times New Roman" w:cs="Times New Roman" w:eastAsia="Times New Roman" w:hAnsi="Times New Roman"/>
          <w:sz w:val="18"/>
          <w:szCs w:val="18"/>
          <w:color w:val="auto"/>
        </w:rPr>
        <w:t>, 24-cv-1493 (filed February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2024). Two actions have been filed in the Supreme Court of New York, captioned </w:t>
      </w:r>
      <w:r>
        <w:rPr>
          <w:rFonts w:ascii="Times New Roman" w:cs="Times New Roman" w:eastAsia="Times New Roman" w:hAnsi="Times New Roman"/>
          <w:sz w:val="18"/>
          <w:szCs w:val="18"/>
          <w:i w:val="1"/>
          <w:iCs w:val="1"/>
          <w:color w:val="auto"/>
        </w:rPr>
        <w:t>Price v. Avrobio, Inc., et al.</w:t>
      </w:r>
      <w:r>
        <w:rPr>
          <w:rFonts w:ascii="Times New Roman" w:cs="Times New Roman" w:eastAsia="Times New Roman" w:hAnsi="Times New Roman"/>
          <w:sz w:val="18"/>
          <w:szCs w:val="18"/>
          <w:color w:val="auto"/>
        </w:rPr>
        <w:t>, No. 652555/2024 (filed May 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2024) and </w:t>
      </w:r>
      <w:r>
        <w:rPr>
          <w:rFonts w:ascii="Times New Roman" w:cs="Times New Roman" w:eastAsia="Times New Roman" w:hAnsi="Times New Roman"/>
          <w:sz w:val="18"/>
          <w:szCs w:val="18"/>
          <w:i w:val="1"/>
          <w:iCs w:val="1"/>
          <w:color w:val="auto"/>
        </w:rPr>
        <w:t>Keller v. Avrobio, Inc., et al.</w:t>
      </w:r>
      <w:r>
        <w:rPr>
          <w:rFonts w:ascii="Times New Roman" w:cs="Times New Roman" w:eastAsia="Times New Roman" w:hAnsi="Times New Roman"/>
          <w:sz w:val="18"/>
          <w:szCs w:val="18"/>
          <w:color w:val="auto"/>
        </w:rPr>
        <w:t>, No. 652597/2024 (filed May 21, 2024). The foregoing actions are referred to as the “Merger Actions.”</w:t>
      </w:r>
    </w:p>
    <w:p>
      <w:pPr>
        <w:spacing w:after="0" w:line="99"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18"/>
          <w:szCs w:val="18"/>
          <w:color w:val="auto"/>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Keller</w:t>
      </w:r>
      <w:r>
        <w:rPr>
          <w:rFonts w:ascii="Times New Roman" w:cs="Times New Roman" w:eastAsia="Times New Roman" w:hAnsi="Times New Roman"/>
          <w:sz w:val="18"/>
          <w:szCs w:val="18"/>
          <w:color w:val="auto"/>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AVROBIO also received demand letters from eleven purported AVROBIO stockholders (the “Demands”). The Demands generally assert that the Registration Statement misrepresents and/or omits certain purportedly material information relating to the Merger.</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 Following the issuance of the Supplemental Disclosures, each of the Merger Actions was voluntarily dismissed and each of the Demands were withdrawn.</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78" w:name="page79"/>
    <w:bookmarkEnd w:id="78"/>
    <w:p>
      <w:pPr>
        <w:ind w:left="3"/>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likely to continue to be volatile and fluctuate substantially.</w:t>
      </w:r>
    </w:p>
    <w:p>
      <w:pPr>
        <w:spacing w:after="0" w:line="229" w:lineRule="exact"/>
        <w:rPr>
          <w:sz w:val="20"/>
          <w:szCs w:val="20"/>
          <w:color w:val="auto"/>
        </w:rPr>
      </w:pPr>
    </w:p>
    <w:p>
      <w:pPr>
        <w:ind w:left="3" w:right="8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w:t>
      </w:r>
    </w:p>
    <w:p>
      <w:pPr>
        <w:spacing w:after="0" w:line="72" w:lineRule="exact"/>
        <w:rPr>
          <w:sz w:val="20"/>
          <w:szCs w:val="20"/>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existing or future collaborators;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3" w:right="200" w:hanging="3"/>
        <w:spacing w:after="0" w:line="282" w:lineRule="auto"/>
        <w:tabs>
          <w:tab w:leader="none" w:pos="2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3" w:right="120" w:hanging="3"/>
        <w:spacing w:after="0" w:line="282" w:lineRule="auto"/>
        <w:tabs>
          <w:tab w:leader="none" w:pos="2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3" w:right="580" w:hanging="3"/>
        <w:spacing w:after="0" w:line="282" w:lineRule="auto"/>
        <w:tabs>
          <w:tab w:leader="none" w:pos="2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the selling stockholders or other securityholders in the future;</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or continued development of our product candidates;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3" w:hanging="3"/>
        <w:spacing w:after="0" w:line="282" w:lineRule="auto"/>
        <w:tabs>
          <w:tab w:leader="none" w:pos="2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 candidates;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 and</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jc w:val="both"/>
        <w:ind w:left="3" w:right="120"/>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87"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3"/>
          </w:cols>
          <w:pgMar w:left="1077" w:top="1197" w:right="399" w:bottom="1440" w:gutter="0" w:footer="0" w:header="0"/>
        </w:sectPr>
      </w:pPr>
    </w:p>
    <w:bookmarkStart w:id="79" w:name="page80"/>
    <w:bookmarkEnd w:id="79"/>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 Subscription Agreement, we filed a resale shelf registration statement covering the resale of up to an aggregate of 2,969,583 shares of our common stock, which was declared effective on July 30, 2024. Given the substantial number of shares available for resale, the sale of shares by such stockholders, or the perception in the market that the stockholders of a large number of shares intend to sell shares, could increase the volatility of the market price of our common stock or result in a significant decline in the public trading price of our common stock.</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certain of our shares are subject to lock-up agreements between AVROBIO and Legacy Tectonic. Following the expiration of these lock-up agreements, the relevant stockholders will not be restricted from selling shares our common stock held by them, other than by applicable securities laws. Stockholders not subject to these lock-up agreements will not be restricted from selling shares of our common stock held by them, other than by applicable securities laws. In addition, shares of common stock that are subject to outstanding options or will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Based on the number of shares outstanding as of September 30, 2024, our executive officers, directors and principal stockholders, in the aggregate, beneficially own approximately 47.4%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8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may invest or spend the proceeds in ways with which you do not agree and in ways that may not increase the value of your investment.</w:t>
      </w:r>
    </w:p>
    <w:p>
      <w:pPr>
        <w:spacing w:after="0" w:line="15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decisions, and our use of the proceeds may not yield any return on your investment. Our failure to apply these resources effectively could</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80" w:name="page81"/>
    <w:bookmarkEnd w:id="80"/>
    <w:p>
      <w:pPr>
        <w:ind w:left="3"/>
        <w:spacing w:after="0" w:line="282" w:lineRule="auto"/>
        <w:rPr>
          <w:sz w:val="20"/>
          <w:szCs w:val="20"/>
          <w:color w:val="auto"/>
        </w:rPr>
      </w:pPr>
      <w:r>
        <w:rPr>
          <w:rFonts w:ascii="Times New Roman" w:cs="Times New Roman" w:eastAsia="Times New Roman" w:hAnsi="Times New Roman"/>
          <w:sz w:val="18"/>
          <w:szCs w:val="18"/>
          <w:color w:val="auto"/>
        </w:rPr>
        <w:t>compromise our ability to pursue our growth strategy and we might not be able to yield a significant return, if any, on our investment of these net proceeds. You will not have the opportunity to influence our decisions on how to our cash resources.</w:t>
      </w:r>
    </w:p>
    <w:p>
      <w:pPr>
        <w:spacing w:after="0" w:line="158" w:lineRule="exact"/>
        <w:rPr>
          <w:sz w:val="20"/>
          <w:szCs w:val="20"/>
          <w:color w:val="auto"/>
        </w:rPr>
      </w:pPr>
    </w:p>
    <w:p>
      <w:pPr>
        <w:ind w:left="3"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159" w:lineRule="exact"/>
        <w:rPr>
          <w:sz w:val="20"/>
          <w:szCs w:val="20"/>
          <w:color w:val="auto"/>
        </w:rPr>
      </w:pPr>
    </w:p>
    <w:p>
      <w:pPr>
        <w:ind w:left="3" w:right="180"/>
        <w:spacing w:after="0" w:line="281" w:lineRule="auto"/>
        <w:rPr>
          <w:sz w:val="20"/>
          <w:szCs w:val="20"/>
          <w:color w:val="auto"/>
        </w:rPr>
      </w:pPr>
      <w:r>
        <w:rPr>
          <w:rFonts w:ascii="Times New Roman" w:cs="Times New Roman" w:eastAsia="Times New Roman" w:hAnsi="Times New Roman"/>
          <w:sz w:val="17"/>
          <w:szCs w:val="17"/>
          <w:color w:val="auto"/>
        </w:rPr>
        <w:t>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w:t>
      </w:r>
    </w:p>
    <w:p>
      <w:pPr>
        <w:spacing w:after="0" w:line="160" w:lineRule="exact"/>
        <w:rPr>
          <w:sz w:val="20"/>
          <w:szCs w:val="20"/>
          <w:color w:val="auto"/>
        </w:rPr>
      </w:pPr>
    </w:p>
    <w:p>
      <w:pPr>
        <w:ind w:left="3"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bylaws, as well as provisions of Delaware law, could make it more difficult for a third party to acquire us or increase the cost of acquiring us, even if doing so would benefit our stockholders or remove our current management.</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Our charter and bylaws and Delaware law contain provisions that may have the effect of delaying or preventing a change in control of the</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Company or changes in our management. Our charter and bylaws, include provisions that:</w:t>
      </w:r>
    </w:p>
    <w:p>
      <w:pPr>
        <w:spacing w:after="0" w:line="99" w:lineRule="exact"/>
        <w:rPr>
          <w:sz w:val="20"/>
          <w:szCs w:val="20"/>
          <w:color w:val="auto"/>
        </w:rPr>
      </w:pPr>
    </w:p>
    <w:p>
      <w:pPr>
        <w:ind w:left="3" w:right="720" w:hanging="3"/>
        <w:spacing w:after="0" w:line="282" w:lineRule="auto"/>
        <w:tabs>
          <w:tab w:leader="none" w:pos="2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the Board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3" w:right="100" w:hanging="3"/>
        <w:spacing w:after="0" w:line="282" w:lineRule="auto"/>
        <w:tabs>
          <w:tab w:leader="none" w:pos="2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the Board, the chairperson of the Board, our Chief Executive Officer or our President;</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3" w:right="480" w:hanging="3"/>
        <w:spacing w:after="0" w:line="282" w:lineRule="auto"/>
        <w:tabs>
          <w:tab w:leader="none" w:pos="2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the Board;</w:t>
      </w:r>
    </w:p>
    <w:p>
      <w:pPr>
        <w:spacing w:after="0" w:line="5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the Board to modify, alter or repeal our amended and restated by-laws; and</w:t>
      </w:r>
    </w:p>
    <w:p>
      <w:pPr>
        <w:spacing w:after="0" w:line="11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charter and bylaws.</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117" w:lineRule="exact"/>
        <w:rPr>
          <w:sz w:val="20"/>
          <w:szCs w:val="20"/>
          <w:color w:val="auto"/>
        </w:rPr>
      </w:pPr>
    </w:p>
    <w:p>
      <w:pPr>
        <w:ind w:left="3"/>
        <w:spacing w:after="0" w:line="282"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DGCL, which limits the ability of stockholders owning in excess of 15% of our outstanding voting stock to merge or combine with us.</w:t>
      </w:r>
    </w:p>
    <w:p>
      <w:pPr>
        <w:spacing w:after="0" w:line="54" w:lineRule="exact"/>
        <w:rPr>
          <w:sz w:val="20"/>
          <w:szCs w:val="20"/>
          <w:color w:val="auto"/>
        </w:rPr>
      </w:pPr>
    </w:p>
    <w:p>
      <w:pPr>
        <w:jc w:val="both"/>
        <w:ind w:left="3" w:right="40"/>
        <w:spacing w:after="0" w:line="266" w:lineRule="auto"/>
        <w:rPr>
          <w:sz w:val="20"/>
          <w:szCs w:val="20"/>
          <w:color w:val="auto"/>
        </w:rPr>
      </w:pPr>
      <w:r>
        <w:rPr>
          <w:rFonts w:ascii="Times New Roman" w:cs="Times New Roman" w:eastAsia="Times New Roman" w:hAnsi="Times New Roman"/>
          <w:sz w:val="18"/>
          <w:szCs w:val="18"/>
          <w:color w:val="auto"/>
        </w:rPr>
        <w:t>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jc w:val="both"/>
        <w:ind w:left="3"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159" w:lineRule="exact"/>
        <w:rPr>
          <w:sz w:val="20"/>
          <w:szCs w:val="20"/>
          <w:color w:val="auto"/>
        </w:rPr>
      </w:pPr>
    </w:p>
    <w:p>
      <w:pPr>
        <w:ind w:left="3" w:right="4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w:t>
      </w:r>
    </w:p>
    <w:p>
      <w:pPr>
        <w:spacing w:after="0" w:line="18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093" w:right="379" w:bottom="1440" w:gutter="0" w:footer="0" w:header="0"/>
        </w:sectPr>
      </w:pPr>
    </w:p>
    <w:bookmarkStart w:id="81" w:name="page82"/>
    <w:bookmarkEnd w:id="81"/>
    <w:p>
      <w:pPr>
        <w:ind w:left="760" w:right="80"/>
        <w:spacing w:after="0" w:line="256" w:lineRule="auto"/>
        <w:rPr>
          <w:sz w:val="20"/>
          <w:szCs w:val="20"/>
          <w:color w:val="auto"/>
        </w:rPr>
      </w:pPr>
      <w:r>
        <w:rPr>
          <w:rFonts w:ascii="Times New Roman" w:cs="Times New Roman" w:eastAsia="Times New Roman" w:hAnsi="Times New Roman"/>
          <w:sz w:val="18"/>
          <w:szCs w:val="18"/>
          <w:color w:val="auto"/>
        </w:rPr>
        <w:t>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79"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17"/>
          <w:szCs w:val="17"/>
          <w:color w:val="auto"/>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9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300" w:type="dxa"/>
            <w:vAlign w:val="bottom"/>
            <w:vMerge w:val="restart"/>
          </w:tcPr>
          <w:p>
            <w:pPr>
              <w:ind w:left="2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11"/>
                <w:szCs w:val="1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1"/>
                <w:szCs w:val="11"/>
                <w:color w:val="auto"/>
              </w:rPr>
            </w:pPr>
          </w:p>
        </w:tc>
        <w:tc>
          <w:tcPr>
            <w:tcW w:w="11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1"/>
                <w:szCs w:val="1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1"/>
                <w:szCs w:val="11"/>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63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1">
            <w:col w:w="11240"/>
          </w:cols>
          <w:pgMar w:left="320" w:top="1197"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40" w:type="dxa"/>
            <w:vAlign w:val="bottom"/>
            <w:gridSpan w:val="10"/>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Fourth Amended and Restated Certificate of Incorporation, as amended through June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00" w:type="dxa"/>
            <w:vAlign w:val="bottom"/>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20, 2024.</w:t>
              </w:r>
            </w:hyperlink>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40" w:type="dxa"/>
            <w:vAlign w:val="bottom"/>
            <w:gridSpan w:val="10"/>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Amended and Restated Bylaws, as currently in effect.</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Non-Employee Director Compensation Policy of Tectonic Therapeutic, Inc.</w:t>
            </w: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34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6240" w:type="dxa"/>
            <w:vAlign w:val="bottom"/>
            <w:gridSpan w:val="10"/>
          </w:tcPr>
          <w:p>
            <w:pPr>
              <w:spacing w:after="0"/>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Separation Agreement, dated July 5, 2024, between Tectonic Therapeutic, Inc. and</w:t>
              </w:r>
            </w:hyperlink>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80" w:type="dxa"/>
            <w:vAlign w:val="bottom"/>
            <w:vMerge w:val="continue"/>
          </w:tcPr>
          <w:p>
            <w:pPr>
              <w:spacing w:after="0"/>
              <w:rPr>
                <w:sz w:val="11"/>
                <w:szCs w:val="11"/>
                <w:color w:val="auto"/>
              </w:rPr>
            </w:pPr>
          </w:p>
        </w:tc>
        <w:tc>
          <w:tcPr>
            <w:tcW w:w="6240" w:type="dxa"/>
            <w:vAlign w:val="bottom"/>
            <w:gridSpan w:val="10"/>
            <w:vMerge w:val="restart"/>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Christian Cortis</w:t>
              </w:r>
            </w:hyperlink>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624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2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2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524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2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524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2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524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2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532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2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5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Interactive Data File as its XBRL tags are embedded within the Inline XBRL</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6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XBRL Taxonomy Extension Schema Document with Embedded Linkbase Documents</w:t>
            </w:r>
          </w:p>
        </w:tc>
        <w:tc>
          <w:tcPr>
            <w:tcW w:w="0" w:type="dxa"/>
            <w:vAlign w:val="bottom"/>
          </w:tcPr>
          <w:p>
            <w:pPr>
              <w:spacing w:after="0"/>
              <w:rPr>
                <w:sz w:val="1"/>
                <w:szCs w:val="1"/>
                <w:color w:val="auto"/>
              </w:rPr>
            </w:pPr>
          </w:p>
        </w:tc>
      </w:tr>
      <w:tr>
        <w:trPr>
          <w:trHeight w:val="39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6686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001-38537</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8/14/2024</w:t>
            </w:r>
          </w:p>
        </w:tc>
      </w:tr>
      <w:tr>
        <w:trPr>
          <w:trHeight w:val="392"/>
        </w:trPr>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001-38537</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6/25/2018</w:t>
            </w:r>
          </w:p>
        </w:tc>
      </w:tr>
      <w:tr>
        <w:trPr>
          <w:trHeight w:val="891"/>
        </w:trPr>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001-38537</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7/5/2024</w:t>
            </w:r>
          </w:p>
        </w:tc>
      </w:tr>
    </w:tbl>
    <w:p>
      <w:pPr>
        <w:spacing w:after="0" w:line="4382" w:lineRule="exact"/>
        <w:rPr>
          <w:sz w:val="20"/>
          <w:szCs w:val="20"/>
          <w:color w:val="auto"/>
        </w:rPr>
      </w:pPr>
    </w:p>
    <w:p>
      <w:pPr>
        <w:sectPr>
          <w:pgSz w:w="11900" w:h="16838" w:orient="portrait"/>
          <w:cols w:equalWidth="0" w:num="2">
            <w:col w:w="7340" w:space="200"/>
            <w:col w:w="3700"/>
          </w:cols>
          <w:pgMar w:left="320" w:top="119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9" w:lineRule="exact"/>
        <w:rPr>
          <w:sz w:val="20"/>
          <w:szCs w:val="20"/>
          <w:color w:val="auto"/>
        </w:rPr>
      </w:pPr>
    </w:p>
    <w:p>
      <w:pPr>
        <w:ind w:right="100" w:firstLine="8"/>
        <w:spacing w:after="0" w:line="253" w:lineRule="auto"/>
        <w:tabs>
          <w:tab w:leader="none" w:pos="12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by the registrant under the Securities Act of 1933, as amended, or the Securities Exchange Act of 1934, as amended, whether made before or after the date hereof, regardless of any general incorporation language in such filing.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0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tc>
      </w:tr>
      <w:tr>
        <w:trPr>
          <w:trHeight w:val="46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20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Alise Reicin, M.D.</w:t>
            </w:r>
          </w:p>
        </w:tc>
      </w:tr>
      <w:tr>
        <w:trPr>
          <w:trHeight w:val="234"/>
        </w:trPr>
        <w:tc>
          <w:tcPr>
            <w:tcW w:w="36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Alise Reicin, M.D.</w:t>
            </w:r>
          </w:p>
        </w:tc>
      </w:tr>
      <w:tr>
        <w:trPr>
          <w:trHeight w:val="238"/>
        </w:trPr>
        <w:tc>
          <w:tcPr>
            <w:tcW w:w="36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36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5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20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Daniel Lochner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8255</wp:posOffset>
            </wp:positionV>
            <wp:extent cx="35318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Daniel Lochner</w:t>
      </w:r>
    </w:p>
    <w:p>
      <w:pPr>
        <w:spacing w:after="0" w:line="3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ectonic</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Each member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Tectonic Therapeutic,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who is a non-employee director of the Company (each such member, a “</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will receive the compensation described in this Non-Employee Director Compensation Policy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for his or her Board service.</w:t>
      </w:r>
    </w:p>
    <w:p>
      <w:pPr>
        <w:spacing w:after="0" w:line="17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Policy is effective as of the date of the consummation of the merger pursuant to that certain Agreement and Plan of Merger and Reorganization, dated as of January 30, 2024 by and among AVROBIO, Inc., Alpine Merger Subsidiary, Inc. and Tectonic Therapeutic, Inc.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The Policy may be amended at any time in the sole discretion of the Board or the Compensation Committee of the Board.</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Non-Employee Director may decline all or any portion of his or her compensation by giving notice to the Company prior to the date cash is to be paid or equity awards are to be granted, as the case may be.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Cash Compensation</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Commencing at the beginning of the first calendar quarter following the Effective Date, each Non-Employee Director will receive a cash retainer for service on our Board and committees of our Board. The annual cash retainers will be payable in arrears in four equal quarterly installments within sixty days after the end of each calendar quarter in which the service occurred,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such payment will be prorated for any portion of such quarter that the Non-Employee Director is not serving on our Board.</w:t>
      </w:r>
    </w:p>
    <w:p>
      <w:pPr>
        <w:spacing w:after="0" w:line="180" w:lineRule="exact"/>
        <w:rPr>
          <w:sz w:val="20"/>
          <w:szCs w:val="20"/>
          <w:color w:val="auto"/>
        </w:rPr>
      </w:pPr>
    </w:p>
    <w:p>
      <w:pPr>
        <w:ind w:left="1200" w:hanging="390"/>
        <w:spacing w:after="0"/>
        <w:tabs>
          <w:tab w:leader="none" w:pos="12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Board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Eligible Directors: $40,000</w:t>
      </w:r>
    </w:p>
    <w:p>
      <w:pPr>
        <w:ind w:left="1900" w:hanging="394"/>
        <w:spacing w:after="0"/>
        <w:tabs>
          <w:tab w:leader="none" w:pos="19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Retainer for non-executive chairperson of the Board: $70,000 (in lieu of amount listed above)</w:t>
      </w:r>
    </w:p>
    <w:p>
      <w:pPr>
        <w:spacing w:after="0" w:line="207"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Member Service Retainer (in addition to Annual Board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Audit Committee: $7,500</w:t>
      </w:r>
    </w:p>
    <w:p>
      <w:pPr>
        <w:ind w:left="1900" w:hanging="395"/>
        <w:spacing w:after="0"/>
        <w:tabs>
          <w:tab w:leader="none" w:pos="19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Compensation Committee: $5,000</w:t>
      </w:r>
    </w:p>
    <w:p>
      <w:pPr>
        <w:ind w:left="1900" w:hanging="395"/>
        <w:spacing w:after="0"/>
        <w:tabs>
          <w:tab w:leader="none" w:pos="19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Nominating and Corporate Governance Committee: $4,000</w:t>
      </w:r>
    </w:p>
    <w:p>
      <w:pPr>
        <w:spacing w:after="0" w:line="207"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Chair Service Retainer (inclusive of the Annual Committee Member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Audit Committee: $15,000</w:t>
      </w:r>
    </w:p>
    <w:p>
      <w:pPr>
        <w:ind w:left="1900" w:hanging="395"/>
        <w:spacing w:after="0"/>
        <w:tabs>
          <w:tab w:leader="none" w:pos="19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Compensation Committee: $10,000</w:t>
      </w:r>
    </w:p>
    <w:p>
      <w:pPr>
        <w:ind w:left="1900" w:hanging="395"/>
        <w:spacing w:after="0"/>
        <w:tabs>
          <w:tab w:leader="none" w:pos="19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Nominating and Corporate Governance Committee: $8,000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Equity awards will be granted under the Company’s 2024 Equity Incentive Plan or any successor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All stock options granted under the Policy will be nonstatutory stock options, with a term of ten years from the date of grant, subject to earlier termination upon a termination of the</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958215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both"/>
        <w:spacing w:after="0" w:line="254" w:lineRule="auto"/>
        <w:rPr>
          <w:sz w:val="20"/>
          <w:szCs w:val="20"/>
          <w:color w:val="auto"/>
        </w:rPr>
      </w:pPr>
      <w:r>
        <w:rPr>
          <w:rFonts w:ascii="Times New Roman" w:cs="Times New Roman" w:eastAsia="Times New Roman" w:hAnsi="Times New Roman"/>
          <w:sz w:val="20"/>
          <w:szCs w:val="20"/>
          <w:color w:val="auto"/>
        </w:rPr>
        <w:t>Continuous Service (as defined in the Plan) of the Non-Employee Director and an exercise price per share equal to 100% of the Fair Market Value (as defined in the Plan) of the underlying shares of common stock of the Company on the date of grant. Vesting schedules for equity awards will be subject to the Non-Employee Director’s Continuous Service on each applicable vesting date.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Upon the termination of the membership of the Non-Employee Director on the Board for any reason, his or her options granted under this Policy shall remain exercisable for three months following his or her date of termination (or such longer period as the Board may determine in its discretion on or after the date of grant of such options).</w:t>
      </w:r>
    </w:p>
    <w:p>
      <w:pPr>
        <w:spacing w:after="0" w:line="170" w:lineRule="exact"/>
        <w:rPr>
          <w:sz w:val="20"/>
          <w:szCs w:val="20"/>
          <w:color w:val="auto"/>
        </w:rPr>
      </w:pPr>
    </w:p>
    <w:p>
      <w:pPr>
        <w:ind w:left="1040" w:hanging="283"/>
        <w:spacing w:after="0"/>
        <w:tabs>
          <w:tab w:leader="none" w:pos="104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Automatic Equity Grants.</w:t>
      </w:r>
    </w:p>
    <w:p>
      <w:pPr>
        <w:spacing w:after="0" w:line="215" w:lineRule="exact"/>
        <w:rPr>
          <w:rFonts w:ascii="Times New Roman" w:cs="Times New Roman" w:eastAsia="Times New Roman" w:hAnsi="Times New Roman"/>
          <w:sz w:val="20"/>
          <w:szCs w:val="20"/>
          <w:b w:val="1"/>
          <w:bCs w:val="1"/>
          <w:color w:val="auto"/>
        </w:rPr>
      </w:pPr>
    </w:p>
    <w:p>
      <w:pPr>
        <w:jc w:val="both"/>
        <w:ind w:firstLine="1505"/>
        <w:spacing w:after="0" w:line="247" w:lineRule="auto"/>
        <w:tabs>
          <w:tab w:leader="none" w:pos="17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Initial Grant for Directors Appointed to the Combined Company Board as of the Effective Date</w:t>
      </w:r>
      <w:r>
        <w:rPr>
          <w:rFonts w:ascii="Times New Roman" w:cs="Times New Roman" w:eastAsia="Times New Roman" w:hAnsi="Times New Roman"/>
          <w:sz w:val="20"/>
          <w:szCs w:val="20"/>
          <w:color w:val="auto"/>
        </w:rPr>
        <w:t>. Each Non-Employee Director appointed to the Board of the combined company on the Effective Date was granted an one-time equity award of options to purchase 11,760 shares of common stock (the “</w:t>
      </w:r>
      <w:r>
        <w:rPr>
          <w:rFonts w:ascii="Times New Roman" w:cs="Times New Roman" w:eastAsia="Times New Roman" w:hAnsi="Times New Roman"/>
          <w:sz w:val="20"/>
          <w:szCs w:val="20"/>
          <w:b w:val="1"/>
          <w:bCs w:val="1"/>
          <w:i w:val="1"/>
          <w:iCs w:val="1"/>
          <w:color w:val="auto"/>
        </w:rPr>
        <w:t>Effective Date Grant</w:t>
      </w:r>
      <w:r>
        <w:rPr>
          <w:rFonts w:ascii="Times New Roman" w:cs="Times New Roman" w:eastAsia="Times New Roman" w:hAnsi="Times New Roman"/>
          <w:sz w:val="20"/>
          <w:szCs w:val="20"/>
          <w:color w:val="auto"/>
        </w:rPr>
        <w:t>”). One-third of the Effective Date Grant will vest on the first anniversary of the date of grant, with the remainder vesting in equal monthly installments thereafter until the third anniversary of the date of grant, subject to the Non-Employee Director’s Continuous Service through each applicable vesting date.</w:t>
      </w:r>
    </w:p>
    <w:p>
      <w:pPr>
        <w:spacing w:after="0" w:line="180"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02"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Initial Grant for New Directors Post-Merger</w:t>
      </w:r>
      <w:r>
        <w:rPr>
          <w:rFonts w:ascii="Times New Roman" w:cs="Times New Roman" w:eastAsia="Times New Roman" w:hAnsi="Times New Roman"/>
          <w:sz w:val="20"/>
          <w:szCs w:val="20"/>
          <w:color w:val="auto"/>
        </w:rPr>
        <w:t>. Without any further action of the Board, each person who, after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Date, is elected or appointed for the first time to be a Non-Employee Director will automatically, upon the date of his or her initial election or appointment to be a Non-Employee Director, be granted an initial, one-time equity award of options to purchase 14,800 shares of common stock with a cash value not to exceed $800,000 (the “</w:t>
      </w:r>
      <w:r>
        <w:rPr>
          <w:rFonts w:ascii="Times New Roman" w:cs="Times New Roman" w:eastAsia="Times New Roman" w:hAnsi="Times New Roman"/>
          <w:sz w:val="20"/>
          <w:szCs w:val="20"/>
          <w:b w:val="1"/>
          <w:bCs w:val="1"/>
          <w:i w:val="1"/>
          <w:iCs w:val="1"/>
          <w:color w:val="auto"/>
        </w:rPr>
        <w:t>Initial Grant</w:t>
      </w:r>
      <w:r>
        <w:rPr>
          <w:rFonts w:ascii="Times New Roman" w:cs="Times New Roman" w:eastAsia="Times New Roman" w:hAnsi="Times New Roman"/>
          <w:sz w:val="20"/>
          <w:szCs w:val="20"/>
          <w:color w:val="auto"/>
        </w:rPr>
        <w:t>”). One-third of the Initial Grant will vest on the first anniversary of the date of grant, with the remainder vesting in equal monthly installments thereafter until the third anniversary of the date of grant, subject to the Non-Employee Director’s Continuous Service through each applicable vesting date.</w:t>
      </w:r>
    </w:p>
    <w:p>
      <w:pPr>
        <w:spacing w:after="0" w:line="178"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71"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Annual Grant</w:t>
      </w:r>
      <w:r>
        <w:rPr>
          <w:rFonts w:ascii="Times New Roman" w:cs="Times New Roman" w:eastAsia="Times New Roman" w:hAnsi="Times New Roman"/>
          <w:sz w:val="20"/>
          <w:szCs w:val="20"/>
          <w:color w:val="auto"/>
        </w:rPr>
        <w:t>. Without any further action of the Board, on the business day following each annual meeting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stockholders of the Company (the “</w:t>
      </w:r>
      <w:r>
        <w:rPr>
          <w:rFonts w:ascii="Times New Roman" w:cs="Times New Roman" w:eastAsia="Times New Roman" w:hAnsi="Times New Roman"/>
          <w:sz w:val="20"/>
          <w:szCs w:val="20"/>
          <w:b w:val="1"/>
          <w:bCs w:val="1"/>
          <w:i w:val="1"/>
          <w:iCs w:val="1"/>
          <w:color w:val="auto"/>
        </w:rPr>
        <w:t>Annual Meeting</w:t>
      </w:r>
      <w:r>
        <w:rPr>
          <w:rFonts w:ascii="Times New Roman" w:cs="Times New Roman" w:eastAsia="Times New Roman" w:hAnsi="Times New Roman"/>
          <w:sz w:val="20"/>
          <w:szCs w:val="20"/>
          <w:color w:val="auto"/>
        </w:rPr>
        <w:t>”), commencing with the 2025 annual meeting of the stockholders, each person who is then a Non-Employee Director will automatically be granted an option to purchase 7,400 shares of common stock with a cash value not to exceed $400,000 (the “</w:t>
      </w:r>
      <w:r>
        <w:rPr>
          <w:rFonts w:ascii="Times New Roman" w:cs="Times New Roman" w:eastAsia="Times New Roman" w:hAnsi="Times New Roman"/>
          <w:sz w:val="20"/>
          <w:szCs w:val="20"/>
          <w:b w:val="1"/>
          <w:bCs w:val="1"/>
          <w:i w:val="1"/>
          <w:iCs w:val="1"/>
          <w:color w:val="auto"/>
        </w:rPr>
        <w:t>Annual Grant</w:t>
      </w:r>
      <w:r>
        <w:rPr>
          <w:rFonts w:ascii="Times New Roman" w:cs="Times New Roman" w:eastAsia="Times New Roman" w:hAnsi="Times New Roman"/>
          <w:sz w:val="20"/>
          <w:szCs w:val="20"/>
          <w:color w:val="auto"/>
        </w:rPr>
        <w:t>”). Each Annual Grant shall cliff vest upon the earlier of (x) the first anniversary of the date of grant and (y) the Annual Meeting that immediately follows the date of grant, (i) subject to the Non-Employee Director’s Continuous Service through the applicable vesting date and (ii) that no Annual Grant will be granted to a Non-Employee Director in the same calendar year that such person received his or her Initial Grant.</w:t>
      </w:r>
    </w:p>
    <w:p>
      <w:pPr>
        <w:spacing w:after="0" w:line="179" w:lineRule="exact"/>
        <w:rPr>
          <w:rFonts w:ascii="Times New Roman" w:cs="Times New Roman" w:eastAsia="Times New Roman" w:hAnsi="Times New Roman"/>
          <w:sz w:val="20"/>
          <w:szCs w:val="20"/>
          <w:color w:val="auto"/>
        </w:rPr>
      </w:pPr>
    </w:p>
    <w:p>
      <w:pPr>
        <w:jc w:val="both"/>
        <w:ind w:firstLine="757"/>
        <w:spacing w:after="0" w:line="250" w:lineRule="auto"/>
        <w:tabs>
          <w:tab w:leader="none" w:pos="108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Notwithstanding the foregoing vesting schedules, for each Non-Employee Director who remains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Continuous Service with the Company until immediately prior to the closing of a “Change in Control” (as defined in the Plan), the shares subject to his or her then-outstanding equity grants that were granted pursuant to the Policy will become fully vested immediately prior to the closing of such Change in Control.</w:t>
      </w:r>
    </w:p>
    <w:p>
      <w:pPr>
        <w:spacing w:after="0" w:line="175"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Remaining Terms</w:t>
      </w:r>
      <w:r>
        <w:rPr>
          <w:rFonts w:ascii="Times New Roman" w:cs="Times New Roman" w:eastAsia="Times New Roman" w:hAnsi="Times New Roman"/>
          <w:sz w:val="20"/>
          <w:szCs w:val="20"/>
          <w:color w:val="auto"/>
        </w:rPr>
        <w:t>. The remaining terms and conditions of each stock option, including transferability, will be as set forth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standard Option Agreement, in the form adopted from time to time by the Board. The remaining terms and conditions of each restricted stock unit award, including transferability, will be as set forth in the Company’s standard Restricted Stock Unit Award Agreement, in the form adopted from time to time by the Board.</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color w:val="auto"/>
        </w:rPr>
        <w:t>Non-Employee Director Compensation Limit</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Notwithstanding the foregoing, the aggregate value of all compensation granted or paid, as applicable, to any individual for service as a Non-Employee Director shall in no event exceed the limits set forth in Section 3(d) of the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Company will reimburse each Non-Employee Director for reasonable out-of-pocket travel expenses to cover in-person attendance at and participation in Board and committee meetings;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Non-Employee Director timely submit to the Company appropriate documentation substantiating such expenses in accordance with the Company’s travel and expense policy, as in effect from time to time.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Approved:</w:t>
            </w:r>
          </w:p>
        </w:tc>
        <w:tc>
          <w:tcPr>
            <w:tcW w:w="101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August 21, 2024</w:t>
            </w:r>
          </w:p>
        </w:tc>
      </w:tr>
      <w:tr>
        <w:trPr>
          <w:trHeight w:val="262"/>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Effective:</w:t>
            </w:r>
          </w:p>
        </w:tc>
        <w:tc>
          <w:tcPr>
            <w:tcW w:w="101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June 20, 2024</w:t>
            </w:r>
          </w:p>
        </w:tc>
      </w:tr>
      <w:tr>
        <w:trPr>
          <w:trHeight w:val="237"/>
        </w:trPr>
        <w:tc>
          <w:tcPr>
            <w:tcW w:w="1060" w:type="dxa"/>
            <w:vAlign w:val="bottom"/>
          </w:tcPr>
          <w:p>
            <w:pPr>
              <w:jc w:val="right"/>
              <w:ind w:right="424"/>
              <w:spacing w:after="0"/>
              <w:rPr>
                <w:sz w:val="20"/>
                <w:szCs w:val="20"/>
                <w:color w:val="auto"/>
              </w:rPr>
            </w:pPr>
            <w:r>
              <w:rPr>
                <w:rFonts w:ascii="Times New Roman" w:cs="Times New Roman" w:eastAsia="Times New Roman" w:hAnsi="Times New Roman"/>
                <w:sz w:val="18"/>
                <w:szCs w:val="18"/>
                <w:color w:val="auto"/>
              </w:rPr>
              <w:t>3</w:t>
            </w:r>
          </w:p>
        </w:tc>
        <w:tc>
          <w:tcPr>
            <w:tcW w:w="10180" w:type="dxa"/>
            <w:vAlign w:val="bottom"/>
          </w:tcPr>
          <w:p>
            <w:pPr>
              <w:spacing w:after="0"/>
              <w:rPr>
                <w:sz w:val="20"/>
                <w:szCs w:val="20"/>
                <w:color w:val="auto"/>
              </w:rPr>
            </w:pPr>
          </w:p>
        </w:tc>
      </w:tr>
      <w:tr>
        <w:trPr>
          <w:trHeight w:val="1276"/>
        </w:trPr>
        <w:tc>
          <w:tcPr>
            <w:tcW w:w="1060" w:type="dxa"/>
            <w:vAlign w:val="bottom"/>
            <w:tcBorders>
              <w:bottom w:val="single" w:sz="8" w:color="9A9A9A"/>
            </w:tcBorders>
          </w:tcPr>
          <w:p>
            <w:pPr>
              <w:spacing w:after="0"/>
              <w:rPr>
                <w:sz w:val="24"/>
                <w:szCs w:val="24"/>
                <w:color w:val="auto"/>
              </w:rPr>
            </w:pPr>
          </w:p>
        </w:tc>
        <w:tc>
          <w:tcPr>
            <w:tcW w:w="10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7" w:name="page88"/>
    <w:bookmarkEnd w:id="8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Alise Reicin, certify that:</w:t>
      </w:r>
    </w:p>
    <w:p>
      <w:pPr>
        <w:spacing w:after="0" w:line="117"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Tectonic Therapeutic,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Alise Reicin,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Alise Reicin, M.D.</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Lochner, certify that:</w:t>
      </w:r>
    </w:p>
    <w:p>
      <w:pPr>
        <w:spacing w:after="0" w:line="117"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Tectonic Therapeutic,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6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Daniel Lochner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Alise Reicin, President and Chief Executive Officer of Tectonic Therapeutic, Inc. (the “Company”), and Daniel Lochner, Chief Financial Officer of the Company, each hereby certifies that, to the best of his or her knowledge:</w:t>
      </w:r>
    </w:p>
    <w:p>
      <w:pPr>
        <w:spacing w:after="0" w:line="68" w:lineRule="exact"/>
        <w:rPr>
          <w:sz w:val="20"/>
          <w:szCs w:val="20"/>
          <w:color w:val="auto"/>
        </w:rPr>
      </w:pPr>
    </w:p>
    <w:p>
      <w:pPr>
        <w:ind w:left="52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2024,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12th day of November, 2024.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Alise Reicin, M.D.</w:t>
            </w:r>
          </w:p>
        </w:tc>
        <w:tc>
          <w:tcPr>
            <w:tcW w:w="2940" w:type="dxa"/>
            <w:vAlign w:val="bottom"/>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Lochner</w:t>
            </w: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Alise Reicin, M.D.</w:t>
            </w:r>
          </w:p>
        </w:tc>
        <w:tc>
          <w:tcPr>
            <w:tcW w:w="29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Daniel Lochner</w:t>
            </w:r>
          </w:p>
        </w:tc>
      </w:t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9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38"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Tectonic Therapeutic,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2"/>
    </w:lvl>
  </w:abstractNum>
  <w:abstractNum w:abstractNumId="5">
    <w:nsid w:val="8138641"/>
    <w:multiLevelType w:val="hybridMultilevel"/>
    <w:lvl w:ilvl="0">
      <w:lvlJc w:val="left"/>
      <w:lvlText w:val="%1."/>
      <w:numFmt w:val="decimal"/>
      <w:start w:val="3"/>
    </w:lvl>
  </w:abstractNum>
  <w:abstractNum w:abstractNumId="6">
    <w:nsid w:val="1E7FF521"/>
    <w:multiLevelType w:val="hybridMultilevel"/>
    <w:lvl w:ilvl="0">
      <w:lvlJc w:val="left"/>
      <w:lvlText w:val="%1."/>
      <w:numFmt w:val="decimal"/>
      <w:start w:val="4"/>
    </w:lvl>
  </w:abstractNum>
  <w:abstractNum w:abstractNumId="7">
    <w:nsid w:val="7C3DBD3D"/>
    <w:multiLevelType w:val="hybridMultilevel"/>
    <w:lvl w:ilvl="0">
      <w:lvlJc w:val="left"/>
      <w:lvlText w:val="%1."/>
      <w:numFmt w:val="decimal"/>
      <w:start w:val="5"/>
    </w:lvl>
  </w:abstractNum>
  <w:abstractNum w:abstractNumId="8">
    <w:nsid w:val="737B8DDC"/>
    <w:multiLevelType w:val="hybridMultilevel"/>
    <w:lvl w:ilvl="0">
      <w:lvlJc w:val="left"/>
      <w:lvlText w:val="%1."/>
      <w:numFmt w:val="decimal"/>
      <w:start w:val="6"/>
    </w:lvl>
  </w:abstractNum>
  <w:abstractNum w:abstractNumId="9">
    <w:nsid w:val="6CEAF087"/>
    <w:multiLevelType w:val="hybridMultilevel"/>
    <w:lvl w:ilvl="0">
      <w:lvlJc w:val="left"/>
      <w:lvlText w:val="%1."/>
      <w:numFmt w:val="decimal"/>
      <w:start w:val="7"/>
    </w:lvl>
  </w:abstractNum>
  <w:abstractNum w:abstractNumId="10">
    <w:nsid w:val="22221A70"/>
    <w:multiLevelType w:val="hybridMultilevel"/>
    <w:lvl w:ilvl="0">
      <w:lvlJc w:val="left"/>
      <w:lvlText w:val="%1."/>
      <w:numFmt w:val="decimal"/>
      <w:start w:val="8"/>
    </w:lvl>
  </w:abstractNum>
  <w:abstractNum w:abstractNumId="11">
    <w:nsid w:val="4516DDE9"/>
    <w:multiLevelType w:val="hybridMultilevel"/>
    <w:lvl w:ilvl="0">
      <w:lvlJc w:val="left"/>
      <w:lvlText w:val="%1."/>
      <w:numFmt w:val="decimal"/>
      <w:start w:val="9"/>
    </w:lvl>
  </w:abstractNum>
  <w:abstractNum w:abstractNumId="12">
    <w:nsid w:val="3006C83E"/>
    <w:multiLevelType w:val="hybridMultilevel"/>
    <w:lvl w:ilvl="0">
      <w:lvlJc w:val="left"/>
      <w:lvlText w:val="%1."/>
      <w:numFmt w:val="decimal"/>
      <w:start w:val="10"/>
    </w:lvl>
  </w:abstractNum>
  <w:abstractNum w:abstractNumId="13">
    <w:nsid w:val="614FD4A1"/>
    <w:multiLevelType w:val="hybridMultilevel"/>
    <w:lvl w:ilvl="0">
      <w:lvlJc w:val="left"/>
      <w:lvlText w:val="%1."/>
      <w:numFmt w:val="decimal"/>
      <w:start w:val="12"/>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lowerRoman"/>
      <w:start w:val="2"/>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1"/>
    </w:lvl>
    <w:lvl w:ilvl="1">
      <w:lvlJc w:val="left"/>
      <w:lvlText w:val="%2."/>
      <w:numFmt w:val="lowerLetter"/>
      <w:start w:val="1"/>
    </w:lvl>
  </w:abstractNum>
  <w:abstractNum w:abstractNumId="50">
    <w:nsid w:val="12E685FB"/>
    <w:multiLevelType w:val="hybridMultilevel"/>
    <w:lvl w:ilvl="0">
      <w:lvlJc w:val="left"/>
      <w:lvlText w:val="(%1)"/>
      <w:numFmt w:val="lowerLetter"/>
      <w:start w:val="1"/>
    </w:lvl>
    <w:lvl w:ilvl="1">
      <w:lvlJc w:val="left"/>
      <w:lvlText w:val="(%2)"/>
      <w:numFmt w:val="lowerRoman"/>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285" Type="http://schemas.openxmlformats.org/officeDocument/2006/relationships/hyperlink" Target="https://www.sec.gov/Archives/edgar/data/1681087/000119312524200609/d878693dex31.htm" TargetMode="External"/><Relationship Id="rId286" Type="http://schemas.openxmlformats.org/officeDocument/2006/relationships/hyperlink" Target="https://www.sec.gov/Archives/edgar/data/1681087/000119312518202460/d153924dex32.htm" TargetMode="External"/><Relationship Id="rId287" Type="http://schemas.openxmlformats.org/officeDocument/2006/relationships/hyperlink" Target="https://www.sec.gov/Archives/edgar/data/1681087/000119312524175599/d85979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2024-11-12T15:28:56Z</dcterms:created>
  <dcterms:modified xsi:type="dcterms:W3CDTF">2024-11-12T15:28:56Z</dcterms:modified>
</cp:coreProperties>
</file>