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tecx-20260930.htm"/>
      <w:bookmarkStart w:id="1" w:name="kstecx20260930"/>
      <w:bookmarkEnd w:id="0"/>
      <w:bookmarkEnd w:id="1"/>
      <w:r>
        <w:t> </w:t>
      </w:r>
    </w:p>
    <w:p>
      <w:pPr>
        <w:pStyle w:val="TextBody"/>
        <w:pBdr>
          <w:top w:val="double" w:sz="6" w:space="1" w:color="000000"/>
        </w:pBdr>
        <w:bidi w:val="0"/>
        <w:spacing w:before="20" w:after="283"/>
        <w:jc w:val="center"/>
      </w:pPr>
      <w:r>
        <w:t> </w:t>
      </w:r>
    </w:p>
    <w:p>
      <w:pPr>
        <w:pStyle w:val="TextBody"/>
        <w:bidi w:val="0"/>
        <w:spacing w:before="40" w:after="283"/>
        <w:jc w:val="center"/>
        <w:rPr>
          <w:rFonts w:ascii="Times New Roman" w:hAnsi="Times New Roman"/>
          <w:sz w:val="36"/>
        </w:rPr>
      </w:pPr>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sz w:val="36"/>
        </w:rPr>
      </w:pPr>
      <w:r>
        <w:rPr>
          <w:rFonts w:ascii="Times New Roman" w:hAnsi="Times New Roman"/>
          <w:b/>
          <w:color w:val="000000"/>
          <w:sz w:val="36"/>
        </w:rPr>
        <w:t>SECURITIES AND EXCHANGE COMMISSION</w:t>
      </w:r>
      <w:r>
        <w:rPr>
          <w:rFonts w:ascii="Times New Roman" w:hAnsi="Times New Roman"/>
          <w:color w:val="000000"/>
          <w:sz w:val="36"/>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80" w:after="40"/>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September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______________ to ______________</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001-38537</w:t>
      </w:r>
      <w:r>
        <w:rPr>
          <w:rFonts w:ascii="Times New Roman" w:hAnsi="Times New Roman"/>
          <w:color w:val="000000"/>
          <w:sz w:val="20"/>
        </w:rPr>
        <w:t xml:space="preserve"> </w:t>
      </w:r>
    </w:p>
    <w:p>
      <w:pPr>
        <w:pStyle w:val="TextBody"/>
        <w:bidi w:val="0"/>
        <w:spacing w:before="40" w:after="283"/>
        <w:jc w:val="center"/>
        <w:rPr>
          <w:rFonts w:ascii="Times New Roman" w:hAnsi="Times New Roman"/>
          <w:sz w:val="48"/>
        </w:rPr>
      </w:pPr>
      <w:r>
        <w:rPr>
          <w:rFonts w:ascii="Times New Roman" w:hAnsi="Times New Roman"/>
          <w:b/>
          <w:color w:val="000000"/>
          <w:sz w:val="48"/>
        </w:rPr>
        <w:t>TECTONIC THERAPEUTIC, INC.</w:t>
      </w:r>
      <w:r>
        <w:rPr>
          <w:rFonts w:ascii="Times New Roman" w:hAnsi="Times New Roman"/>
          <w:color w:val="000000"/>
          <w:sz w:val="48"/>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412" w:type="dxa"/>
        <w:jc w:val="left"/>
        <w:tblInd w:w="0" w:type="dxa"/>
        <w:tblLayout w:type="fixed"/>
        <w:tblCellMar>
          <w:top w:w="28" w:type="dxa"/>
          <w:left w:w="28" w:type="dxa"/>
          <w:bottom w:w="28" w:type="dxa"/>
          <w:right w:w="28" w:type="dxa"/>
        </w:tblCellMar>
      </w:tblPr>
      <w:tblGrid>
        <w:gridCol w:w="2926"/>
        <w:gridCol w:w="1486"/>
      </w:tblGrid>
      <w:t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81-0710585</w:t>
            </w:r>
          </w:p>
        </w:tc>
      </w:tr>
      <w:t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490 Arsenal Way, Suite 200</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Watertown, MA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(339) 666-3320</w:t>
      </w:r>
    </w:p>
    <w:p>
      <w:pPr>
        <w:pStyle w:val="TextBody"/>
        <w:bidi w:val="0"/>
        <w:spacing w:before="80" w:after="283"/>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p>
      <w:pPr>
        <w:pStyle w:val="TextBody"/>
        <w:bidi w:val="0"/>
        <w:jc w:val="left"/>
      </w:pPr>
      <w:r>
        <w:t> </w:t>
      </w:r>
    </w:p>
    <w:tbl>
      <w:tblPr>
        <w:tblW w:w="7495" w:type="dxa"/>
        <w:jc w:val="left"/>
        <w:tblInd w:w="0" w:type="dxa"/>
        <w:tblLayout w:type="fixed"/>
        <w:tblCellMar>
          <w:top w:w="28" w:type="dxa"/>
          <w:left w:w="28" w:type="dxa"/>
          <w:bottom w:w="28" w:type="dxa"/>
          <w:right w:w="28" w:type="dxa"/>
        </w:tblCellMar>
      </w:tblPr>
      <w:tblGrid>
        <w:gridCol w:w="3706"/>
        <w:gridCol w:w="146"/>
        <w:gridCol w:w="826"/>
        <w:gridCol w:w="146"/>
        <w:gridCol w:w="2671"/>
      </w:tblGrid>
      <w:tr>
        <w:tc>
          <w:tcPr>
            <w:tcW w:w="3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71" w:type="dxa"/>
            <w:tcBorders/>
            <w:shd w:fill="FFFFFF" w:val="clear"/>
            <w:vAlign w:val="center"/>
          </w:tcPr>
          <w:p>
            <w:pPr>
              <w:pStyle w:val="TableContents"/>
              <w:bidi w:val="0"/>
              <w:spacing w:before="0" w:after="283"/>
              <w:jc w:val="left"/>
              <w:rPr>
                <w:sz w:val="4"/>
                <w:szCs w:val="4"/>
              </w:rPr>
            </w:pPr>
            <w:r>
              <w:rPr>
                <w:sz w:val="4"/>
                <w:szCs w:val="4"/>
              </w:rPr>
            </w:r>
          </w:p>
        </w:tc>
      </w:tr>
      <w:t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26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TECX</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267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pPr>
      <w: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92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As of October 30, 2026, the registrant had 19,948,037 shares of common stock, $0.0001 par value per share, outstanding.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047"/>
        <w:gridCol w:w="8646"/>
        <w:gridCol w:w="512"/>
      </w:tblGrid>
      <w:tr>
        <w:tc>
          <w:tcPr>
            <w:tcW w:w="1047" w:type="dxa"/>
            <w:tcBorders/>
            <w:shd w:fill="FFFFFF" w:val="clear"/>
            <w:vAlign w:val="center"/>
          </w:tcPr>
          <w:p>
            <w:pPr>
              <w:pStyle w:val="TableContents"/>
              <w:bidi w:val="0"/>
              <w:spacing w:before="0" w:after="283"/>
              <w:jc w:val="left"/>
              <w:rPr>
                <w:sz w:val="4"/>
                <w:szCs w:val="4"/>
              </w:rPr>
            </w:pPr>
            <w:r>
              <w:rPr>
                <w:sz w:val="4"/>
                <w:szCs w:val="4"/>
              </w:rPr>
            </w:r>
          </w:p>
        </w:tc>
        <w:tc>
          <w:tcPr>
            <w:tcW w:w="8646"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c>
          <w:tcPr>
            <w:tcW w:w="10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financial_statements">
              <w:r>
                <w:rPr>
                  <w:rStyle w:val="InternetLink"/>
                  <w:rFonts w:ascii="Times New Roman" w:hAnsi="Times New Roman"/>
                  <w:color w:val="0000FF"/>
                  <w:sz w:val="20"/>
                  <w:u w:val="single"/>
                </w:rPr>
                <w:t>FINANCIAL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pPr>
            <w:r>
              <w:t> </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financial_statements">
              <w:r>
                <w:rPr>
                  <w:rStyle w:val="InternetLink"/>
                  <w:rFonts w:ascii="Times New Roman" w:hAnsi="Times New Roman"/>
                  <w:color w:val="0000FF"/>
                  <w:sz w:val="20"/>
                  <w:u w:val="single"/>
                </w:rPr>
                <w:t>Financial Statements (unaudited)</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balance_sheet">
              <w:r>
                <w:rPr>
                  <w:rStyle w:val="InternetLink"/>
                  <w:rFonts w:ascii="Times New Roman" w:hAnsi="Times New Roman"/>
                  <w:color w:val="0000FF"/>
                  <w:sz w:val="20"/>
                  <w:u w:val="single"/>
                </w:rPr>
                <w:t>Condensed Consolidated Balance Sheets as of September 30, 2026 and December 31, 2025</w:t>
              </w:r>
            </w:hyperlink>
            <w:hyperlink w:anchor="balance_sheet">
              <w:r>
                <w:rPr>
                  <w:rStyle w:val="InternetLink"/>
                  <w:rFonts w:ascii="Times New Roman" w:hAnsi="Times New Roman"/>
                  <w:color w:val="0000FF"/>
                  <w:sz w:val="20"/>
                </w:rPr>
                <w:t xml:space="preserve"> </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statement_of_operations">
              <w:r>
                <w:rPr>
                  <w:rStyle w:val="InternetLink"/>
                  <w:rFonts w:ascii="Times New Roman" w:hAnsi="Times New Roman"/>
                  <w:color w:val="0000FF"/>
                  <w:sz w:val="20"/>
                  <w:u w:val="single"/>
                </w:rPr>
                <w:t>Condensed Consolidated Statements of Operations and Comprehensive Loss for the three and nine months ended September 30, 2026 and 2025</w:t>
              </w:r>
            </w:hyperlink>
            <w:hyperlink w:anchor="statement_of_operations">
              <w:r>
                <w:rPr>
                  <w:rStyle w:val="InternetLink"/>
                  <w:rFonts w:ascii="Times New Roman" w:hAnsi="Times New Roman"/>
                  <w:color w:val="0000FF"/>
                  <w:sz w:val="20"/>
                </w:rPr>
                <w:t xml:space="preserve"> </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equity">
              <w:r>
                <w:rPr>
                  <w:rStyle w:val="InternetLink"/>
                  <w:rFonts w:ascii="Times New Roman" w:hAnsi="Times New Roman"/>
                  <w:color w:val="0000FF"/>
                  <w:sz w:val="20"/>
                  <w:u w:val="single"/>
                </w:rPr>
                <w:t>Condensed Consolidated Statements of Stockholders’ Equity for the three and nine months ended September 30, 2026 and 2025</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cash_flow">
              <w:r>
                <w:rPr>
                  <w:rStyle w:val="InternetLink"/>
                  <w:rFonts w:ascii="Times New Roman" w:hAnsi="Times New Roman"/>
                  <w:color w:val="0000FF"/>
                  <w:sz w:val="20"/>
                  <w:u w:val="single"/>
                </w:rPr>
                <w:t>Condensed Consolidated Statements of Cash Flows for the nine months ended September 30, 2026 and 2025</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notes">
              <w:r>
                <w:rPr>
                  <w:rStyle w:val="InternetLink"/>
                  <w:rFonts w:ascii="Times New Roman" w:hAnsi="Times New Roman"/>
                  <w:color w:val="0000FF"/>
                  <w:sz w:val="20"/>
                  <w:u w:val="single"/>
                </w:rPr>
                <w:t>Notes to Unaudited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2">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18</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new_item_3">
              <w:r>
                <w:rPr>
                  <w:rStyle w:val="InternetLink"/>
                  <w:rFonts w:ascii="Times New Roman" w:hAnsi="Times New Roman"/>
                  <w:color w:val="0000FF"/>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26</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4">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26</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part_2_othe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27</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part2_1a_legal_proceedings">
              <w:r>
                <w:rPr>
                  <w:rStyle w:val="InternetLink"/>
                  <w:rFonts w:ascii="Times New Roman" w:hAnsi="Times New Roman"/>
                  <w:color w:val="0000FF"/>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27</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1a">
              <w:r>
                <w:rPr>
                  <w:rStyle w:val="InternetLink"/>
                  <w:rFonts w:ascii="Times New Roman" w:hAnsi="Times New Roman"/>
                  <w:color w:val="0000FF"/>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2_part2">
              <w:r>
                <w:rPr>
                  <w:rStyle w:val="InternetLink"/>
                  <w:rFonts w:ascii="Times New Roman" w:hAnsi="Times New Roman"/>
                  <w:color w:val="0000FF"/>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73</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part2_item3_4">
              <w:r>
                <w:rPr>
                  <w:rStyle w:val="InternetLink"/>
                  <w:rFonts w:ascii="Times New Roman" w:hAnsi="Times New Roman"/>
                  <w:color w:val="0000FF"/>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73</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4_part2">
              <w:r>
                <w:rPr>
                  <w:rStyle w:val="InternetLink"/>
                  <w:rFonts w:ascii="Times New Roman" w:hAnsi="Times New Roman"/>
                  <w:color w:val="0000FF"/>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73</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5_part2">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73</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exhibits">
              <w:r>
                <w:rPr>
                  <w:rStyle w:val="InternetLink"/>
                  <w:rFonts w:ascii="Times New Roman" w:hAnsi="Times New Roman"/>
                  <w:color w:val="0000FF"/>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74</w:t>
            </w:r>
          </w:p>
        </w:tc>
      </w:tr>
      <w:tr>
        <w:tc>
          <w:tcPr>
            <w:tcW w:w="104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4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signatures">
              <w:r>
                <w:rPr>
                  <w:rStyle w:val="InternetLink"/>
                  <w:rFonts w:ascii="Times New Roman" w:hAnsi="Times New Roman"/>
                  <w:color w:val="0000FF"/>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75</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pPr>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within the meaning of Section 21E of the Securities Exchange Act of 1934, as amended (the “Exchange Act”). All statements other than statements of historical facts contained in this Quarterly Report are statements that could be deemed forward-looking statements reflecting the current beliefs and expectations of management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These statements are often identified by the use of words such as “aim,” “anticipate,” “assume,” “believe,” “contemplate,” “continue,” “could,” “due,” “estimate,” “expect,” “goal,” “if,” “intend,” “may,” “objective,” “plan,” “predict,” “potential,” “positioned,” “seek,” “should,” “target,” “until,” “will,” “would,” and similar expressions or variations. Forward-looking statements in this Quarterly Report may include, for example, statements about:</w:t>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strategies, prospects, plans, expectations or objectives of management for our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progress, scope or timing of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surrounding the potential safety, efficacy, and regulatory and clinical progress of TX45, TX2100 and any other product candidates, and our anticipated milestones and timing therefor;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benefits that may be derived from any of our future products, if approved, or the commercial or market opportunity with respect to any of our future products,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operations, financial position, ability to raise capital to fund our operations, revenues, costs or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statements regarding our future economic conditions or performance, statements of belief and any statement of assumptions underlying any of the foregoing.</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caution you that the foregoing list may not contain all of the forward-looking statements made in this Quarterly Report. These forward-looking statements are based on our management’s current expectations, estimates, forecasts and projections about our business and the industry in which we operate, and management’s beliefs and assumptions and are not guarantees of future performance or development. These forward-looking statements are subject to a number of risks, uncertainties and assumptions, including those described under the section titled “Risk Factors” under Part II, Item 1A below, and under similar captions in our periodic reports filed with the Securities and Exchange Commission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 Given these uncertainties, you should not place undue reliance on these forward-looking statements. Also, forward-looking statements represent our management’s beliefs and assumptions only as of the date of this Quarterly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Quarterly Report. While we believe that information provides a reasonable basis for these statements, that information may be limited or incomplete. Our statements should not be read to indicate that we have conducted an exhaustive inquiry into, or review of, all relevant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jc w:val="left"/>
        <w:rPr>
          <w:rFonts w:ascii="Times New Roman" w:hAnsi="Times New Roman"/>
          <w:sz w:val="20"/>
        </w:rPr>
      </w:pPr>
      <w:bookmarkStart w:id="2" w:name="financial_statements"/>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 w:name="balance_sheet"/>
      <w:bookmarkEnd w:id="3"/>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Condensed Consolidated Balance Sheets (unaudited)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pPr>
      <w:r>
        <w:t> </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6993"/>
        <w:gridCol w:w="146"/>
        <w:gridCol w:w="215"/>
        <w:gridCol w:w="861"/>
        <w:gridCol w:w="166"/>
        <w:gridCol w:w="146"/>
        <w:gridCol w:w="213"/>
        <w:gridCol w:w="851"/>
        <w:gridCol w:w="614"/>
      </w:tblGrid>
      <w:tr>
        <w:tc>
          <w:tcPr>
            <w:tcW w:w="6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6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pPr>
            <w:r>
              <w:t> </w:t>
            </w:r>
          </w:p>
        </w:tc>
      </w:tr>
      <w:t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253,798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257,359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261,038</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150,000,000 shares authorized as of September 30, 2026 and December 31, 2025; 19,935,375 and 18,738,249 shares issued and outstanding as of September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474,160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(222,737</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69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251,329</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9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261,038</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spacing w:before="120" w:after="283"/>
        <w:jc w:val="center"/>
        <w:rPr>
          <w:rFonts w:ascii="Times New Roman" w:hAnsi="Times New Roman"/>
          <w:sz w:val="20"/>
        </w:rPr>
      </w:pPr>
      <w:bookmarkStart w:id="4" w:name="statement_of_operations"/>
      <w:bookmarkEnd w:id="4"/>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Condensed Consolidated Statements of Operations and Comprehensive Loss (unaudited)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pPr>
      <w:r>
        <w:t> </w:t>
      </w:r>
    </w:p>
    <w:p>
      <w:pPr>
        <w:pStyle w:val="TextBody"/>
        <w:bidi w:val="0"/>
        <w:jc w:val="center"/>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352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2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19,704,164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18,712,767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19,146,768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18,189,185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5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pPr>
      <w:r>
        <w:t> </w:t>
      </w:r>
    </w:p>
    <w:p>
      <w:pPr>
        <w:pStyle w:val="TextBody"/>
        <w:bidi w:val="0"/>
        <w:spacing w:before="120" w:after="283"/>
        <w:jc w:val="center"/>
        <w:rPr>
          <w:rFonts w:ascii="Times New Roman" w:hAnsi="Times New Roman"/>
          <w:sz w:val="20"/>
        </w:rPr>
      </w:pPr>
      <w:bookmarkStart w:id="5" w:name="equity"/>
      <w:bookmarkEnd w:id="5"/>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19"/>
        </w:rPr>
      </w:pPr>
      <w:r>
        <w:rPr>
          <w:rFonts w:ascii="Times New Roman" w:hAnsi="Times New Roman"/>
          <w:b/>
          <w:color w:val="000000"/>
          <w:sz w:val="20"/>
        </w:rPr>
        <w:t xml:space="preserve">Condensed Consolidated Statements of Stockholders’ Equity </w:t>
      </w:r>
      <w:r>
        <w:rPr>
          <w:rFonts w:ascii="Times New Roman" w:hAnsi="Times New Roman"/>
          <w:b/>
          <w:color w:val="000000"/>
          <w:sz w:val="19"/>
        </w:rPr>
        <w:t>(</w:t>
      </w:r>
      <w:r>
        <w:rPr>
          <w:rFonts w:ascii="Times New Roman" w:hAnsi="Times New Roman"/>
          <w:b/>
          <w:color w:val="000000"/>
          <w:sz w:val="20"/>
        </w:rPr>
        <w:t>unaudited</w:t>
      </w:r>
      <w:r>
        <w:rPr>
          <w:rFonts w:ascii="Times New Roman" w:hAnsi="Times New Roman"/>
          <w:b/>
          <w:color w:val="000000"/>
          <w:sz w:val="19"/>
        </w:rPr>
        <w:t>)</w:t>
      </w:r>
      <w:r>
        <w:rPr>
          <w:rFonts w:ascii="Times New Roman" w:hAnsi="Times New Roman"/>
          <w:color w:val="000000"/>
          <w:sz w:val="19"/>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pPr>
      <w:r>
        <w:t> </w:t>
      </w:r>
    </w:p>
    <w:p>
      <w:pPr>
        <w:pStyle w:val="TextBody"/>
        <w:bidi w:val="0"/>
        <w:jc w:val="center"/>
      </w:pPr>
      <w:r>
        <w:t> </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2909"/>
        <w:gridCol w:w="146"/>
        <w:gridCol w:w="146"/>
        <w:gridCol w:w="916"/>
        <w:gridCol w:w="146"/>
        <w:gridCol w:w="146"/>
        <w:gridCol w:w="206"/>
        <w:gridCol w:w="365"/>
        <w:gridCol w:w="146"/>
        <w:gridCol w:w="146"/>
        <w:gridCol w:w="196"/>
        <w:gridCol w:w="691"/>
        <w:gridCol w:w="166"/>
        <w:gridCol w:w="146"/>
        <w:gridCol w:w="369"/>
        <w:gridCol w:w="652"/>
        <w:gridCol w:w="166"/>
        <w:gridCol w:w="146"/>
        <w:gridCol w:w="196"/>
        <w:gridCol w:w="751"/>
        <w:gridCol w:w="166"/>
        <w:gridCol w:w="146"/>
        <w:gridCol w:w="205"/>
        <w:gridCol w:w="726"/>
        <w:gridCol w:w="211"/>
      </w:tblGrid>
      <w:tr>
        <w:tc>
          <w:tcPr>
            <w:tcW w:w="2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18,738,249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 net of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at-the-market offering,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of foreign currency translation loss to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18,830,436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230,417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 net of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at-the-market offering,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19,235,221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223,846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 net of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at-the-market offering,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19,935,375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520,933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(291,610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229,325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spacing w:before="120" w:after="283"/>
        <w:jc w:val="center"/>
      </w:pPr>
      <w:r>
        <w:t> </w:t>
      </w:r>
    </w:p>
    <w:p>
      <w:pPr>
        <w:pStyle w:val="TextBody"/>
        <w:bidi w:val="0"/>
        <w:spacing w:before="120" w:after="283"/>
        <w:jc w:val="center"/>
      </w:pPr>
      <w:r>
        <w:t> </w:t>
      </w:r>
    </w:p>
    <w:p>
      <w:pPr>
        <w:pStyle w:val="TextBody"/>
        <w:bidi w:val="0"/>
        <w:spacing w:before="120" w:after="283"/>
        <w:jc w:val="center"/>
      </w:pPr>
      <w:r>
        <w:t> </w:t>
      </w:r>
    </w:p>
    <w:p>
      <w:pPr>
        <w:pStyle w:val="TextBody"/>
        <w:bidi w:val="0"/>
        <w:spacing w:before="120" w:after="283"/>
        <w:jc w:val="center"/>
      </w:pPr>
      <w:r>
        <w:t> </w:t>
      </w:r>
    </w:p>
    <w:p>
      <w:pPr>
        <w:pStyle w:val="TextBody"/>
        <w:bidi w:val="0"/>
        <w:spacing w:before="120" w:after="283"/>
        <w:jc w:val="center"/>
      </w:pPr>
      <w:r>
        <w:t> </w:t>
      </w:r>
    </w:p>
    <w:p>
      <w:pPr>
        <w:pStyle w:val="TextBody"/>
        <w:bidi w:val="0"/>
        <w:spacing w:before="120" w:after="283"/>
        <w:jc w:val="center"/>
      </w:pPr>
      <w:r>
        <w:t> </w:t>
      </w:r>
    </w:p>
    <w:p>
      <w:pPr>
        <w:pStyle w:val="TextBody"/>
        <w:bidi w:val="0"/>
        <w:spacing w:before="120" w:after="283"/>
        <w:jc w:val="center"/>
      </w:pPr>
      <w:r>
        <w:t> </w:t>
      </w:r>
    </w:p>
    <w:p>
      <w:pPr>
        <w:pStyle w:val="TextBody"/>
        <w:bidi w:val="0"/>
        <w:spacing w:before="120" w:after="283"/>
        <w:jc w:val="center"/>
      </w:pPr>
      <w:r>
        <w:t> </w:t>
      </w:r>
    </w:p>
    <w:p>
      <w:pPr>
        <w:pStyle w:val="TextBody"/>
        <w:bidi w:val="0"/>
        <w:spacing w:before="120" w:after="283"/>
        <w:jc w:val="center"/>
      </w:pPr>
      <w:r>
        <w:t> </w:t>
      </w:r>
    </w:p>
    <w:p>
      <w:pPr>
        <w:pStyle w:val="TextBody"/>
        <w:bidi w:val="0"/>
        <w:spacing w:before="120" w:after="283"/>
        <w:jc w:val="center"/>
      </w:pPr>
      <w:r>
        <w:t> </w:t>
      </w:r>
    </w:p>
    <w:p>
      <w:pPr>
        <w:pStyle w:val="TextBody"/>
        <w:bidi w:val="0"/>
        <w:spacing w:before="120" w:after="283"/>
        <w:jc w:val="center"/>
      </w:pPr>
      <w:r>
        <w:t> </w:t>
      </w:r>
    </w:p>
    <w:p>
      <w:pPr>
        <w:pStyle w:val="TextBody"/>
        <w:bidi w:val="0"/>
        <w:spacing w:before="120" w:after="283"/>
        <w:jc w:val="center"/>
      </w:pPr>
      <w: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spacing w:before="120" w:after="283"/>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19"/>
        </w:rPr>
      </w:pPr>
      <w:r>
        <w:rPr>
          <w:rFonts w:ascii="Times New Roman" w:hAnsi="Times New Roman"/>
          <w:b/>
          <w:color w:val="000000"/>
          <w:sz w:val="20"/>
        </w:rPr>
        <w:t xml:space="preserve">Condensed Consolidated Statements of Stockholders’ Equity </w:t>
      </w:r>
      <w:r>
        <w:rPr>
          <w:rFonts w:ascii="Times New Roman" w:hAnsi="Times New Roman"/>
          <w:b/>
          <w:color w:val="000000"/>
          <w:sz w:val="19"/>
        </w:rPr>
        <w:t>(</w:t>
      </w:r>
      <w:r>
        <w:rPr>
          <w:rFonts w:ascii="Times New Roman" w:hAnsi="Times New Roman"/>
          <w:b/>
          <w:color w:val="000000"/>
          <w:sz w:val="20"/>
        </w:rPr>
        <w:t>unaudited</w:t>
      </w:r>
      <w:r>
        <w:rPr>
          <w:rFonts w:ascii="Times New Roman" w:hAnsi="Times New Roman"/>
          <w:b/>
          <w:color w:val="000000"/>
          <w:sz w:val="19"/>
        </w:rPr>
        <w:t>)</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909"/>
        <w:gridCol w:w="146"/>
        <w:gridCol w:w="146"/>
        <w:gridCol w:w="916"/>
        <w:gridCol w:w="146"/>
        <w:gridCol w:w="146"/>
        <w:gridCol w:w="206"/>
        <w:gridCol w:w="365"/>
        <w:gridCol w:w="146"/>
        <w:gridCol w:w="146"/>
        <w:gridCol w:w="196"/>
        <w:gridCol w:w="691"/>
        <w:gridCol w:w="166"/>
        <w:gridCol w:w="146"/>
        <w:gridCol w:w="369"/>
        <w:gridCol w:w="652"/>
        <w:gridCol w:w="166"/>
        <w:gridCol w:w="146"/>
        <w:gridCol w:w="196"/>
        <w:gridCol w:w="751"/>
        <w:gridCol w:w="166"/>
        <w:gridCol w:w="146"/>
        <w:gridCol w:w="205"/>
        <w:gridCol w:w="726"/>
        <w:gridCol w:w="211"/>
      </w:tblGrid>
      <w:tr>
        <w:tc>
          <w:tcPr>
            <w:tcW w:w="2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14,856,309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private placement,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3,689,465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18,671,229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301,036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 net of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18,712,138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283,766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18,713,223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spacing w:before="120" w:after="283"/>
        <w:jc w:val="center"/>
      </w:pPr>
      <w:r>
        <w:t> </w:t>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spacing w:before="120" w:after="283"/>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6" w:name="cash_flow"/>
      <w:bookmarkEnd w:id="6"/>
      <w:r>
        <w:rPr>
          <w:rFonts w:ascii="Times New Roman" w:hAnsi="Times New Roman"/>
          <w:b/>
          <w:color w:val="000000"/>
          <w:sz w:val="20"/>
        </w:rPr>
        <w:t>Condensed Consolidated Statements of Cash Flows</w:t>
      </w:r>
      <w:r>
        <w:rPr>
          <w:rFonts w:ascii="Times New Roman" w:hAnsi="Times New Roman"/>
          <w:color w:val="000000"/>
          <w:sz w:val="20"/>
        </w:rPr>
        <w:t xml:space="preserve"> </w:t>
      </w: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457"/>
        <w:gridCol w:w="346"/>
        <w:gridCol w:w="237"/>
        <w:gridCol w:w="881"/>
        <w:gridCol w:w="186"/>
        <w:gridCol w:w="164"/>
        <w:gridCol w:w="237"/>
        <w:gridCol w:w="881"/>
        <w:gridCol w:w="816"/>
      </w:tblGrid>
      <w:tr>
        <w:tc>
          <w:tcPr>
            <w:tcW w:w="64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11,452</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Reduction in the carrying amount of the operating right-of-use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(54,771</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(45,617</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sale of property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at-the-market offering, net of offering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private placement, net of offering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173,098</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employee taxes related to net share settlement of equity awards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finance lease obligations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offering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173,496</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127,681</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as of beginning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254,870</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141,826</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as of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235,151</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269,507</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cash, cash equivalents and 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234,666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268,435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235,151</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269,507</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included in accrued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included in 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spacing w:before="120" w:after="283"/>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7" w:name="notes"/>
      <w:bookmarkEnd w:id="7"/>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1. NATURE OF BUSINESS</w:t>
      </w:r>
    </w:p>
    <w:p>
      <w:pPr>
        <w:pStyle w:val="TextBody"/>
        <w:bidi w:val="0"/>
        <w:spacing w:before="0" w:after="120"/>
        <w:jc w:val="left"/>
        <w:rPr>
          <w:rFonts w:ascii="Times New Roman" w:hAnsi="Times New Roman"/>
          <w:sz w:val="20"/>
        </w:rPr>
      </w:pPr>
      <w:r>
        <w:rPr>
          <w:rFonts w:ascii="Times New Roman" w:hAnsi="Times New Roman"/>
          <w:b/>
          <w:i/>
          <w:color w:val="000000"/>
          <w:sz w:val="20"/>
        </w:rPr>
        <w:t>Description of the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Tectonic Therapeutic, Inc. (the “Company” or “Tectonic”) is a clinical-stage biotechnology company focused on the discovery and development of therapeutic proteins and antibodies that modulate the activity of G-protein coupled receptors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w:t>
      </w:r>
    </w:p>
    <w:p>
      <w:pPr>
        <w:pStyle w:val="TextBody"/>
        <w:bidi w:val="0"/>
        <w:spacing w:before="120" w:after="120"/>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Company’s proprietary GEODe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0" w:after="120"/>
        <w:jc w:val="both"/>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Since inception, the Company has incurred recurring losses and negative cash flows from operations, and expects such losses to continue in the future as it conducts research and development activities and continues to develop its product candidates. The Company generated net losses of $21.3 million and $68.9 million for the three and nine months ended September 30, 2026, respectively, and had an accumulated deficit of $291.6 million as of September 30, 2026. The Company has financed its operations primarily through the sale and issuance of common stock, convertible equity instruments, and proceeds from prior corporate transactions. The Company has devoted substantially all of its financial resources and efforts to business planning, conducting research and development, recruiting management and technical staff, and raising capital. The Company also has an effective shelf registration statement on Form S-3 filed with the SEC, which may be used to offer from time to time any combination of common stock, preferred stock, debt securities, and warrants up to an aggregate amount of $400 million. Of this amount, the Company has an at-the-market offering program (the “ATM”) pursuant to which it may sell up to $100 million of common stock. During the three months ended September 30, 2026, the Company sold 660,492 shares of its common stock under the ATM at an average price per share of $34.45 for gross proceeds of $22.7 million and net proceeds of $22.3 million after deducting commissions and offering expenses of $0.4 million. During the nine months ended September 30, 2026, the Company sold 1,092,798 shares of its common stock under the ATM at an average price per share of $33.05 for gross proceeds of $36.1 million and net proceeds of $35.4 million after deducting commissions and offering expenses of $0.7 million.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until it does, it will continue to need to raise additional capital to fund its operations. The Company had cash and cash equivalents of $234.7 million as of September 30, 2026. In accordance with Accounting Standards Update (“ASU”) 2014-15, </w:t>
      </w:r>
      <w:r>
        <w:rPr>
          <w:rFonts w:ascii="Times New Roman" w:hAnsi="Times New Roman"/>
          <w:i/>
          <w:color w:val="000000"/>
          <w:sz w:val="20"/>
        </w:rPr>
        <w:t>Disclosure of Uncertainties about an Entity’s Ability to Continue as a Going Concern</w:t>
      </w:r>
      <w:r>
        <w:rPr>
          <w:rFonts w:ascii="Times New Roman" w:hAnsi="Times New Roman"/>
          <w:color w:val="000000"/>
          <w:sz w:val="20"/>
        </w:rPr>
        <w:t xml:space="preserve"> (Subtopic 205-40), the Company has evaluated whether there are conditions and events, considered in the aggregate, that raise substantial doubt about the Company’s ability to continue as a going concern within one year after the date that these condensed consolidated financial statements are issued. The Company believes that its existing cash and cash equivalents will be sufficient to allow the Company to fund operations beyond twelve months from the date of issuance of these condensed consolidated financial statements.</w:t>
      </w:r>
    </w:p>
    <w:p>
      <w:pPr>
        <w:pStyle w:val="TextBody"/>
        <w:bidi w:val="0"/>
        <w:spacing w:before="0" w:after="120"/>
        <w:jc w:val="both"/>
        <w:rPr>
          <w:rFonts w:ascii="Times New Roman" w:hAnsi="Times New Roman"/>
          <w:sz w:val="20"/>
        </w:rPr>
      </w:pPr>
      <w:r>
        <w:rPr>
          <w:rFonts w:ascii="Times New Roman" w:hAnsi="Times New Roman"/>
          <w:b/>
          <w:caps/>
          <w:color w:val="000000"/>
          <w:sz w:val="20"/>
        </w:rPr>
        <w:t>2. SUMMARY OF SIGNIFICANT ACCOUNTING POLICIES</w:t>
      </w:r>
      <w:r>
        <w:rPr>
          <w:rFonts w:ascii="Times New Roman" w:hAnsi="Times New Roman"/>
          <w:color w:val="000000"/>
          <w:sz w:val="20"/>
        </w:rPr>
        <w:t xml:space="preserve"> </w:t>
      </w:r>
      <w:r>
        <w:rPr>
          <w:rFonts w:ascii="Times New Roman" w:hAnsi="Times New Roman"/>
          <w:b/>
          <w:color w:val="000000"/>
          <w:sz w:val="20"/>
        </w:rPr>
        <w:t>AND BASIS OF PRESENTATION</w:t>
      </w:r>
    </w:p>
    <w:p>
      <w:pPr>
        <w:pStyle w:val="TextBody"/>
        <w:bidi w:val="0"/>
        <w:spacing w:before="0" w:after="120"/>
        <w:jc w:val="both"/>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accompanying unaudited interim condensed consolidated financial statements have been prepared in conformity with U.S. generally accepted accounting principles (“GAAP”). Any reference in these notes to applicable guidance refers to GAAP as codified in the Accounting Standards Codification (“ASC”) and as amended by ASUs issued by the Financial Accounting Standards Board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(“FASB”). These condensed consolidated financial statements are unaudited and, in the opinion of management, include all adjustments (consisting only of normal recurring adjustments and accruals) necessary for a fair statement of the results for the periods presented in accordance with GAAP. The year-end condensed consolidated balance sheet data was derived from our audited consolidated financial statements but does not include all disclosures required by GAAP. Operating results for the three and nine months ended September 30, 2026 are not necessarily indicative of the results that may be expected for the fiscal year ending December 31, 2026. Certain information and footnote disclosures normally included in the annual consolidated financial statements prepared in accordance with GAAP have been omitted in accordance with the SEC’s rules and regulations for interim reporting.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accompanying unaudited condensed consolidated financial statements and related notes should be read in conjunction with our audited consolidated financial statements for the year ended December 31, 2025, which is included in our Annual Report on Form 10-K for the fiscal year ended December 31, 2025 (the “2025 Annual Report on Form 10-K”).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significant accounting policies are disclosed in Note 2 of the consolidated financial statements for the year ended December 31, 2025, which is included in our 2025 Annual Report on Form 10-K. There have been no material changes to our significant accounting policies during the three and nine months ended September 30, 2026.</w:t>
      </w:r>
    </w:p>
    <w:p>
      <w:pPr>
        <w:pStyle w:val="TextBody"/>
        <w:bidi w:val="0"/>
        <w:spacing w:before="0" w:after="120"/>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consolidates the financial statements of its wholly owned subsidiaries. All intercompany balances and transactions have been eliminated in consolidation.</w:t>
      </w:r>
    </w:p>
    <w:p>
      <w:pPr>
        <w:pStyle w:val="TextBody"/>
        <w:bidi w:val="0"/>
        <w:jc w:val="left"/>
        <w:rPr>
          <w:rFonts w:ascii="Times New Roman" w:hAnsi="Times New Roman"/>
          <w:color w:val="000000"/>
          <w:sz w:val="20"/>
        </w:rPr>
      </w:pPr>
      <w:r>
        <w:rPr>
          <w:rFonts w:ascii="Times New Roman" w:hAnsi="Times New Roman"/>
          <w:color w:val="000000"/>
          <w:sz w:val="20"/>
        </w:rPr>
        <w:t>In February 2026, the Company dissolved its wholly owned Australian subsidiary, Tectonic Therapeutic Pty Ltd. This entity was dissolved as part of a broader corporate initiative intended to streamline operations and reduce administrative costs. As a result, the Company reclassified $0.1 million of cumulative foreign currency translation losses from accumulated other comprehensive loss to other expense during the nine months ended September 30, 2026.</w:t>
      </w:r>
    </w:p>
    <w:p>
      <w:pPr>
        <w:pStyle w:val="TextBody"/>
        <w:bidi w:val="0"/>
        <w:spacing w:before="120" w:after="12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preparation of the Company’s condensed consolidated financial statements in conformity with GAAP requires the Company to make estimates and assumptions that affect the reported amounts of assets and liabilities, the disclosure of contingent assets and liabilities at the date of the condensed consolidated financial statements, and the reported amounts of expenses during the reporting periods. These estimates are based on historical experience and other assumptions that the Company believes are reasonable under the circumstances. Revisions to estimates are recorded in the period in which the change becomes known.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Significant estimates include the valuation of stock-based awards, prepaid and accrued research and development activities, and income taxes. Actual results may differ from these estimates, and such differences could be material to the Company’s financial position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Recently Adopted Accounting Standards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and are adopted by the Company as of the specified effective dates. There were no newly adopted accounting pronouncements that had a material impact on the condensed consolidated financial statements during the three and nine months ended September 30, 2026.</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Recently Issued Accounting Standards Not Yet Adopted</w:t>
      </w:r>
    </w:p>
    <w:p>
      <w:pPr>
        <w:pStyle w:val="TextBody"/>
        <w:bidi w:val="0"/>
        <w:jc w:val="left"/>
        <w:rPr>
          <w:rFonts w:ascii="Times New Roman" w:hAnsi="Times New Roman"/>
          <w:sz w:val="20"/>
        </w:rPr>
      </w:pPr>
      <w:r>
        <w:rPr>
          <w:rFonts w:ascii="Times New Roman" w:hAnsi="Times New Roman"/>
          <w:color w:val="000000"/>
          <w:sz w:val="20"/>
        </w:rPr>
        <w:t xml:space="preserve">In January 2025, the FASB issued ASU No. 2025-01 to clarify the effective date of ASU No.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xml:space="preserve"> (Subtopic 220-40) (“ASU 2024-03”), which requires disaggregated disclosure of certain income statement captions within the footnotes to the financial statements. ASU 2025-01 requires adoption of the amendments of ASU 2024-03 in annual reporting periods beginning after December 15, 2026, and interim periods within annual reporting periods beginning after December 15, 2027. Early adoption is permitted. The Company is currently evaluating the impact of this standard on its financial statements and related disclosures. </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In December 2025, the FASB issued ASU No. 2025-11, </w:t>
      </w:r>
      <w:r>
        <w:rPr>
          <w:rFonts w:ascii="Times New Roman" w:hAnsi="Times New Roman"/>
          <w:i/>
          <w:color w:val="000000"/>
          <w:sz w:val="20"/>
        </w:rPr>
        <w:t>Interim Reporting (Topic 270)</w:t>
      </w:r>
      <w:r>
        <w:rPr>
          <w:rFonts w:ascii="Times New Roman" w:hAnsi="Times New Roman"/>
          <w:color w:val="000000"/>
          <w:sz w:val="20"/>
        </w:rPr>
        <w:t xml:space="preserve"> (“ASU 2025-11”) to clarify the applicability of ASC 270 and improve the organization of the guidance. The ASU clarifies when an entity is subject to interim reporting requirements and establishes disclosure principles for material events occurring since the end of the most recent annual reporting period. ASU 2025-11 is effective for interim reporting periods within annual reporting periods beginning after December 15, 2027. Early adoption is permitted. The Company is currently evaluating the impact of this standard on its financial statements and related disclosures.</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In December 2025, the FASB issued ASU No. 2025-12, </w:t>
      </w:r>
      <w:r>
        <w:rPr>
          <w:rFonts w:ascii="Times New Roman" w:hAnsi="Times New Roman"/>
          <w:i/>
          <w:color w:val="000000"/>
          <w:sz w:val="20"/>
        </w:rPr>
        <w:t xml:space="preserve">Improvements to Accounting Standards Codification </w:t>
      </w:r>
      <w:r>
        <w:rPr>
          <w:rFonts w:ascii="Times New Roman" w:hAnsi="Times New Roman"/>
          <w:color w:val="000000"/>
          <w:sz w:val="20"/>
        </w:rPr>
        <w:t>(“ASU 2025-12”), which addresses stakeholder suggestions and makes incremental improvements to GAAP. The amendments clarify guidance, correct errors, and make minor improvements to the Accounting Standards Codification. ASU 2025-12 is effective for fiscal years beginning after December 15, 2026, including interim periods within those fiscal years. The Company is currently evaluating the impact of this standard on its financial statements and related disclosures.</w:t>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jc w:val="left"/>
        <w:rPr>
          <w:rFonts w:ascii="Times New Roman" w:hAnsi="Times New Roman"/>
          <w:sz w:val="20"/>
        </w:rPr>
      </w:pPr>
      <w:r>
        <w:rPr>
          <w:rFonts w:ascii="Times New Roman" w:hAnsi="Times New Roman"/>
          <w:b/>
          <w:caps/>
          <w:color w:val="000000"/>
          <w:sz w:val="20"/>
        </w:rPr>
        <w:t>3. FAIR VALUE MEASUREMENTS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present information about financial assets and liabilities measured at fair value on a recurring basis and indicate the level of the fair value hierarchy utilized to determine such fair values: </w:t>
      </w:r>
    </w:p>
    <w:p>
      <w:pPr>
        <w:pStyle w:val="TextBody"/>
        <w:bidi w:val="0"/>
        <w:jc w:val="left"/>
      </w:pPr>
      <w:r>
        <w:t> </w:t>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234,508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Money market funds are included in cash and cash equivalents on the condensed consolidated balance sheet and are measured at fair value on a recurring basis. These instruments are classified within Level 1 of the fair value hierarchy because they are valued using quoted prices in active markets for identical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were no transfers between Levels 1, 2, or 3 of the fair value hierarchy during the periods presented.</w:t>
      </w:r>
    </w:p>
    <w:p>
      <w:pPr>
        <w:pStyle w:val="TextBody"/>
        <w:bidi w:val="0"/>
        <w:jc w:val="left"/>
        <w:rPr>
          <w:rFonts w:ascii="Times New Roman" w:hAnsi="Times New Roman"/>
          <w:sz w:val="20"/>
        </w:rPr>
      </w:pPr>
      <w:r>
        <w:rPr>
          <w:rFonts w:ascii="Times New Roman" w:hAnsi="Times New Roman"/>
          <w:color w:val="000000"/>
          <w:sz w:val="20"/>
        </w:rPr>
        <w:t>The carrying amounts of prepaid expenses and other current assets, accounts payable, and accrued expenses and other current liabilities approximate fair value due to their short-term nature.</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b/>
          <w:caps/>
          <w:color w:val="000000"/>
          <w:sz w:val="20"/>
        </w:rPr>
        <w:t>4. 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are comprised of the following: </w:t>
      </w:r>
    </w:p>
    <w:p>
      <w:pPr>
        <w:pStyle w:val="TextBody"/>
        <w:bidi w:val="0"/>
        <w:spacing w:before="120" w:after="283"/>
        <w:jc w:val="left"/>
      </w:pPr>
      <w:r>
        <w:t> </w:t>
      </w:r>
    </w:p>
    <w:tbl>
      <w:tblPr>
        <w:tblW w:w="7445" w:type="dxa"/>
        <w:jc w:val="left"/>
        <w:tblInd w:w="0" w:type="dxa"/>
        <w:tblLayout w:type="fixed"/>
        <w:tblCellMar>
          <w:top w:w="28" w:type="dxa"/>
          <w:left w:w="28" w:type="dxa"/>
          <w:bottom w:w="28" w:type="dxa"/>
          <w:right w:w="28" w:type="dxa"/>
        </w:tblCellMar>
      </w:tblPr>
      <w:tblGrid>
        <w:gridCol w:w="4481"/>
        <w:gridCol w:w="146"/>
        <w:gridCol w:w="307"/>
        <w:gridCol w:w="833"/>
        <w:gridCol w:w="146"/>
        <w:gridCol w:w="146"/>
        <w:gridCol w:w="294"/>
        <w:gridCol w:w="801"/>
        <w:gridCol w:w="291"/>
      </w:tblGrid>
      <w:tr>
        <w:tc>
          <w:tcPr>
            <w:tcW w:w="4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44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4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spacing w:before="120" w:after="283"/>
        <w:jc w:val="left"/>
      </w:pPr>
      <w:r>
        <w:t> </w:t>
      </w:r>
    </w:p>
    <w:p>
      <w:pPr>
        <w:pStyle w:val="TextBody"/>
        <w:bidi w:val="0"/>
        <w:spacing w:before="0" w:after="120"/>
        <w:jc w:val="both"/>
        <w:rPr>
          <w:rFonts w:ascii="Times New Roman" w:hAnsi="Times New Roman"/>
          <w:sz w:val="20"/>
        </w:rPr>
      </w:pPr>
      <w:r>
        <w:rPr>
          <w:rFonts w:ascii="Times New Roman" w:hAnsi="Times New Roman"/>
          <w:b/>
          <w:color w:val="000000"/>
          <w:sz w:val="20"/>
        </w:rPr>
        <w:t>5. STOCKHOLDERS’ EQUITY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 authorized to issue 150,000,000 shares of common stock at a par value of $0.0001 per share.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reserved common stock for future issuance as follows:</w:t>
      </w:r>
    </w:p>
    <w:tbl>
      <w:tblPr>
        <w:tblW w:w="9555" w:type="dxa"/>
        <w:jc w:val="left"/>
        <w:tblInd w:w="0" w:type="dxa"/>
        <w:tblLayout w:type="fixed"/>
        <w:tblCellMar>
          <w:top w:w="28" w:type="dxa"/>
          <w:left w:w="28" w:type="dxa"/>
          <w:bottom w:w="28" w:type="dxa"/>
          <w:right w:w="28" w:type="dxa"/>
        </w:tblCellMar>
      </w:tblPr>
      <w:tblGrid>
        <w:gridCol w:w="6691"/>
        <w:gridCol w:w="146"/>
        <w:gridCol w:w="154"/>
        <w:gridCol w:w="986"/>
        <w:gridCol w:w="146"/>
        <w:gridCol w:w="146"/>
        <w:gridCol w:w="148"/>
        <w:gridCol w:w="947"/>
        <w:gridCol w:w="191"/>
      </w:tblGrid>
      <w:t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awards available for future issuance under the 2024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purchase under the 2024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4,454,840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3,434,874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Changes in Capital Structure</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nine months ended September 30, 2026, the Company sold 1,092,798 shares of its common stock under the ATM at an average price per share of $33.05 for gross proceeds of $36.1 million and net proceeds of $35.4 million after deducting commissions and offering expenses of $0.7 million. The Company utilized the ATM for the first time in 2026; accordingly, there are no prior period issuances for comparison. The Company intends to use the net proceeds for general corporate activities, including working capital.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20"/>
        <w:jc w:val="both"/>
        <w:rPr>
          <w:rFonts w:ascii="Times New Roman" w:hAnsi="Times New Roman"/>
          <w:sz w:val="20"/>
        </w:rPr>
      </w:pPr>
      <w:r>
        <w:rPr>
          <w:rFonts w:ascii="Times New Roman" w:hAnsi="Times New Roman"/>
          <w:b/>
          <w:caps/>
          <w:color w:val="000000"/>
          <w:sz w:val="20"/>
        </w:rPr>
        <w:t>6. EQUITY INCENTIVE PLANS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2019 Equity Incentive Plan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Tectonic 2019 Equity Incentive Plan (the “2019 Plan”) provides employees, consultants and advisors and non-employee members of the Board of Directors with the opportunity to receive grants of stock options, stock awards and equity awards. Following the effectiveness of the 2024 Equity Incentive Plan as described below, no further grants will be made under the 2019 Plan; however, outstanding equity awards granted under the 2019 Plan continue to be governed by the terms of the 2019 Plan. </w:t>
      </w:r>
    </w:p>
    <w:p>
      <w:pPr>
        <w:pStyle w:val="TextBody"/>
        <w:bidi w:val="0"/>
        <w:spacing w:before="120" w:after="120"/>
        <w:jc w:val="left"/>
        <w:rPr>
          <w:rFonts w:ascii="Times New Roman" w:hAnsi="Times New Roman"/>
          <w:sz w:val="20"/>
        </w:rPr>
      </w:pPr>
      <w:r>
        <w:rPr>
          <w:rFonts w:ascii="Times New Roman" w:hAnsi="Times New Roman"/>
          <w:b/>
          <w:i/>
          <w:color w:val="000000"/>
          <w:sz w:val="20"/>
        </w:rPr>
        <w:t>2024 Equity Incentive Plan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June 20, 2024, the Company adopted the 2024 Equity Incentive Plan (the “2024 Plan”). The 2024 Plan provides for the grant of incentive stock options, nonstatutory stock options, stock appreciation rights, restricted stock awards, restricted stock unit awards, performance awards and other forms of awards to employees, consultants, and non-employee directors of the Company. The number of shares of common stock available for issuance under the 2024 Plan will automatically increase on January 1st of each year through January 1, 2034, in an amount equal to the lesser of (a) 5% of the total number of shares of common stock issued and outstanding determined as of the day prior to such increase, or (b) an amount determined by the Board of Directors. On January 1, 2026, the number of shares of common stock available for issuance under the 2024 Plan automatically increased by 936,912 shares.</w:t>
      </w:r>
    </w:p>
    <w:p>
      <w:pPr>
        <w:pStyle w:val="TextBody"/>
        <w:bidi w:val="0"/>
        <w:spacing w:before="0" w:after="120"/>
        <w:jc w:val="left"/>
        <w:rPr>
          <w:rFonts w:ascii="Times New Roman" w:hAnsi="Times New Roman"/>
          <w:sz w:val="20"/>
        </w:rPr>
      </w:pPr>
      <w:r>
        <w:rPr>
          <w:rFonts w:ascii="Times New Roman" w:hAnsi="Times New Roman"/>
          <w:b/>
          <w:i/>
          <w:color w:val="000000"/>
          <w:sz w:val="20"/>
        </w:rPr>
        <w:t>2024 Employee Stock Purchase Plan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June 20, 2024, the Company adopted the 2024 Employee Stock Purchase Plan (the “ESPP”). The number of shares of our common stock available for issuance under the ESPP will automatically increase on January 1st of each year through 2034, in an amount equal to the lesser of (a) 1% of the total number of shares of common stock issued and outstanding determined as of the day prior to such increase, (b) a number of shares equal to three times the initial share reserve, or (c) an amount determined by the Board of Directors. On January 1, 2026, the number of shares of common stock available for issuance under the ESPP increased by 187,382 shares. No offering periods under the ESPP have been initiated as of September 30, 2026.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Stock options granted to employees generally vest over a four-year period in multiple tranches and have a contractual term of ten years. Options granted to the Board of Directors generally vest over a one-year period.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stock option activity under the 2019 Plan and 2024 Plan for the nine months ended September 30, 2026:</w:t>
      </w:r>
    </w:p>
    <w:p>
      <w:pPr>
        <w:pStyle w:val="TextBody"/>
        <w:bidi w:val="0"/>
        <w:spacing w:before="0" w:after="120"/>
        <w:jc w:val="left"/>
      </w:pPr>
      <w:r>
        <w:t> </w:t>
      </w:r>
    </w:p>
    <w:tbl>
      <w:tblPr>
        <w:tblW w:w="10205" w:type="dxa"/>
        <w:jc w:val="left"/>
        <w:tblInd w:w="0" w:type="dxa"/>
        <w:tblLayout w:type="fixed"/>
        <w:tblCellMar>
          <w:top w:w="28" w:type="dxa"/>
          <w:left w:w="28" w:type="dxa"/>
          <w:bottom w:w="28" w:type="dxa"/>
          <w:right w:w="28" w:type="dxa"/>
        </w:tblCellMar>
      </w:tblPr>
      <w:tblGrid>
        <w:gridCol w:w="3370"/>
        <w:gridCol w:w="146"/>
        <w:gridCol w:w="354"/>
        <w:gridCol w:w="2262"/>
        <w:gridCol w:w="166"/>
        <w:gridCol w:w="146"/>
        <w:gridCol w:w="230"/>
        <w:gridCol w:w="626"/>
        <w:gridCol w:w="146"/>
        <w:gridCol w:w="146"/>
        <w:gridCol w:w="299"/>
        <w:gridCol w:w="741"/>
        <w:gridCol w:w="146"/>
        <w:gridCol w:w="146"/>
        <w:gridCol w:w="211"/>
        <w:gridCol w:w="676"/>
        <w:gridCol w:w="394"/>
      </w:tblGrid>
      <w:tr>
        <w:tc>
          <w:tcPr>
            <w:tcW w:w="3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c>
          <w:tcPr>
            <w:tcW w:w="33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Options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3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3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 and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r>
      <w:tr>
        <w:tc>
          <w:tcPr>
            <w:tcW w:w="3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15,553</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11,358</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15,553</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1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During the nine months ended September 30, 2026 and 2025, the Company granted options with a weighted-average grant-date fair value of $23.03 and $29.76 per share, respectively. The aggregate intrinsic value of stock options exercised during the nine months ended September 30, 2026 and 2025 was $1.1 million and $5.0 million, respectively.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Fair Value of Stock Options Granted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utilizes the Black-Scholes-Merton (“BSM”) option-pricing model to determine the fair value of stock options granted.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summarizes the assumptions used for estimating the fair value of stock options granted under the BSM option-pricing model:</w:t>
      </w:r>
    </w:p>
    <w:tbl>
      <w:tblPr>
        <w:tblW w:w="5395" w:type="dxa"/>
        <w:jc w:val="left"/>
        <w:tblInd w:w="0" w:type="dxa"/>
        <w:tblLayout w:type="fixed"/>
        <w:tblCellMar>
          <w:top w:w="28" w:type="dxa"/>
          <w:left w:w="28" w:type="dxa"/>
          <w:bottom w:w="28" w:type="dxa"/>
          <w:right w:w="28" w:type="dxa"/>
        </w:tblCellMar>
      </w:tblPr>
      <w:tblGrid>
        <w:gridCol w:w="2131"/>
        <w:gridCol w:w="146"/>
        <w:gridCol w:w="1411"/>
        <w:gridCol w:w="146"/>
        <w:gridCol w:w="1561"/>
      </w:tblGrid>
      <w:t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5.50 - 6.25</w:t>
            </w:r>
          </w:p>
        </w:tc>
      </w:tr>
      <w:t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 - 102.9%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 - 103.7%</w:t>
            </w:r>
          </w:p>
        </w:tc>
      </w:tr>
      <w:t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 - 4.61%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 - 4.43%</w:t>
            </w:r>
          </w:p>
        </w:tc>
      </w:tr>
      <w:t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r>
    </w:tbl>
    <w:p>
      <w:pPr>
        <w:pStyle w:val="TextBody"/>
        <w:bidi w:val="0"/>
        <w:jc w:val="left"/>
      </w:pPr>
      <w: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Restricted Stock Units</w:t>
      </w:r>
    </w:p>
    <w:p>
      <w:pPr>
        <w:pStyle w:val="TextBody"/>
        <w:bidi w:val="0"/>
        <w:jc w:val="left"/>
        <w:rPr>
          <w:rFonts w:ascii="Times New Roman" w:hAnsi="Times New Roman"/>
          <w:color w:val="000000"/>
          <w:sz w:val="20"/>
        </w:rPr>
      </w:pPr>
      <w:r>
        <w:rPr>
          <w:rFonts w:ascii="Times New Roman" w:hAnsi="Times New Roman"/>
          <w:color w:val="000000"/>
          <w:sz w:val="20"/>
        </w:rPr>
        <w:t>Restricted stock units (“RSUs”), which are granted to employees, generally vest over a three-year period. The value of an RSU award is based on the quoted market price of the Company’s common stock on the grant date. The shares underlying the RSUs are not issued until the RSUs vest. The following table summarizes the RSU activity for the nine months ended September 30, 2026:</w:t>
      </w:r>
    </w:p>
    <w:p>
      <w:pPr>
        <w:pStyle w:val="TextBody"/>
        <w:bidi w:val="0"/>
        <w:jc w:val="left"/>
      </w:pPr>
      <w:r>
        <w:t> </w:t>
      </w:r>
    </w:p>
    <w:tbl>
      <w:tblPr>
        <w:tblW w:w="10105" w:type="dxa"/>
        <w:jc w:val="left"/>
        <w:tblInd w:w="0" w:type="dxa"/>
        <w:tblLayout w:type="fixed"/>
        <w:tblCellMar>
          <w:top w:w="28" w:type="dxa"/>
          <w:left w:w="28" w:type="dxa"/>
          <w:bottom w:w="28" w:type="dxa"/>
          <w:right w:w="28" w:type="dxa"/>
        </w:tblCellMar>
      </w:tblPr>
      <w:tblGrid>
        <w:gridCol w:w="3211"/>
        <w:gridCol w:w="146"/>
        <w:gridCol w:w="570"/>
        <w:gridCol w:w="3060"/>
        <w:gridCol w:w="166"/>
        <w:gridCol w:w="146"/>
        <w:gridCol w:w="649"/>
        <w:gridCol w:w="1766"/>
        <w:gridCol w:w="391"/>
      </w:tblGrid>
      <w:t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RSUs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Unit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3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During the nine months ended September 30, 2026 and 2025, the Company granted RSUs with a weighted-average grant date fair value of $27.77 and $36.96 per unit, respectively. The total fair value of RSUs vested during the nine months ended September 30, 2026 and 2025 was $2.0 million and $0.1 million, respectively.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When RSUs vest the Company withholds shares with a fair value equal to the minimum statutory tax withholding requirements. During the nine months ended September 30, 2026 and 2025, 26,540 and 859 shares, respectively, were withheld for tax purposes. Shares withheld are accounted for as a reduction of additional paid-in capital within stockholders’ equity.</w:t>
      </w:r>
    </w:p>
    <w:p>
      <w:pPr>
        <w:pStyle w:val="TextBody"/>
        <w:bidi w:val="0"/>
        <w:spacing w:before="0" w:after="120"/>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by type of award, the unrecognized compensation expense and the weighted-average remaining period over which it is expected to be recognized at September 30, 2026: </w:t>
      </w:r>
    </w:p>
    <w:tbl>
      <w:tblPr>
        <w:tblW w:w="7935" w:type="dxa"/>
        <w:jc w:val="left"/>
        <w:tblInd w:w="0" w:type="dxa"/>
        <w:tblLayout w:type="fixed"/>
        <w:tblCellMar>
          <w:top w:w="28" w:type="dxa"/>
          <w:left w:w="28" w:type="dxa"/>
          <w:bottom w:w="28" w:type="dxa"/>
          <w:right w:w="28" w:type="dxa"/>
        </w:tblCellMar>
      </w:tblPr>
      <w:tblGrid>
        <w:gridCol w:w="1306"/>
        <w:gridCol w:w="146"/>
        <w:gridCol w:w="399"/>
        <w:gridCol w:w="1281"/>
        <w:gridCol w:w="146"/>
        <w:gridCol w:w="146"/>
        <w:gridCol w:w="1242"/>
        <w:gridCol w:w="3078"/>
        <w:gridCol w:w="191"/>
      </w:tblGrid>
      <w:t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3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Expense</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Remaining Recognition Period (Years)</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r>
      <w:t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sz w:val="20"/>
        </w:rPr>
      </w:pPr>
      <w:r>
        <w:rPr>
          <w:rFonts w:ascii="Times New Roman" w:hAnsi="Times New Roman"/>
          <w:b/>
          <w:caps/>
          <w:color w:val="000000"/>
          <w:sz w:val="20"/>
        </w:rPr>
        <w:t>7. Net loss per share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3517"/>
        <w:gridCol w:w="146"/>
        <w:gridCol w:w="221"/>
        <w:gridCol w:w="1088"/>
        <w:gridCol w:w="174"/>
        <w:gridCol w:w="153"/>
        <w:gridCol w:w="221"/>
        <w:gridCol w:w="1088"/>
        <w:gridCol w:w="166"/>
        <w:gridCol w:w="146"/>
        <w:gridCol w:w="217"/>
        <w:gridCol w:w="1068"/>
        <w:gridCol w:w="170"/>
        <w:gridCol w:w="150"/>
        <w:gridCol w:w="217"/>
        <w:gridCol w:w="1068"/>
        <w:gridCol w:w="395"/>
      </w:tblGrid>
      <w:tr>
        <w:tc>
          <w:tcPr>
            <w:tcW w:w="3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c>
          <w:tcPr>
            <w:tcW w:w="351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1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0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0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(68,873</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(54,925</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0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0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19,704,164</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18,712,767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19,146,768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18,189,185</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spacing w:before="120" w:after="283"/>
        <w:jc w:val="left"/>
      </w:pPr>
      <w:r>
        <w:t> </w:t>
      </w:r>
    </w:p>
    <w:p>
      <w:pPr>
        <w:pStyle w:val="TextBody"/>
        <w:bidi w:val="0"/>
        <w:spacing w:before="120" w:after="283"/>
        <w:jc w:val="left"/>
      </w:pPr>
      <w:r>
        <w:t> </w:t>
      </w:r>
    </w:p>
    <w:p>
      <w:pPr>
        <w:pStyle w:val="TextBody"/>
        <w:bidi w:val="0"/>
        <w:spacing w:before="120" w:after="283"/>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for the three and nine months ended September 30, 2026 and 2025 because including them would have been antidilutive:</w:t>
      </w:r>
    </w:p>
    <w:p>
      <w:pPr>
        <w:pStyle w:val="TextBody"/>
        <w:bidi w:val="0"/>
        <w:spacing w:before="120" w:after="283"/>
        <w:jc w:val="left"/>
      </w:pPr>
      <w:r>
        <w:t> </w:t>
      </w:r>
    </w:p>
    <w:tbl>
      <w:tblPr>
        <w:tblW w:w="5854"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291"/>
      </w:tblGrid>
      <w:t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29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1,945,103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2,968,405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2,201,428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sz w:val="20"/>
        </w:rPr>
      </w:pPr>
      <w:r>
        <w:rPr>
          <w:rFonts w:ascii="Times New Roman" w:hAnsi="Times New Roman"/>
          <w:b/>
          <w:caps/>
          <w:color w:val="000000"/>
          <w:sz w:val="20"/>
        </w:rPr>
        <w:t>8. Leases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has lease obligations, including amounts due on leases of certain office and laboratory space and laboratory equipment under the terms of non-cancelable operating and finance leases.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Office and Laboratory Facilities Lease</w:t>
      </w:r>
    </w:p>
    <w:p>
      <w:pPr>
        <w:pStyle w:val="TextBody"/>
        <w:bidi w:val="0"/>
        <w:jc w:val="left"/>
        <w:rPr>
          <w:rFonts w:ascii="Times New Roman" w:hAnsi="Times New Roman"/>
          <w:color w:val="000000"/>
          <w:sz w:val="20"/>
        </w:rPr>
      </w:pPr>
      <w:r>
        <w:rPr>
          <w:rFonts w:ascii="Times New Roman" w:hAnsi="Times New Roman"/>
          <w:color w:val="000000"/>
          <w:sz w:val="20"/>
        </w:rPr>
        <w:t>In September 2025, the Company entered into a non-cancelable operating sublease for office and laboratory space in Watertown, Massachusetts. The lease commenced in January 2026, has a term of 3 years with the option to extend for one additional two-year period. The payments under this lease are subject to escalation clauses. The Company provided the landlord a stand-by letter of credit in the amount of $0.5 million, which is classified as restricted cash, long-term on the condensed consolidated balance sheet. The lease contains customary provisions restricting assignment and subleasing, requiring landlord consent, and imposing obligations related to use, insurance, indemnification, and compliance with underlying lease terms.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 measurement of the lease. The Company is not reasonably certain to exercise the renewal option, therefore it is not included in the measurement of the lease. Upon commencement, the Company recognized a right-of-use asset of $3.7 million and a corresponding lease liability of $3.6 million.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also has an operating lease arrangement for laboratory space that provides the right to use designated research premises through December 31, 2026. The Company initially entered into the lease in December 2023 for a one-year term. The lease term was subsequently extended pursuant to amendments executed in the ordinary course of business, including an amendment entered into in December 2025 that extended the term through December 31, 2026.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Laboratory Equipment 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entered into various non-cancelable financing leases for laboratory equipment used in research and development activities.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Lease Balances, Costs, and Future Minimum Payments</w:t>
      </w:r>
    </w:p>
    <w:p>
      <w:pPr>
        <w:pStyle w:val="TextBody"/>
        <w:bidi w:val="0"/>
        <w:jc w:val="left"/>
        <w:rPr>
          <w:rFonts w:ascii="Times New Roman" w:hAnsi="Times New Roman"/>
          <w:color w:val="000000"/>
          <w:sz w:val="20"/>
        </w:rPr>
      </w:pPr>
      <w:r>
        <w:rPr>
          <w:rFonts w:ascii="Times New Roman" w:hAnsi="Times New Roman"/>
          <w:color w:val="000000"/>
          <w:sz w:val="20"/>
        </w:rPr>
        <w:br/>
        <w:t>The following table summarizes the components of lease costs for the three and nine months ended September 30, 2026 and 2025:</w:t>
      </w:r>
    </w:p>
    <w:tbl>
      <w:tblPr>
        <w:tblW w:w="8938" w:type="dxa"/>
        <w:jc w:val="left"/>
        <w:tblInd w:w="0" w:type="dxa"/>
        <w:tblLayout w:type="fixed"/>
        <w:tblCellMar>
          <w:top w:w="28" w:type="dxa"/>
          <w:left w:w="28" w:type="dxa"/>
          <w:bottom w:w="28" w:type="dxa"/>
          <w:right w:w="28" w:type="dxa"/>
        </w:tblCellMar>
      </w:tblPr>
      <w:tblGrid>
        <w:gridCol w:w="3031"/>
        <w:gridCol w:w="146"/>
        <w:gridCol w:w="364"/>
        <w:gridCol w:w="726"/>
        <w:gridCol w:w="252"/>
        <w:gridCol w:w="252"/>
        <w:gridCol w:w="364"/>
        <w:gridCol w:w="726"/>
        <w:gridCol w:w="146"/>
        <w:gridCol w:w="146"/>
        <w:gridCol w:w="295"/>
        <w:gridCol w:w="798"/>
        <w:gridCol w:w="204"/>
        <w:gridCol w:w="204"/>
        <w:gridCol w:w="295"/>
        <w:gridCol w:w="798"/>
        <w:gridCol w:w="191"/>
      </w:tblGrid>
      <w:t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Fixed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0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weighted average lease term and discount rates as of September 30, 2026:</w:t>
      </w:r>
    </w:p>
    <w:tbl>
      <w:tblPr>
        <w:tblW w:w="5355" w:type="dxa"/>
        <w:jc w:val="left"/>
        <w:tblInd w:w="0" w:type="dxa"/>
        <w:tblLayout w:type="fixed"/>
        <w:tblCellMar>
          <w:top w:w="28" w:type="dxa"/>
          <w:left w:w="28" w:type="dxa"/>
          <w:bottom w:w="28" w:type="dxa"/>
          <w:right w:w="28" w:type="dxa"/>
        </w:tblCellMar>
      </w:tblPr>
      <w:tblGrid>
        <w:gridCol w:w="4081"/>
        <w:gridCol w:w="146"/>
        <w:gridCol w:w="146"/>
        <w:gridCol w:w="466"/>
        <w:gridCol w:w="516"/>
      </w:tblGrid>
      <w:t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discount rate for leases was estimated based upon market rates of collateralized loan obligations on comparable terms at the time of lease inception.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commitments due under these lease agreements as of September 30, 2026 are as follows:</w:t>
      </w:r>
    </w:p>
    <w:p>
      <w:pPr>
        <w:pStyle w:val="TextBody"/>
        <w:bidi w:val="0"/>
        <w:jc w:val="left"/>
      </w:pPr>
      <w:r>
        <w:t> </w:t>
      </w:r>
    </w:p>
    <w:tbl>
      <w:tblPr>
        <w:tblW w:w="7550" w:type="dxa"/>
        <w:jc w:val="left"/>
        <w:tblInd w:w="0" w:type="dxa"/>
        <w:tblLayout w:type="fixed"/>
        <w:tblCellMar>
          <w:top w:w="28" w:type="dxa"/>
          <w:left w:w="28" w:type="dxa"/>
          <w:bottom w:w="28" w:type="dxa"/>
          <w:right w:w="28" w:type="dxa"/>
        </w:tblCellMar>
      </w:tblPr>
      <w:tblGrid>
        <w:gridCol w:w="2596"/>
        <w:gridCol w:w="146"/>
        <w:gridCol w:w="397"/>
        <w:gridCol w:w="1193"/>
        <w:gridCol w:w="166"/>
        <w:gridCol w:w="146"/>
        <w:gridCol w:w="425"/>
        <w:gridCol w:w="970"/>
        <w:gridCol w:w="166"/>
        <w:gridCol w:w="146"/>
        <w:gridCol w:w="211"/>
        <w:gridCol w:w="631"/>
        <w:gridCol w:w="166"/>
        <w:gridCol w:w="191"/>
      </w:tblGrid>
      <w:t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rPr>
          <w:rFonts w:ascii="Times New Roman" w:hAnsi="Times New Roman"/>
          <w:b/>
          <w:caps/>
          <w:color w:val="000000"/>
          <w:sz w:val="20"/>
        </w:rPr>
      </w:pPr>
      <w:r>
        <w:rPr>
          <w:rFonts w:ascii="Times New Roman" w:hAnsi="Times New Roman"/>
          <w:b/>
          <w:caps/>
          <w:color w:val="000000"/>
          <w:sz w:val="20"/>
        </w:rPr>
        <w:t>9. License agreements</w:t>
      </w:r>
    </w:p>
    <w:p>
      <w:pPr>
        <w:pStyle w:val="TextBody"/>
        <w:bidi w:val="0"/>
        <w:spacing w:before="120" w:after="120"/>
        <w:jc w:val="left"/>
        <w:rPr>
          <w:rFonts w:ascii="Times New Roman" w:hAnsi="Times New Roman"/>
          <w:sz w:val="20"/>
        </w:rPr>
      </w:pPr>
      <w:r>
        <w:rPr>
          <w:rFonts w:ascii="Times New Roman" w:hAnsi="Times New Roman"/>
          <w:b/>
          <w:i/>
          <w:color w:val="000000"/>
          <w:sz w:val="20"/>
        </w:rPr>
        <w:t>Harvard Agreement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July 2020, Tectonic entered into an agreement with the President and Fellows of Harvard College (“Harvard”), for an option fee in the low five digits, whereby Harvard granted Tectonic an exclusive option to negotiate a worldwide, exclusive, royalty-bearing license under Harvard’s interest in the patent rights covering certain technology that was developed by Harvard. In October 2021,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The Company paid Harvard a one-time license fee and issued shares of common stock as consideration for the License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responsible for payment of (1) annual maintenance fees ranging from the low five digits to the low six digits during the term of the License Agreement (through the first commercial sale of a royalty-bearing product); (2) milestone payments payable upon regulatory approval and the achievement of specified clinical and commercial milestones for licensed products or know-how enabled products; (3)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(4)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 Company incurred expense of $0.1 million related to the License Agreement during each of the three and nine month periods ended September 30, 2026 and 2025. </w:t>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jc w:val="left"/>
        <w:rPr>
          <w:rFonts w:ascii="Times New Roman" w:hAnsi="Times New Roman"/>
          <w:sz w:val="20"/>
        </w:rPr>
      </w:pPr>
      <w:r>
        <w:rPr>
          <w:rFonts w:ascii="Times New Roman" w:hAnsi="Times New Roman"/>
          <w:b/>
          <w:caps/>
          <w:color w:val="000000"/>
          <w:sz w:val="20"/>
        </w:rPr>
        <w:t>10. COMMITMENTS AND CONTINGENCIES</w:t>
      </w:r>
      <w:r>
        <w:rPr>
          <w:rFonts w:ascii="Times New Roman" w:hAnsi="Times New Roman"/>
          <w:color w:val="000000"/>
          <w:sz w:val="20"/>
        </w:rPr>
        <w:t xml:space="preserve">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Commitments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is also party to lease commitments, as described in Note 8, </w:t>
      </w:r>
      <w:r>
        <w:rPr>
          <w:rFonts w:ascii="Times New Roman" w:hAnsi="Times New Roman"/>
          <w:i/>
          <w:color w:val="000000"/>
          <w:sz w:val="20"/>
        </w:rPr>
        <w:t xml:space="preserve">Leases, </w:t>
      </w:r>
      <w:r>
        <w:rPr>
          <w:rFonts w:ascii="Times New Roman" w:hAnsi="Times New Roman"/>
          <w:color w:val="000000"/>
          <w:sz w:val="20"/>
        </w:rPr>
        <w:t xml:space="preserve">and milestone, royalty and maintenance based commitments, as described in Note 9, </w:t>
      </w:r>
      <w:r>
        <w:rPr>
          <w:rFonts w:ascii="Times New Roman" w:hAnsi="Times New Roman"/>
          <w:i/>
          <w:color w:val="000000"/>
          <w:sz w:val="20"/>
        </w:rPr>
        <w:t>License Agreements.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Contingencies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the Company may have certain contingent liabilities that arise in the ordinary course of its business activities. The Company accrues a liability for such matters when it is probable that future expenditures will be incurred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condensed consolidated financial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the normal course of operations, the Company may become involved in various legal proceedings. As of September 30, 2026,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condensed consolidated financial statements. </w:t>
      </w:r>
    </w:p>
    <w:p>
      <w:pPr>
        <w:pStyle w:val="TextBody"/>
        <w:bidi w:val="0"/>
        <w:jc w:val="left"/>
        <w:rPr>
          <w:rFonts w:ascii="Times New Roman" w:hAnsi="Times New Roman"/>
          <w:sz w:val="20"/>
        </w:rPr>
      </w:pPr>
      <w:r>
        <w:rPr>
          <w:rFonts w:ascii="Times New Roman" w:hAnsi="Times New Roman"/>
          <w:b/>
          <w:caps/>
          <w:color w:val="000000"/>
          <w:sz w:val="20"/>
        </w:rPr>
        <w:t>11. RELATED PARTY TRANSACTIONS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Related parties include the Company’s directors, executive officers, principal stockholders, and members of their immediate families; entities controlled by, or under significant influence of, any of these parties; and other parties that can significantly influence the management or operating policies of the Company.</w:t>
      </w:r>
    </w:p>
    <w:p>
      <w:pPr>
        <w:pStyle w:val="TextBody"/>
        <w:bidi w:val="0"/>
        <w:spacing w:before="0" w:after="120"/>
        <w:jc w:val="left"/>
        <w:rPr>
          <w:rFonts w:ascii="Times New Roman" w:hAnsi="Times New Roman"/>
          <w:sz w:val="20"/>
        </w:rPr>
      </w:pPr>
      <w:r>
        <w:rPr>
          <w:rFonts w:ascii="Times New Roman" w:hAnsi="Times New Roman"/>
          <w:b/>
          <w:i/>
          <w:color w:val="000000"/>
          <w:sz w:val="20"/>
        </w:rPr>
        <w:t>Scientific Advisory Board Member</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One of the Company’s co-founders and former director was a member of the Company’s Scientific Advisory Board through May 2026, when the Company terminated its agreement with this related party. The Company incurred expense of $0.1 million for advisory services provided during each of the nine month periods ended September 30, 2026 and 2025. The Company incurred no expense for advisory services provided by this related party during the three months ended September 30, 2026, compared to $0.1 million during the three months ended September 30, 2025.</w:t>
      </w:r>
    </w:p>
    <w:p>
      <w:pPr>
        <w:pStyle w:val="TextBody"/>
        <w:bidi w:val="0"/>
        <w:spacing w:before="0" w:after="120"/>
        <w:jc w:val="left"/>
        <w:rPr>
          <w:rFonts w:ascii="Times New Roman" w:hAnsi="Times New Roman"/>
          <w:sz w:val="20"/>
        </w:rPr>
      </w:pPr>
      <w:r>
        <w:rPr>
          <w:rFonts w:ascii="Times New Roman" w:hAnsi="Times New Roman"/>
          <w:b/>
          <w:i/>
          <w:color w:val="000000"/>
          <w:sz w:val="20"/>
        </w:rPr>
        <w:t>License Agreement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One of the Company’s co-founders, who is a current director and principal stockholder of the Company, is a professor at Harvard Medical School. Intellectual property utilized by the Company is licensed from Harvard under the License Agreement described in Note 9, </w:t>
      </w:r>
      <w:r>
        <w:rPr>
          <w:rFonts w:ascii="Times New Roman" w:hAnsi="Times New Roman"/>
          <w:i/>
          <w:color w:val="000000"/>
          <w:sz w:val="20"/>
        </w:rPr>
        <w:t>License Agreements</w:t>
      </w:r>
      <w:r>
        <w:rPr>
          <w:rFonts w:ascii="Times New Roman" w:hAnsi="Times New Roman"/>
          <w:color w:val="000000"/>
          <w:sz w:val="20"/>
        </w:rPr>
        <w:t xml:space="preserve">. As a result, Harvard is considered a related party. The Company incurred expense of $0.1 million related to the License Agreement during each of the three and nine month periods ended September 30, 2026 and 2025. </w:t>
      </w:r>
    </w:p>
    <w:p>
      <w:pPr>
        <w:pStyle w:val="TextBody"/>
        <w:bidi w:val="0"/>
        <w:jc w:val="left"/>
        <w:rPr>
          <w:rFonts w:ascii="Times New Roman" w:hAnsi="Times New Roman"/>
          <w:b/>
          <w:color w:val="000000"/>
          <w:sz w:val="20"/>
        </w:rPr>
      </w:pPr>
      <w:r>
        <w:rPr>
          <w:rFonts w:ascii="Times New Roman" w:hAnsi="Times New Roman"/>
          <w:b/>
          <w:color w:val="000000"/>
          <w:sz w:val="20"/>
        </w:rPr>
        <w:t>12. SEGMENT INFORMATION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operates in one operating segment, and therefore one reportable segment, focused on the discovery and development of therapeutic proteins and antibodies that modulate the activity of GPCRs. The accounting policies of the segment are the same as those described in the summary of significant accounting policies.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determination of a single segment is consistent with the consolidated financial information regularly reviewed by the Chief Executive Officer, who serves as the chief operating decision maker (“CODM”), in evaluating financial performance and allocating resources on a consolidated basis. The CODM primarily evaluates the Company’s performance based on net loss and significant expense categories.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 segment asset information is presented because the CODM focuses on cash and expense impact; segment assets are monitored at the same level as the condensed consolidated balance sheet.</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segment net loss and significant segment expenses for the three and nine months ended September 30, 2026 and 2025:</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221"/>
        <w:gridCol w:w="146"/>
        <w:gridCol w:w="259"/>
        <w:gridCol w:w="830"/>
        <w:gridCol w:w="178"/>
        <w:gridCol w:w="178"/>
        <w:gridCol w:w="259"/>
        <w:gridCol w:w="830"/>
        <w:gridCol w:w="146"/>
        <w:gridCol w:w="146"/>
        <w:gridCol w:w="146"/>
        <w:gridCol w:w="252"/>
        <w:gridCol w:w="808"/>
        <w:gridCol w:w="174"/>
        <w:gridCol w:w="174"/>
        <w:gridCol w:w="252"/>
        <w:gridCol w:w="808"/>
        <w:gridCol w:w="398"/>
      </w:tblGrid>
      <w:tr>
        <w:tc>
          <w:tcPr>
            <w:tcW w:w="4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employee-related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9,588</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preclinical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5,609</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15,845</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Chemistry, manufacturing, and control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Non-clinical science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Non-employee-related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6,914</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2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68,873</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54,925</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lineRule="auto" w:line="360" w:before="120" w:after="120"/>
        <w:jc w:val="left"/>
        <w:rPr>
          <w:rFonts w:ascii="Times New Roman" w:hAnsi="Times New Roman"/>
          <w:sz w:val="15"/>
        </w:rPr>
      </w:pPr>
      <w:r>
        <w:rPr>
          <w:rFonts w:ascii="Times New Roman" w:hAnsi="Times New Roman"/>
          <w:color w:val="000000"/>
          <w:sz w:val="15"/>
        </w:rPr>
        <w:t xml:space="preserve">1 </w:t>
      </w:r>
      <w:r>
        <w:rPr>
          <w:rFonts w:ascii="Times New Roman" w:hAnsi="Times New Roman"/>
          <w:color w:val="000000"/>
          <w:sz w:val="20"/>
        </w:rPr>
        <w:t>Other segment expenses include expenses not captured in the primary categories above, such as stock-based compensation, depreciation and amortization, interest income, interest expense and income tax expense.</w:t>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spacing w:before="120" w:after="120"/>
        <w:jc w:val="left"/>
        <w:rPr>
          <w:rFonts w:ascii="Times New Roman" w:hAnsi="Times New Roman"/>
          <w:sz w:val="20"/>
        </w:rPr>
      </w:pPr>
      <w:bookmarkStart w:id="8" w:name="item_2"/>
      <w:bookmarkStart w:id="9" w:name="item_3"/>
      <w:bookmarkEnd w:id="8"/>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included elsewhere in this Quarterly Report on Form 10-Q (this “Quarterly Report”).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Quarterly Report. Please also see the section titled “Cautionary Note Regarding Forward-Looking Statements.” All brand names or trademarks appearing in this report are the property of their respective holders.</w:t>
      </w:r>
      <w:r>
        <w:rPr>
          <w:rFonts w:ascii="Times New Roman" w:hAnsi="Times New Roman"/>
          <w:color w:val="000000"/>
          <w:sz w:val="20"/>
        </w:rPr>
        <w:t xml:space="preserve">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a clinical-stage biotechnology company focused on the discovery and development of therapeutic proteins and antibodies that modulate the activity of G-protein coupled receptors (“GPCRs”). The discovery of biologics that can modulate GPCRs has historically been quite challenging. We have developed a proprietary technology platform called GEODe,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Lead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lead product candidates are TX45, an Fc-relaxin fusion molecule that activates the RXFP1 receptor, the GPCR target of the hormone relaxin, and TX2100, a VHH-Fc fusion antagonist antibody that binds to APJ, the receptor for apelin (“APLNR”).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TX45: APEX Phase 2 Clinical Trial in PH-HFpEF</w:t>
      </w:r>
    </w:p>
    <w:p>
      <w:pPr>
        <w:pStyle w:val="TextBody"/>
        <w:bidi w:val="0"/>
        <w:spacing w:before="0" w:after="120"/>
        <w:jc w:val="left"/>
        <w:rPr>
          <w:rFonts w:ascii="Times New Roman" w:hAnsi="Times New Roman"/>
          <w:sz w:val="20"/>
        </w:rPr>
      </w:pPr>
      <w:r>
        <w:rPr>
          <w:rFonts w:ascii="Times New Roman" w:hAnsi="Times New Roman"/>
          <w:color w:val="000000"/>
          <w:sz w:val="20"/>
        </w:rPr>
        <w:t>The ongoing APEX Phase 2 clinical trial is a global, 24-week, placebo-controlled trial designed to evaluate the safety and efficacy of TX45 administered subcutaneously (“SC”) in subjects with Pulmonary Hypertension (“PH”) in Heart Failure with Preserved Ejection Fraction (“HFpEF”), known as PH-HFpEF, enriched for combined pre- and post-capillary pulmonary hypertension (“CpcPH”). We dosed our first subject in the APEX Phase 2 clinical trial in October 2024. Subjects were randomized to 300 mg SC (2 ml injection) once monthly of TX45, 300 mg SC once every other week of TX45, or placebo. Change from baseline in pulmonary vascular resistance (“PVR”) in the CpcPH PVR</w:t>
      </w:r>
      <w:r>
        <w:rPr>
          <w:rFonts w:ascii="Times New Roman" w:hAnsi="Times New Roman"/>
          <w:color w:val="000000"/>
          <w:sz w:val="20"/>
          <w:u w:val="single"/>
        </w:rPr>
        <w:t>&gt;</w:t>
      </w:r>
      <w:r>
        <w:rPr>
          <w:rFonts w:ascii="Times New Roman" w:hAnsi="Times New Roman"/>
          <w:color w:val="000000"/>
          <w:sz w:val="20"/>
        </w:rPr>
        <w:t xml:space="preserve">3 population is the primary endpoint of the trial. The trial is designed to enrich for patients with a PVR&gt;3, aiming for 70% of patients enrolled. </w:t>
      </w:r>
    </w:p>
    <w:p>
      <w:pPr>
        <w:pStyle w:val="TextBody"/>
        <w:bidi w:val="0"/>
        <w:spacing w:before="0" w:after="120"/>
        <w:jc w:val="left"/>
        <w:rPr>
          <w:rFonts w:ascii="Times New Roman" w:hAnsi="Times New Roman"/>
          <w:sz w:val="20"/>
        </w:rPr>
      </w:pPr>
      <w:r>
        <w:rPr>
          <w:rFonts w:ascii="Times New Roman" w:hAnsi="Times New Roman"/>
          <w:color w:val="000000"/>
          <w:sz w:val="20"/>
        </w:rPr>
        <w:t>In June 2026, we completed enrollment in the APEX Phase 2 clinical trial, having enrolled 191 patients across 14 countries, with approximately 72% of enrolled patients in the enriched population of CpcPH patients with a PVR</w:t>
      </w:r>
      <w:r>
        <w:rPr>
          <w:rFonts w:ascii="Times New Roman" w:hAnsi="Times New Roman"/>
          <w:color w:val="000000"/>
          <w:sz w:val="20"/>
          <w:u w:val="single"/>
        </w:rPr>
        <w:t>&gt;</w:t>
      </w:r>
      <w:r>
        <w:rPr>
          <w:rFonts w:ascii="Times New Roman" w:hAnsi="Times New Roman"/>
          <w:color w:val="000000"/>
          <w:sz w:val="20"/>
        </w:rPr>
        <w:t xml:space="preserve">3 Wood Units at baseline. In July 2026, the Independent Data Monitoring Committee (“IDMC”) met to review unblinded safety and efficacy data from the TX45 APEX Phase 2 clinical trial, including approximately 80% of the expected patient exposure. The IDMC recommended the continuation of the study without modification. We expect topline results from the APEX Phase 2 clinical trial by the end of January 2027.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TX45: ALPINE Phase 2a Clinical Trial in PH-ILD (Group 3 PH)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March 2026, the first patient was screened in ALPINE, our 16-week, open-label, multinational, repeat-dose Phase 2a clinical trial to evaluate TX45’s safety and efficacy in up to 25 patients with PH associated with Interstitial Lung Disease (“ILD”), known as PH-ILD (Group 3 PH). PH-ILD is an orphan disease with limited treatment options and a high mortality rate. We believe TX45’s mechanism is well suited to PH-ILD’s disease pathophysiology because of its pulmonary vasodilation, anti-inflammatory, beneficial remodeling and anti-fibrotic activity. In patients with PH-ILD, elevation in PVR and mean pulmonary arterial pressure (“mPAP”) has been associated with increased mortality. In the Phase 1b trial in patients with CpcPH and either HFpEF or Heart Failure with Reduced Ejection Fraction (“HFrEF”), TX45 resulted in significant reductions in mPAP and PVR as well as improvements in other hemodynamic endpoints. Dosing of TX45 is initiated at 300 mg SC once monthly, with the primary efficacy endpoint being change from baseline in PVR at Week 16. In October 2026, we dosed the first PH-ILD patient in the TX45 ALPINE Phase 2a clinical trial, with interim topline results expected in the second half of 2027.</w:t>
      </w:r>
    </w:p>
    <w:p>
      <w:pPr>
        <w:pStyle w:val="TextBody"/>
        <w:bidi w:val="0"/>
        <w:jc w:val="left"/>
        <w:rPr>
          <w:rFonts w:ascii="Times New Roman" w:hAnsi="Times New Roman"/>
          <w:b/>
          <w:color w:val="000000"/>
          <w:sz w:val="20"/>
        </w:rPr>
      </w:pPr>
      <w:r>
        <w:rPr>
          <w:rFonts w:ascii="Times New Roman" w:hAnsi="Times New Roman"/>
          <w:b/>
          <w:color w:val="000000"/>
          <w:sz w:val="20"/>
        </w:rPr>
        <w:t>TX2100 in HHT: Preclinical Development and Phase 1a Clinical Trial</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Our second lead product candidate, TX2100, is being evaluated for the treatment of Hereditary Hemorrhagic Telangiectasia (“HHT”), the second most common genetic bleeding disorder with no approved therapy. TX2100 is a VHH-Fc fusion antagonist antibody that binds to APJ (also known as the apelin receptor; APLNR), a GPCR that mediates signaling by the pro-angiogenic peptide hormone apelin. A rodent surrogate of TX2100 demonstrated reductions in arteriovenous malformation (“AVM”) formation, bleeding, and anemia across the neonatal anti-BMP9/10 immunoblocked model and the more severe, adult inducible ALK1 knockout mouse model of HHT, supporting disease-modifying activity through APJ antagonism. TX2100 was further evaluated in non-human primates in Investigational New Drug (“IND”)-enabling good laboratory practice (“GLP”) toxicology studies, including a 13-week repeat-dose study. In these studies, TX2100 was well tolerated at doses up to 100 mg/kg/week, with no treatment-related or target-related toxicities identified and no effects observed on cardiovascular, respiratory, neurological, renal, metabolic, or hematologic parameters. A formulation supporting subcutaneous dosing has been established, and drug substance and drug product manufacturing under Good Manufacturing Practice (“GMP”) have been completed to support initiation of a Phase 1a clinical trial. In February 2026, we randomized the first subject in the Phase 1a healthy volunteer clinical trial for TX2100.</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August 2026, the U.S. Food and Drug Administration (“FDA”) cleared our IND application for a Phase 1b clinical trial of TX2100 in patients with HHT, and in September 2026, the FDA granted TX2100 Fast Track designation for the treatment of HHT.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Additionally, in September 2026, we announced safety, tolerability and pharmacokinetic results from Part A of the Phase 1a clinical trial, in which single ascending doses of TX2100, administered intravenously and subcutaneously across six dose cohorts in 48 healthy adult volunteers, were generally safe and well tolerated, with no deaths, serious adverse events or severe treatment-emergent adverse events observed at any dose. No clinically significant or dose-related changes were observed in vital signs, laboratory assessments or electrocardiograms, and no anti-drug antibodies were detected. Notably, no increases in blood pressure, which have been associated with anti-vascular endothelial growth factor (“VEGF”) agents, were observed. Pharmacokinetic results reflected target-mediated drug disposition, consistent with potent target engagement, and support exploration of once-weekly and every-other-week SC dosing regimens. Together with nonclinical data, these findings support our approach to dose selection for planned clinical trials in patients with HHT.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Part B of the Phase 1a clinical trial, a multiple-dose cohort, has completed enrollment and dosing, and healthy volunteers remain in the follow-up phase of the study. Results from Part B are expected to further inform the dose-exposure relationship and dose selection for Phase 2. We plan to initiate TERRA, an open-label, multinational Phase 1b clinical trial to explore the safety and preliminary efficacy, as measured by hematologic support requirements and hematologic parameters, of TX2100 in patients with hematologic-support-dependent HHT by year-end 2026 and, in parallel, TIDAL, a placebo-controlled Phase 2 clinical trial in patients with moderate-to-severe HHT in early 2027. TERRA interim topline results are expected by year-end 2027.</w:t>
      </w:r>
    </w:p>
    <w:p>
      <w:pPr>
        <w:pStyle w:val="TextBody"/>
        <w:bidi w:val="0"/>
        <w:spacing w:before="120" w:after="120"/>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not generated any revenue since our inception and do not expect to generate any revenue from the sale of products in the foreseeable future, if at all. If our development efforts for our product candidates are successful and result in regulatory approval, or if we enter collaboration or license agreements with third parties, we may generate revenue in the future from product sales or payments from collaboration or license agreements, or any combination thereof. We cannot predict if, when or to what extent we will generate revenue from the commercialization and sale of our product candidates. We may never succeed in obtaining regulatory approval for any of our product candidates. </w:t>
      </w:r>
    </w:p>
    <w:p>
      <w:pPr>
        <w:pStyle w:val="TextBody"/>
        <w:bidi w:val="0"/>
        <w:spacing w:before="0" w:after="12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Research and development expenses consist of costs incurred in connection with our research activities, including discovery efforts and the preclinical and clinical development of our programs, product candidates, and platform. These expenses include: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employee-related expenses, including salaries, bonuses, benefits and non-cash stock-based compensation, for employees engaged in research and development functions;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expenses incurred in connection with research and the preclinical and clinical development of our programs and our product candidates, including fees paid to contract research organizations (“CROs”);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costs related to manufacturing materials for our preclinical studies and clinical trials, including fees paid to contract development and manufacturing organizations (“CDMOs”);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laboratory supplies, consumables and other research materials;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facilities, depreciation, and other expenses related to research and development activities, which include direct or allocated expenses for rent, utilities, and facility maintenance;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payments made under third-party licensing agreements.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expense all research and development costs as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Upfront payments under license agreements are expensed upon receipt of the license.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Costs that are deployed across multiple programs or platform activities and not directly attributable to any single program are recorded as platform development and unallocated expenses, which include multi-program employee-related costs, cross-program licensing payments, laboratory supplies and related expenses, contract research, manufacturing and consulting services, facility-related and other expenses, including depreciation, and discovery efforts.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Later-stage clinical programs generally incur higher costs than early-stage programs due to the increased size and duration of trials. We cannot determine with certainty the timing of initiation, the duration or the completion costs of current or future preclinical studies and clinical trials of our product candidates due to the inherently unpredictable nature of preclinical and clinical development. Preclinical and clinical development timelines, the probability of success and development costs can differ materially from expectations. We will continue to evaluate which product candidates to pursue and the allocation of funding based on preclinical and clinical results, regulatory developments, and commercial potential. We expect our research and development expenses to increase significantly as we advance our product candidates through clinical development and initiate additional and later stage clinical trials. Our future expenses may vary significantly each period based on factors such as: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expenses incurred to conduct preclinical studies required to advance our product candidates into clinical development;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 patient clinical trial costs, based on the number of doses that patients receive;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patients who enroll in each trial;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phase of development of the product candidate;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materials utilized to manufacture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efficacy and safety profile of our product candidates.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consist primarily of employee-related costs, including salaries, bonuses, benefits and non-cash stock-based compensation, for our personnel in executive, finance and information technology, and other administrative functions. General and administrative expenses also include legal fees, including those related to intellectual property and patent matters, professional fees for accounting and consulting services, insurance costs, facilities and information technology expenses, investor relations and public company compliance costs, and other general corporate overhead. As a clinical-stage company, our general and administrative expenses are driven in part by the costs required to support our research and development activities and to operate as a public company.</w:t>
      </w:r>
    </w:p>
    <w:p>
      <w:pPr>
        <w:pStyle w:val="TextBody"/>
        <w:bidi w:val="0"/>
        <w:spacing w:before="0" w:after="120"/>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income primarily consists of interest earned on money market funds, which are included in cash and cash equivalents on the condensed consolidated balance sheets.</w:t>
      </w:r>
    </w:p>
    <w:p>
      <w:pPr>
        <w:pStyle w:val="TextBody"/>
        <w:bidi w:val="0"/>
        <w:spacing w:before="0" w:after="12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Comparison of the three months ended September 30, 2026 and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September 30, 2026 and 2025 (in thousands, except percentages): </w:t>
      </w:r>
    </w:p>
    <w:p>
      <w:pPr>
        <w:pStyle w:val="TextBody"/>
        <w:bidi w:val="0"/>
        <w:spacing w:before="0" w:after="120"/>
        <w:jc w:val="left"/>
      </w:pPr>
      <w:r>
        <w:t> </w:t>
      </w:r>
    </w:p>
    <w:tbl>
      <w:tblPr>
        <w:tblW w:w="10173" w:type="dxa"/>
        <w:jc w:val="left"/>
        <w:tblInd w:w="0" w:type="dxa"/>
        <w:tblLayout w:type="fixed"/>
        <w:tblCellMar>
          <w:top w:w="28" w:type="dxa"/>
          <w:left w:w="28" w:type="dxa"/>
          <w:bottom w:w="28" w:type="dxa"/>
          <w:right w:w="28" w:type="dxa"/>
        </w:tblCellMar>
      </w:tblPr>
      <w:tblGrid>
        <w:gridCol w:w="4231"/>
        <w:gridCol w:w="146"/>
        <w:gridCol w:w="256"/>
        <w:gridCol w:w="896"/>
        <w:gridCol w:w="202"/>
        <w:gridCol w:w="177"/>
        <w:gridCol w:w="256"/>
        <w:gridCol w:w="896"/>
        <w:gridCol w:w="166"/>
        <w:gridCol w:w="146"/>
        <w:gridCol w:w="211"/>
        <w:gridCol w:w="631"/>
        <w:gridCol w:w="166"/>
        <w:gridCol w:w="146"/>
        <w:gridCol w:w="243"/>
        <w:gridCol w:w="628"/>
        <w:gridCol w:w="776"/>
      </w:tblGrid>
      <w:t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020" w:type="dxa"/>
            <w:gridSpan w:val="14"/>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TX45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TX2100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Platform development and 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8,402</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23,458</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increased by $0.5 million for the three months ended September 30, 2026, compared to the three months ended September 30, 2025. The increase was primarily attributable to a $1.4 million increase in platform development and unallocated expenses, principally driven by higher employee-related expenses. The increase in employee-related expenses reflected higher non-cash stock-based compensation expense, driven by incremental equity awards granted to new hires and ongoing annual employee grants, and higher payroll and related costs associated with the continued expansion of our research and development team in support of our pipeline programs. This increase was partially offset by a $0.6 million decrease in costs related to our TX2100 program, primarily due to CDMO costs incurred in the prior-year period for production of drug substance. This was further offset by a $0.4 million decrease in our TX45 program related to clinical supply costs incurred in the prior-year period for site activation and enrollment.</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increased by $1.1 million for the three months ended September 30, 2026, compared to the three months ended September 30, 2025, primarily attributable to higher employee-related expenses. The increase in employee-related expenses was driven by higher non-cash stock-based compensation expense, reflecting incremental equity awards granted to employees, including new hires and ongoing annual grants.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anticipate that our general and administrative expenses will continue to increase in the future as we continue to invest in infrastructure and personnel to support the advancement of our clinical programs and operation as a public company. We also expect to incur additional intellectual property-related expenses as we file patent applications to protect innovations arising from our research and development activities.</w:t>
      </w:r>
    </w:p>
    <w:p>
      <w:pPr>
        <w:pStyle w:val="TextBody"/>
        <w:bidi w:val="0"/>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Interest income decreased by $0.8 million for the three months ended September 30, 2026, compared to the three months ended September 30, 2025, primarily due to lower cash and cash equivalents.</w:t>
      </w:r>
    </w:p>
    <w:p>
      <w:pPr>
        <w:pStyle w:val="TextBody"/>
        <w:bidi w:val="0"/>
        <w:jc w:val="left"/>
      </w:pPr>
      <w:r>
        <w:t> </w:t>
      </w:r>
    </w:p>
    <w:p>
      <w:pPr>
        <w:pStyle w:val="TextBody"/>
        <w:bidi w:val="0"/>
        <w:spacing w:before="120" w:after="12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Comparison of the nine months ended September 30, 2026 and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nine months ended September 30, 2026 and 2025 (in thousands, except percentages): </w:t>
      </w:r>
    </w:p>
    <w:tbl>
      <w:tblPr>
        <w:tblW w:w="10129" w:type="dxa"/>
        <w:jc w:val="left"/>
        <w:tblInd w:w="0" w:type="dxa"/>
        <w:tblLayout w:type="fixed"/>
        <w:tblCellMar>
          <w:top w:w="28" w:type="dxa"/>
          <w:left w:w="28" w:type="dxa"/>
          <w:bottom w:w="28" w:type="dxa"/>
          <w:right w:w="28" w:type="dxa"/>
        </w:tblCellMar>
      </w:tblPr>
      <w:tblGrid>
        <w:gridCol w:w="4231"/>
        <w:gridCol w:w="146"/>
        <w:gridCol w:w="248"/>
        <w:gridCol w:w="866"/>
        <w:gridCol w:w="195"/>
        <w:gridCol w:w="171"/>
        <w:gridCol w:w="248"/>
        <w:gridCol w:w="866"/>
        <w:gridCol w:w="166"/>
        <w:gridCol w:w="146"/>
        <w:gridCol w:w="211"/>
        <w:gridCol w:w="736"/>
        <w:gridCol w:w="166"/>
        <w:gridCol w:w="146"/>
        <w:gridCol w:w="243"/>
        <w:gridCol w:w="628"/>
        <w:gridCol w:w="716"/>
      </w:tblGrid>
      <w:t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036" w:type="dxa"/>
            <w:gridSpan w:val="14"/>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TX45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TX2100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Platform development and 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74,977</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(74,977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(68,796</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20" w:after="120"/>
        <w:jc w:val="left"/>
      </w:pPr>
      <w: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Research and development expenses increased by $9.2 million for the nine months ended September 30, 2026, compared to the nine months ended September 30, 2025. The increase was primarily attributable to $8.4 million in higher CRO and CDMO costs related to our ongoing Phase 2 clinical trials of TX45, and a $4.2 million increase in platform development and unallocated expenses, principally driven by higher employee-related expenses. The increase in employee-related expenses reflected higher non-cash stock-based compensation expense, driven by incremental equity awards granted to new hires and ongoing annual employee grants, and higher payroll and related costs associated with the continued expansion of our research and development team in support of our pipeline programs. These increases were partially offset by a $3.4 million decrease in costs related to our TX2100 program, primarily due to CDMO costs incurred in the prior-year period for the production of drug substance.</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increased by $3.2 million for the nine months ended September 30, 2026, compared to the nine months ended September 30, 2025, primarily attributable to higher employee-related expenses. The increase in employee-related expenses was driven by higher non-cash stock-based compensation expense, reflecting incremental equity awards granted to employees, including new hires and ongoing annual grants, and higher payroll and related costs resulting from annual merit increases and other employee-related compensation costs.</w:t>
      </w:r>
    </w:p>
    <w:p>
      <w:pPr>
        <w:pStyle w:val="TextBody"/>
        <w:bidi w:val="0"/>
        <w:jc w:val="left"/>
        <w:rPr>
          <w:rFonts w:ascii="Times New Roman" w:hAnsi="Times New Roman"/>
          <w:color w:val="000000"/>
          <w:sz w:val="20"/>
        </w:rPr>
      </w:pPr>
      <w:r>
        <w:rPr>
          <w:rFonts w:ascii="Times New Roman" w:hAnsi="Times New Roman"/>
          <w:color w:val="000000"/>
          <w:sz w:val="20"/>
        </w:rPr>
        <w:t>We anticipate that our general and administrative expenses will continue to increase in the future as we continue to invest in infrastructure and personnel to support the advancement of our clinical programs and operation as a public company. We also expect to incur additional intellectual property-related expenses as we file patent applications to protect innovations arising from our research and development activities.</w:t>
      </w:r>
    </w:p>
    <w:p>
      <w:pPr>
        <w:pStyle w:val="TextBody"/>
        <w:bidi w:val="0"/>
        <w:spacing w:before="120" w:after="120"/>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Interest income decreased by $2.4 million for the nine months ended September 30, 2026, compared to the nine months ended September 30, 2025, primarily due to lower cash and cash equivalents. </w:t>
      </w:r>
    </w:p>
    <w:p>
      <w:pPr>
        <w:pStyle w:val="TextBody"/>
        <w:bidi w:val="0"/>
        <w:spacing w:before="0" w:after="12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CROs and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CDMOs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do not currently have any approved products and have never generated any revenue from product sales. We have funded our operations primarily through the sale and issuance of common stock, convertible equity instruments, and proceeds from prior corporate transactions. We currently have an effective shelf registration statement on Form S-3 filed with the Securities and Exchange Commission (the “SEC”), which we may use to offer from time to time any combination of common stock, preferred stock, debt securities, and warrants up to an aggregate amount of $400 million. Of this amount, up to $100 million of our common stock may be sold through an at-the-market offering program (the “ATM”), of which $63.9 million remained available as of September 30, 2026. During the three months ended September 30, 2026, we sold 660,492 shares of our common stock under the ATM at an average price per share of $34.45 for gross proceeds of $22.7 million and net proceeds of $22.3 million after deducting commissions and offering expenses of $0.4 million. During the nine months ended September 30, 2026, we sold 1,092,798 shares of our common stock under the ATM at an average price per share of $33.05 for gross proceeds of $36.1 million and net proceeds of $35.4 million after deducting commissions and offering expenses of $0.7 million.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September 30, 2026, we had $234.7 million in cash and cash equivalents and an accumulated deficit of $291.6 million. Based on our current business plans, management believes that our cash and cash equivalents on hand at September 30, 2026 are sufficient to meet our operating requirements for at least the next 12 months from the issuance of the condensed consolidated financial statements included in this Quarterly Report. However, our estimates are based on assumptions that may prove to be incorrect, and we could exhaust our capital resources sooner than expected. We may require additional funding to support our research programs, clinical development, and general corporate operations. There can be no assurance that additional financing, whether through public or private equity, debt, collaborations, or licensing arrangements, will be available on acceptable terms, or at all.</w:t>
      </w:r>
    </w:p>
    <w:p>
      <w:pPr>
        <w:pStyle w:val="TextBody"/>
        <w:bidi w:val="0"/>
        <w:spacing w:before="0" w:after="120"/>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nine months ended September 30, 2026 and 2025 (in thousands): </w:t>
      </w:r>
    </w:p>
    <w:tbl>
      <w:tblPr>
        <w:tblW w:w="8916" w:type="dxa"/>
        <w:jc w:val="left"/>
        <w:tblInd w:w="0" w:type="dxa"/>
        <w:tblLayout w:type="fixed"/>
        <w:tblCellMar>
          <w:top w:w="28" w:type="dxa"/>
          <w:left w:w="28" w:type="dxa"/>
          <w:bottom w:w="28" w:type="dxa"/>
          <w:right w:w="28" w:type="dxa"/>
        </w:tblCellMar>
      </w:tblPr>
      <w:tblGrid>
        <w:gridCol w:w="5766"/>
        <w:gridCol w:w="146"/>
        <w:gridCol w:w="243"/>
        <w:gridCol w:w="848"/>
        <w:gridCol w:w="191"/>
        <w:gridCol w:w="168"/>
        <w:gridCol w:w="243"/>
        <w:gridCol w:w="900"/>
        <w:gridCol w:w="411"/>
      </w:tblGrid>
      <w:t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57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7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7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3" w:type="dxa"/>
            <w:gridSpan w:val="6"/>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127,681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7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operating activities was $54.8 million for the nine months ended September 30, 2026. Cash used in operations was primarily used to fund development of our product candidates, resulting in a net loss of $68.9 million, partially offset by non-cash charges of $13.7 million. Changes in operating assets and liabilities, including the timing of vendor payments and lease repayments, had an effect of $0.4 million on cash used in operating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Net cash used in operating activities was $45.6 million for the nine months ended September 30, 2025. Cash used in operating activities was primarily used to fund our operations to develop our product candidates, resulting in a net loss of $54.9 million and changes in operating assets and liabilities related to the timing of the vendor payments of $1.0 million partially offset by non-cash charges of $10.3 million. </w:t>
      </w:r>
    </w:p>
    <w:p>
      <w:pPr>
        <w:pStyle w:val="TextBody"/>
        <w:bidi w:val="0"/>
        <w:spacing w:before="0" w:after="120"/>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investing activities during the nine months ended September 30, 2026 and 2025 was nominal and related to the purchase and sale of property and equipment.</w:t>
      </w:r>
    </w:p>
    <w:p>
      <w:pPr>
        <w:pStyle w:val="TextBody"/>
        <w:bidi w:val="0"/>
        <w:spacing w:before="0" w:after="120"/>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provided by financing activities was $35.0 million for the nine months ended September 30, 2026, primarily due to net proceeds of $35.4 million received from shares sold under the ATM and $0.6 million in proceeds from the exercise of stock options offset by payments for employee taxes related to the net share settlement of equity awards, whereby a portion of vested shares was withheld to satisfy employees’ tax withholding obligations of $0.6 million.</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provided by financing activities was $173.5 million for the nine months ended September 30, 2025, primarily due to net proceeds of $173.1 million from the sale of shares in a private placement and $1.2 million in proceeds from the exercise of stock options.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spacing w:before="120" w:after="120"/>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ongoing activities, particularly as we continue the research and development of, continue or initiate clinical trials of, and seek marketing approval for, our product candidates including our lead product candidates TX45 and TX2100. In addition, if we obtain marketing approval for TX45, TX2100 or any of our other product candidates, we expect to incur significant commercialization expenses related to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existing cash and cash equivalents will enable us to fund our operating expenses and capital expenditure requirements for at least the next twelve months. Our future capital requirements will depend on many factors,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scope, progress, results and costs of product discovery,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prioritization and number of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access sufficient additional capital on a timely basis and on favorable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process development and manufacturing scale-up activities associated with our product candidates and other programs as we advance them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milestones or occurrence of other developments that trigger payments under the license agreements and any other collaboration agreements we enter into;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are obligated to reimburse, or entitled to reimbursement of, clinical trial costs under collaboration agreements,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securing manufacturing arrangements for commercial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publicly traded company and supporting our anticipated organizational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establishing or contracting for sales and marketing capabilities if we obtain regulatory approvals to market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macroeconomic environment, including inflation and interest rates.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currently have no ongoing material financing commitments, such as lines of credit or guarantees, that are expected to affect our liquidity over the next five years. </w:t>
      </w:r>
    </w:p>
    <w:p>
      <w:pPr>
        <w:pStyle w:val="TextBody"/>
        <w:bidi w:val="0"/>
        <w:spacing w:before="0" w:after="120"/>
        <w:jc w:val="left"/>
        <w:rPr>
          <w:rFonts w:ascii="Times New Roman" w:hAnsi="Times New Roman"/>
          <w:sz w:val="20"/>
        </w:rPr>
      </w:pPr>
      <w:r>
        <w:rPr>
          <w:rFonts w:ascii="Times New Roman" w:hAnsi="Times New Roman"/>
          <w:b/>
          <w:color w:val="000000"/>
          <w:sz w:val="20"/>
        </w:rPr>
        <w:t>Contractual Obligations &amp; Commitments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We have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 For further details regarding our significant contracts, and the commitments and contractual obligations contained within each contract, please refer to Note 9, </w:t>
      </w:r>
      <w:r>
        <w:rPr>
          <w:rFonts w:ascii="Times New Roman" w:hAnsi="Times New Roman"/>
          <w:i/>
          <w:color w:val="000000"/>
          <w:sz w:val="20"/>
        </w:rPr>
        <w:t>License Agreements</w:t>
      </w:r>
      <w:r>
        <w:rPr>
          <w:rFonts w:ascii="Times New Roman" w:hAnsi="Times New Roman"/>
          <w:color w:val="000000"/>
          <w:sz w:val="20"/>
        </w:rPr>
        <w:t xml:space="preserve">, and Note 10, </w:t>
      </w:r>
      <w:r>
        <w:rPr>
          <w:rFonts w:ascii="Times New Roman" w:hAnsi="Times New Roman"/>
          <w:i/>
          <w:color w:val="000000"/>
          <w:sz w:val="20"/>
        </w:rPr>
        <w:t>Commitments and Contingencies</w:t>
      </w:r>
      <w:r>
        <w:rPr>
          <w:rFonts w:ascii="Times New Roman" w:hAnsi="Times New Roman"/>
          <w:color w:val="000000"/>
          <w:sz w:val="20"/>
        </w:rPr>
        <w:t>, and to our condensed consolidated financial statements included in this Quarterly Report, which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We have lease obligations for certain office and laboratory space and laboratory equipment under non-cancelable operating and finance leases. The leases expire at various times through 2029. Minimum lease payments under these agreements are $0.6 million for the remainder of 2026, $1.9 million in 2027, $2.0 million in 2028, and $0.2 million in 2029. These amounts reflect enforceable obligations under non-cancelable contracts and do not include commitments that can be terminated without significant penalty.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spacing w:before="120" w:after="120"/>
        <w:jc w:val="left"/>
        <w:rPr>
          <w:rFonts w:ascii="Times New Roman" w:hAnsi="Times New Roman"/>
          <w:sz w:val="20"/>
        </w:rPr>
      </w:pPr>
      <w:bookmarkStart w:id="10" w:name="new_item_3"/>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otherwise required under this Item.</w:t>
      </w:r>
    </w:p>
    <w:p>
      <w:pPr>
        <w:pStyle w:val="TextBody"/>
        <w:bidi w:val="0"/>
        <w:spacing w:before="120" w:after="120"/>
        <w:jc w:val="left"/>
        <w:rPr>
          <w:rFonts w:ascii="Times New Roman" w:hAnsi="Times New Roman"/>
          <w:sz w:val="20"/>
        </w:rPr>
      </w:pPr>
      <w:bookmarkStart w:id="11" w:name="item_4"/>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maintain “disclosure controls and procedures,” as defined in Rule 13a-15(e) and Rule 15d-15(e) under the Securities Exchange Act of 1934, as amended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our Chief Financial Officer, evaluated the effectiveness of our disclosure controls and procedures as of September 30, 2026, the end of the period covered by this Quarterly Report. Based on the evaluation of our disclosure controls and procedures as of September 30, 2026, our Chief Executive Officer and Chief Financial Officer concluded that, as of such date, our disclosure controls and procedures were effective at the reasonable assurance level. </w:t>
      </w:r>
    </w:p>
    <w:p>
      <w:pPr>
        <w:pStyle w:val="TextBody"/>
        <w:bidi w:val="0"/>
        <w:spacing w:before="0" w:after="120"/>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 </w:t>
      </w:r>
    </w:p>
    <w:p>
      <w:pPr>
        <w:pStyle w:val="TextBody"/>
        <w:bidi w:val="0"/>
        <w:spacing w:before="0" w:after="120"/>
        <w:jc w:val="left"/>
        <w:rPr>
          <w:rFonts w:ascii="Times New Roman" w:hAnsi="Times New Roman"/>
          <w:sz w:val="20"/>
        </w:rPr>
      </w:pPr>
      <w:r>
        <w:rPr>
          <w:rFonts w:ascii="Times New Roman" w:hAnsi="Times New Roman"/>
          <w:b/>
          <w:color w:val="000000"/>
          <w:sz w:val="20"/>
        </w:rPr>
        <w:t>Inherent Limitations on Effectiveness of Controls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spacing w:before="120" w:after="120"/>
        <w:jc w:val="center"/>
        <w:rPr>
          <w:rFonts w:ascii="Times New Roman" w:hAnsi="Times New Roman"/>
          <w:sz w:val="20"/>
        </w:rPr>
      </w:pPr>
      <w:bookmarkStart w:id="12" w:name="part_2_other_information"/>
      <w:bookmarkStart w:id="13" w:name="item_1"/>
      <w:bookmarkStart w:id="14" w:name="part_2"/>
      <w:bookmarkEnd w:id="12"/>
      <w:bookmarkEnd w:id="13"/>
      <w:bookmarkEnd w:id="14"/>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15" w:name="part2_1a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spacing w:before="240" w:after="240"/>
        <w:jc w:val="left"/>
        <w:rPr>
          <w:rFonts w:ascii="Times New Roman" w:hAnsi="Times New Roman"/>
          <w:sz w:val="20"/>
        </w:rPr>
      </w:pPr>
      <w:bookmarkStart w:id="16" w:name="item_1a"/>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20"/>
        </w:rPr>
        <w:t>Investing in the Company’s common stock involves a high degree of risk. Careful consideration should be given to the following risk factors, in addition to the other information set forth in this Quarterly Report and in other documents that were filed and will be filed with the SEC, in evaluating the Company and its business. Additional risks and uncertainties not presently known to or that are currently seen as immaterial may also harm the Company’s business. If any of these risks occur, business, growth prospects, operating results and financial condition could be materially and adversely affected, the trading price of the Company’s common stock could decline, and investors could lose part or all of their investment.</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factors summarized below could materially and adversely affect our business, financial condition, operating results and prospects, and/or cause the price of our common stock to decline. These risks are discussed more fully below. Material risks that may affect our business, financial condition, results of operations, and trading price of our common stock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incurred net losses in every year since our inception, and expect to continue to incur net losses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Times New Roman" w:hAnsi="Times New Roman"/>
          <w:sz w:val="10"/>
        </w:rPr>
      </w:pPr>
      <w:r>
        <w:rPr>
          <w:rFonts w:ascii="Times New Roman" w:hAnsi="Times New Roman"/>
          <w:color w:val="000000"/>
          <w:sz w:val="20"/>
        </w:rPr>
        <w:t>We have limited experience in therapeutic discovery and development and our GEODe</w:t>
      </w:r>
      <w:r>
        <w:rPr>
          <w:rFonts w:ascii="Times New Roman" w:hAnsi="Times New Roman"/>
          <w:color w:val="000000"/>
          <w:sz w:val="10"/>
        </w:rPr>
        <w:t xml:space="preserve"> </w:t>
      </w:r>
      <w:r>
        <w:rPr>
          <w:rFonts w:ascii="Times New Roman" w:hAnsi="Times New Roman"/>
          <w:color w:val="000000"/>
          <w:sz w:val="20"/>
        </w:rPr>
        <w:t xml:space="preserve">platform may never result in the regulatory approval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TX2100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trials may fail to demonstrate substantial evidence of the safety, efficacy, purity and potency of our product candidates or any future product candidates, which would prevent or delay or limit the scope of regulatory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commercialize any product candidate for which we receive regulatory approval,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protect our intellectual property. It is difficult and costly to protect our proprietary rights and technology, and we may not be able to ensure their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intellectual property licensed from third parties and termination of any of these licenses could result in the loss of significant rights, which would harm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continue to rely, on the use of manufacturing suites in third-party facilities or on third parties to manufacture TX45, TX2100 and any other product candidates, and we may rely on third parties to produce and process our products,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could be adversely affected if we are unable to use third-party manufacturing suites or if the third-party manufacturers encounter difficulties in production.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from other biotechnology and pharmaceutical companies, and our operating results will suffer if we fail to compete effectively.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is expected to be volatile, and the market price of the common stock may drop.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attract and retain management and other key personnel, we may be unable to continue to successfully develop or commercialize our product candidates or otherwise implement our business plan.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Financial Position and Cash Needs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a limited operating history and have incurred net losses in every year since our inception. We expect to continue to incur net losses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Consequently, we have no meaningful operations upon which to evaluate our business, and predictions about our future success or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We reported net losses of $21.3 million and $19.0 million for the three months ended September 30, 2026 and 2025, respectively, and $68.9 million and $54.9 million for the nine months ended September 30, 2026 and 2025, respectively. As of September 30, 2026, we had an accumulated deficit of $291.6 million. We expect to continue to incur significant losses for the foreseeable future, and expect these losses to increase as we continue our research and development of, and seek regulatory approvals for, our lead product candidates, TX45 and TX2100, along with any future product candidates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the research and development of our clinical- and preclinical-stage product candidates and discovery-stage programs, including the continued development of our lead product candidates TX45 and TX2100;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the amount of research and development activities to identify and develop product candidates using our proprietary discovery approach;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under in-license or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our operational, financial and management systems and increase personnel, including personnel to support our clinical development, manufacturing and commercialization efforts and our operations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medical affairs and distribution infrastructure to commercialize any products for which we may obtain marketing approval and intend to commercialize on our own or jointly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 in or in-license other technologies;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any issues with any of the above, including but not limited to failed studies, complex results, manufacturing challenges, safety issues or other regulatory challenges.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financed our operations primarily through the sale and issuance of common stock, convertible equity instruments, prior corporate transactions and the ATM. We expect our expenses to increase in connection with our ongoing activities, particularly as we continue our Phase 2 clinical trials of TX45, including the ALPINE Phase 2a clinical trial in PH-ILD, pursue manufacturing and clinical activities for our HHT product candidate, TX2100, including the ongoing Phase 1a clinical trial and the planned Phase 1b clinical trial in patients with HHT, conduct IND-enabling studies for future product candidates and continue to research, develop and initiate clinical trials of any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2026, we had $234.7 million in cash and cash equivalents. Although we believe that our available cash and cash equivalents will be sufficient to fund our planned operations for at least 12 months following the issuance of our condensed consolidated financial statements included in this Quarterly Report, this belief is based on assumptions that may prove to be wrong, and we could use our available capital resources sooner than we currently expect.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capital requirements for TX45, TX2100 or our preclinical programs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milestone and royalty payments we are required to make or are eligible to receive under our license agreements with the President and Fellows of Harvard College (“Harvard”) and other license agreements, as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potential new product candidates we identify and decide to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for additional or expanded preclinical studies and clinical trials beyond those that we plan to conduct with respect to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growing the organization to the size needed to allow for the research, development and potential commercialization of our current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filing patent applications, maintaining and enforcing patents or defending against infringement or other claims raised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our existing license and collaboration agreements and the entry into new license and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costs involved in obtaining regulatory approval for our product candidates and any delays we may encounter as a result of evolving regulatory requirements or adverse results with respect to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completion of commercial-scale outsourced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establishing sales, marketing and distribution capabilities for any product candidates for which we may receive regulatory approval in regions where we choose to commercialize our products on our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revenues, if any, we may derive either directly or in the form of royalty payments from future sales of our product candidates, if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acceptance of any approved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or royalty financings, collaborations, strategic alliances, licensing arrangements and other marketing or distribution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will depend on financial, economic and market conditions and other factors, over which we may have no or limited control. Market volatility resulting from geopolitical and economic instability, including the conflicts between Russia and Ukraine and in the Middle East, current international trade and regulatory environment uncertainty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will cause dilution to our stockholders, and may restrict our operations, or require us to relinquish rights to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cash needs through equity, debt or royalty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an effective shelf registration statement on Form S-3 filed with the SEC, which we may use to offer from time to time any combination of debt securities, common stock, preferred stock and warrants up to an aggregate amount of $400 million. This includes up to $100 million of our common stock that may be sold through the ATM pursuant to a sales agreement with TD Securities (USA) LLC, of which $63.9 million remained available as of September 30, 2026. Any sales of our common stock under this program will result in dilution to our existing stockholders.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jc w:val="left"/>
        <w:rPr>
          <w:rFonts w:ascii="Times New Roman" w:hAnsi="Times New Roman"/>
          <w:color w:val="000000"/>
          <w:sz w:val="20"/>
        </w:rPr>
      </w:pPr>
      <w:r>
        <w:rPr>
          <w:rFonts w:ascii="Times New Roman" w:hAnsi="Times New Roman"/>
          <w:color w:val="000000"/>
          <w:sz w:val="20"/>
        </w:rPr>
        <w:br/>
        <w:t xml:space="preserve">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Discovery, Development and Regulatory Approval of Our Product Candidates</w:t>
      </w:r>
      <w:r>
        <w:rPr>
          <w:rFonts w:ascii="Times New Roman" w:hAnsi="Times New Roman"/>
          <w:color w:val="000000"/>
          <w:sz w:val="20"/>
        </w:rPr>
        <w:t xml:space="preserve"> </w:t>
      </w:r>
    </w:p>
    <w:p>
      <w:pPr>
        <w:pStyle w:val="TextBody"/>
        <w:bidi w:val="0"/>
        <w:spacing w:lineRule="auto" w:line="360" w:before="240" w:after="283"/>
        <w:jc w:val="left"/>
        <w:rPr>
          <w:rFonts w:ascii="Times New Roman" w:hAnsi="Times New Roman"/>
          <w:sz w:val="10"/>
        </w:rPr>
      </w:pPr>
      <w:r>
        <w:rPr>
          <w:rFonts w:ascii="Times New Roman" w:hAnsi="Times New Roman"/>
          <w:b/>
          <w:i/>
          <w:color w:val="000000"/>
          <w:sz w:val="20"/>
        </w:rPr>
        <w:t>We have limited experience in therapeutic discovery and development and our GEODe</w:t>
      </w:r>
      <w:r>
        <w:rPr>
          <w:rFonts w:ascii="Times New Roman" w:hAnsi="Times New Roman"/>
          <w:b/>
          <w:i/>
          <w:color w:val="000000"/>
          <w:sz w:val="10"/>
        </w:rPr>
        <w:t xml:space="preserve"> </w:t>
      </w:r>
      <w:r>
        <w:rPr>
          <w:rFonts w:ascii="Times New Roman" w:hAnsi="Times New Roman"/>
          <w:b/>
          <w:i/>
          <w:color w:val="000000"/>
          <w:sz w:val="20"/>
        </w:rPr>
        <w:t>platform may never result in the regulatory approval of a product candidate.</w:t>
      </w:r>
      <w:r>
        <w:rPr>
          <w:rFonts w:ascii="Times New Roman" w:hAnsi="Times New Roman"/>
          <w:color w:val="000000"/>
          <w:sz w:val="10"/>
        </w:rPr>
        <w:t xml:space="preserve"> </w:t>
      </w:r>
    </w:p>
    <w:p>
      <w:pPr>
        <w:pStyle w:val="TextBody"/>
        <w:bidi w:val="0"/>
        <w:spacing w:lineRule="auto" w:line="360" w:before="120" w:after="283"/>
        <w:jc w:val="left"/>
        <w:rPr>
          <w:rFonts w:ascii="Times New Roman" w:hAnsi="Times New Roman"/>
          <w:sz w:val="10"/>
        </w:rPr>
      </w:pPr>
      <w:r>
        <w:rPr>
          <w:rFonts w:ascii="Times New Roman" w:hAnsi="Times New Roman"/>
          <w:color w:val="000000"/>
          <w:sz w:val="20"/>
        </w:rPr>
        <w:t>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w:t>
      </w:r>
      <w:r>
        <w:rPr>
          <w:rFonts w:ascii="Times New Roman" w:hAnsi="Times New Roman"/>
          <w:color w:val="000000"/>
          <w:sz w:val="10"/>
        </w:rPr>
        <w:t xml:space="preserve"> </w:t>
      </w:r>
      <w:r>
        <w:rPr>
          <w:rFonts w:ascii="Times New Roman" w:hAnsi="Times New Roman"/>
          <w:color w:val="000000"/>
          <w:sz w:val="20"/>
        </w:rPr>
        <w:t>discovery platform has been the focus of technology development efforts since our inception in 2019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w:t>
      </w:r>
      <w:r>
        <w:rPr>
          <w:rFonts w:ascii="Times New Roman" w:hAnsi="Times New Roman"/>
          <w:color w:val="000000"/>
          <w:sz w:val="1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early in our development efforts. If we are unable to advance TX45, TX2100 or any of our other product candidates through clinical development, obtain regulatory approval and ultimately commercialize TX45, TX2100 or any of our other product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sale and our lead product candidates, TX45 and TX2100, will require clinical development, regulatory review and approval in each jurisdiction in which we intend to market them, access to sufficient commercial manufacturing capacity, and significant sales and marketing efforts before we can generate any revenue from product sales.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Phase 2 clinical trials and TX2100 is currently in a Phase 1a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product revenues, which we do not expect will occur in the foreseeable future, if ever, will depend heavily on the successful development and eventual commercialization of TX45, TX2100 and any future product candidates we develop, which may never occur. TX45, TX2100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preclinical studies and clinical trials for which the FDA, or any comparable foreign regulatory authority agrees with the design, endpoints or implementation;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sufficiency of our financial and other resources to complete the necessary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regulatory approvals or authorizations for conducting our planned clinical trials or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and successful patient enrollment in, and completion of, additional clinical trials on a timely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 is safe, pure, and potent for its targeted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receipt of marketing approvals for our product candidates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scaling up, either alone or with third-party manufacturers, manufacturing capabilities of clinical supply for our clinical trials and commercial manufacturing, if any of our product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proprietary information protection or regulatory exclusivity for our product candidates,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scaling a sales and marketing organization and launching commercial sales of our product candidates, if approved;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our product candidates’ benefits and uses, if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our product candidates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companies developing and commercializing other therapies in the indications which our product candidates target;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from third-party payors;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and defending intellectual property rights and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successful with respect to one or more of these factors in a timely manner or at all, we could experience significant delays or an inability to successfully commercialize TX45, TX2100 or any future product candidates we develop, which would materially harm our business. If we do not receive marketing approvals for our current and future product candidates, we may not be able to continue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TX2100 or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completed the Phase 1a trial in normal healthy volunteers and Phase 1b in patients with Group 2 Pulmonary Hypertension associated with HFrEF and HFpEF for TX45. We may experience delays in our ongoing clinical trials or preclinical studies. Additionally, we do not know whether planned clinical trials will begin on time, need to be redesigned, enroll patients on time, have sufficient drug supply for our product candidates on a timely basis or be completed on schedule, if at all. Furthermore, our product candidate TX2100 is currently in a Phase 1a trial.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TX2100 or any future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regulatory authorizations to commence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as to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reach agreement on acceptable terms with prospective CROs and clinical trial sites, the terms of which can be subject to extensive negotiation and may vary significantly among different CROs and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institutional review board (“IRB”) approval at each site or positive ethics committee opinions;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recruit a sufficient number of suitable patients to participate in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have patients complete a trial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adding new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manufacture sufficient quantities of our product candidates for use in clinical trials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clinical trials in accordance with the FDA’s or any other regulatory authority’s good clinical practices (“GCP”) requirements, or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demonstrate to the satisfaction of the FDA or any comparable foreign regulatory authority that the applicable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approval of competing product candidates currently under investigation for the treatment of similar diseases or conditions, or competing clinical trials for similar product candidates, similar mechanisms of action or targeting patient populations meeting our patient eligibility criteria;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policies and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third-party research contractors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establishing the appropriate dosage levels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quality or stability of our product candidates falling below acceptable standards;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also encounter delays if a clinical trial is suspended or terminated by us, the IRBs or ethics committees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 </w:t>
      </w:r>
    </w:p>
    <w:p>
      <w:pPr>
        <w:pStyle w:val="TextBody"/>
        <w:bidi w:val="0"/>
        <w:spacing w:before="240" w:after="283"/>
        <w:jc w:val="left"/>
        <w:rPr>
          <w:rFonts w:ascii="Times New Roman" w:hAnsi="Times New Roman"/>
          <w:sz w:val="20"/>
        </w:rPr>
      </w:pPr>
      <w:r>
        <w:rPr>
          <w:rFonts w:ascii="Times New Roman" w:hAnsi="Times New Roman"/>
          <w:b/>
          <w:i/>
          <w:color w:val="000000"/>
          <w:sz w:val="20"/>
        </w:rPr>
        <w:t>Our clinical trials may fail to demonstrate substantial evidence of the safety, efficacy, purity and potency of our product candidates or any future product candidates, which would prevent or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market and sell any of our product candidates, including TX45, TX2100 and any other future product candidates, we must demonstrate through extensive preclinical studies and clinical trials that our biologic products, including TX45 and TX2100, are safe and effective for use in each targeted indication. Clinical testing is expensive and can take many years to complete, and its outcome is inherently uncertain. For example, during clinical development our product candidates may fail to meet the expected shelf-life due to unforeseen stability or other technical issues at suppliers, which would prevent or delay or limit the scope of clinical development, regulatory approval, and commercialization.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TX2100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TX2100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or comparable foreign regulatory approval. Any such setbacks in our clinical development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product candidate TX45 has been generally well tolerated in its preclinical studies, the Phase 1a healthy volunteer trial and our Phase 1b trial in patients with Group 2 PH to date, the results from future preclinical studies and clinical trials, including any of our other product candidates, may identify safety concerns or other undesirable properties of our product candidates.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results of our ongoing Phase 2 clinical trials of TX45 and/or our ongoing Phase 1a trial of TX2100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product candidates receive marketing approval and we or others later identify undesirable or unacceptable side effects caused by such products,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vary or suspend approvals of such product and require us to take such approved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a contraindication or field alerts to physicians and pharmacies;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or a comparable foreign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conduct additional clinical trials or change the labeling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find it difficult to enroll patients in our clinical trials, which could delay or prevent us from proceeding with, or otherwise adversely affect, clinical trials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the Russia-Ukraine conflict on our clinical trial sites in Eastern Europe, including Ukraine;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obtaining, or the inability to obtain, required approvals from IRBs and positive ethics committee opinions or other governing entities at clinical trial sites selected for participation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agreement on acceptable terms with clinical trial sites on clinical budgets and/or clinical trial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deviations from the trial protocol by clinical trial sites and investigators, or failures to conduct the trial in accordance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and nature of the patient population and process for identifying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and exclusion criteria for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safety profile, to date,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our approach;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competing product candidates currently under investigation for the treatment of similar diseases or conditions, or competing clinical trials for similar product candidates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degree of progression of the patient’s disease at the time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obtain and maintain patient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that enrolled patients will drop out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adequately monitor patients during and after treatment.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our future clinical trials, which could prevent completion of these trials and adversely affect our ability to advance the development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commence clinical trials for any product candidate, we must complete extensive preclinical studies that support any future IND applications in the United States, or similar applications in other jurisdictions. In July 2024, we received clearance from the FDA for our IND application for our TX45 program. In January 2026, we received clearance from Australia to commence the Phase 1a study with TX2100. In August 2026, we received clearance from the FDA for our IND application for TX2100 for the treatment of HHT.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a Phase 1a clinical trial for TX2100 and Phase 2 clinical trials for TX45,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The regulatory approval processes of the FDA and comparable foreign regulatory authorities are lengthy, time-consuming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pure and potent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may not be sufficiently broad or representative to assure safety or efficacy in the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clinical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require additional preclinical studies or clinical trials beyond those that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Biologics License Application (“BLA”) as applicable, to the FDA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any comparable foreign regulatory authorities or the laws they enforce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The FDA and any comparable foreign regulatory authorities may not accept data from trials conducted in locations outside of their jurisdiction.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presently conducting clinical development in the United States, Eastern Europe, the European Union </w:t>
      </w:r>
      <w:r>
        <w:rPr>
          <w:rFonts w:ascii="Times New Roman" w:hAnsi="Times New Roman"/>
          <w:color w:val="231F20"/>
          <w:sz w:val="20"/>
        </w:rPr>
        <w:t>(“EU”)</w:t>
      </w:r>
      <w:r>
        <w:rPr>
          <w:rFonts w:ascii="Times New Roman" w:hAnsi="Times New Roman"/>
          <w:color w:val="000000"/>
          <w:sz w:val="20"/>
        </w:rPr>
        <w:t xml:space="preserve"> and Asia-Pacific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means. Additionally, the FDA’s clinical trial requirements, including the adequacy of the patient population studied and statistical powering, must be met. Similar requirements and considerations apply abroad.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Practices (“CGMPs”) and GCP requirements for any clinical trials that we conduct post-approval.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Similar risks apply abroad as foreign regulatory authorities have comparable authority.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comparable foreign regulatory authorities to approve pending applications or supplements to approved applications filed by us or suspension or revocation of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FDA and foreign regulatory authorities strictly regulate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labeling. Comparable rules apply in foreign countries. </w:t>
      </w:r>
      <w:r>
        <w:rPr>
          <w:rFonts w:ascii="Times New Roman" w:hAnsi="Times New Roman"/>
          <w:color w:val="231F20"/>
          <w:sz w:val="20"/>
        </w:rPr>
        <w:t xml:space="preserve">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w:t>
      </w:r>
      <w:r>
        <w:rPr>
          <w:rFonts w:ascii="Times New Roman" w:hAnsi="Times New Roman"/>
          <w:color w:val="000000"/>
          <w:sz w:val="20"/>
        </w:rPr>
        <w:t xml:space="preserve">Applicable laws require that promotional materials and advertising in relation to medicinal products comply with the product’s Summary of Product Characteristics (“SmPC”), which may require approval by the competent national authorities in connection with a marketing authorization. The SmPC is the document that provides information to physicians </w:t>
      </w:r>
      <w:r>
        <w:rPr>
          <w:rFonts w:ascii="Times New Roman" w:hAnsi="Times New Roman"/>
          <w:color w:val="231F20"/>
          <w:sz w:val="20"/>
        </w:rPr>
        <w:t>and other healthcare professionals</w:t>
      </w:r>
      <w:r>
        <w:rPr>
          <w:rFonts w:ascii="Times New Roman" w:hAnsi="Times New Roman"/>
          <w:color w:val="000000"/>
          <w:sz w:val="20"/>
        </w:rPr>
        <w:t xml:space="preserve"> concerning the safe and effective use of the product. Promotional activity that does not comply with the SmPC is considered off-label and is prohibited in the EU.</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 of a BLA or a foreign marketing authorization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For instance, the regulatory landscape related to clinical trials in the EU evolved. The EU Clinical Trials Regulation (“CTR”), which was adopted in April 2014 and repeals the EU Clinical Trials Directive, became applicable on January 31, 2022. The CTR introduces, among other changes, a centralized application system, coordinated review procedures, expanded reporting and increased transparency obligations. The CTR foresaw a three-year transition period that ended on January 30, 2025. Since this date, all new or ongoing trials are subject to the provisions of the CTR. Compliance with the CTR requirements by us and our third-party service providers, such as CROs, may impact our development plans.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addition, on December 11, 2025, the European Commission, the Parliament and the European Council reached a provisional agreement on a comprehensive overhaul of EU pharmaceutical legislation (the “Pharma Package”). The reform has been under negotiation since the European Commission submitted its proposal in April 2023. The package, which consists of a new directive and a new regulation to replace existing legislation, aims to modernize the EU framework. The provisional agreement is still subject to formal approval by the European Parliament and Council. If approved in the form proposed, the Pharma Package will, among other changes, reduce the baseline market protection period by one year;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If approved, our investigational products may face competition from biosimilars approved through an abbreviated regulatory pathway.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developing TX45 initially for the treatment of Group 2 PH in HFpEF, and for the treatment of PH-ILD, which we anticipate will be regulated as a biological product. We are also developing TX2100 for the treatment of HHT,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competitors are able to obtain marketing approval for biosimilars referencing our products, our products may become subject to competition from such biosimilars, with the attendant competitive pressure and consequences.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products due to negative public perception;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or difficulties in recruiting new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or settle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revenues from product sales;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of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 events described above occur, this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Due to our limited resources and access to capital, we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portfolio,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candidates TX45 and TX2100, our business, financial condition and results of operations could be materially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orphan drug designation for product candidates we develop,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the European Commission grants orphan designation after receiving the opinion of the European Medicines Agency’s (“EMA”) Committee for Orphan Medicinal Products on an orphan designation application. Regulation (EC) No. 141/2000, as implemented by Regulation (EC) No. 847/2000 provides that a medicinal product can be designated as an orphan medicinal product by the European Commission if its sponsor can establish that: (1) the product is intended for the diagnosis, prevention or treatment of life-threatening or chronically debilitating conditions; (2)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(3) there exists no satisfactory authorized method of diagnosis, prevention, or treatment of the condition that has been authorized in the EU, or even if such method exists, the product will be of significant benefit to those affected by that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Orphan medicinal product designation entitles an applicant to incentives such as fee reductions or fee waivers, protocol assistance, and access to the centralized marketing authorization procedure. The period of market exclusivity is ten years during which the EMA cannot accept another marketing authorization application or accept an application to extend for a similar product and the European Commission cannot grant a marketing authorization for the same indication for a period of ten years. The period of market exclusivity may be extended by two years for orphan medicinal products that have also complied with an agreed Pediatric Investigation Plan. No extension to any supplementary protection certificate can be granted on the basis of pediatric studies for orphan indications. The period of market exclusivity may, however, be reduced to six years if, at the end of the fifth year, it is established that the product no longer meets the criteria on the basis of which it received orphan medicinal product designation,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 marketing authorization may be granted to a similar medicinal product with the same orphan indication during the 10-year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Although we have received Fast Track designation for TX2100 for the treatment of HHT, we may be unable to obtain or maintain the benefits associated with such designation.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2026, we were granted FDA Fast Track designation for TX2100 for the treatment of HHT. If a product is intended for the treatment of a serious or life-threatening condition and demonstrates the potential to address unmet medical needs for this condition, the sponsor may apply for FDA Fast Track designation for a particular indication. BLAs submitted for Fast Track designated products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successfully commercialize any product candidate for which we receive regulatory approval,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successful in obtaining marketing approval from applicable regulatory authorities for TX45, TX2100 or any other product candidate, our ability to generate revenues from any such products will depend on our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commercial sales of such products,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approved labels with claims that are necessary or desirable for successful marketing, and that do not contain safety or other limitations that would impede our ability to market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creating market demand for such products through marketing, sales and promotion activities;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p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hiring, training, and deploying a sales force or contracting with third parties to commercialize such products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creating strategic collaborations with, or offering licenses to, third parties to promote and sell such products in foreign markets where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such products (i) in sufficient quantities, (ii) at acceptable quality and cost and (iii) in a presentation that is practical and compatible with the intended clinical use to meet commercial demand at launch and thereafter;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agreements with wholesalers, distributors, and group purchasing organizations on commercially reasonable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patent and trade secret protection and regulatory exclusivity for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market acceptance of such products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coverage and adequate reimbursement from third-party payors for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to pay out-of-pocket in the absence of such coverage and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such products following launch.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we are not able to do any of the foregoing, our business, financial condition, results of operations, stock price and prospects will be materially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compete in the segments of the biotechnology, pharmaceutical and other related industries that develop and market therapies for the treatment of Group 2 PH, Group 3 PH-ILD, and HHT disorders. Although there are no other companies who have commercialized therapies for Group 2 PH or HHT, there are many other companies, including large biotechnology and pharmaceutical companies, that are developing therapies for these therapeutic areas. For example, Merck and Tenax Therapeutics for the treatment of Group 2 PH and Diagonal Therapeutics, Atavistik, Terremoto, Vaderis Therapeutics and Alnylam Pharmaceuticals for the treatment of HHT. For PH-ILD, United Therapeutics has commercialized therapies, while Insmed, Gossamer, Pulmovant, Halo Biosciences and Foresee Pharmaceuticals are developing therapies. In addition, in January 2025, Eli Lilly terminated its Phase 2 trial of volenrelaxin, and in February 2026 AstraZeneca announced its Phase 2 clinical trial with AZD3427 for Group 2 PH was discontinued due to lack of efficacy. AstraZeneca is also developing AZD5462, an oral RXFP1 agonist targeting the same relaxin pathway, which completed a Phase 2b trial in patients with chronic heart failure in February 2026, with evidence of efficacy in patients with HFrEF and evidence of sustained hemodynamic effects in patients with HFpEF, which may have affected investor perception of relaxin product candidates in general. </w:t>
      </w:r>
    </w:p>
    <w:p>
      <w:pPr>
        <w:pStyle w:val="TextBody"/>
        <w:bidi w:val="0"/>
        <w:jc w:val="left"/>
        <w:rPr>
          <w:rFonts w:ascii="Times New Roman" w:hAnsi="Times New Roman"/>
          <w:color w:val="000000"/>
          <w:sz w:val="20"/>
        </w:rPr>
      </w:pPr>
      <w:r>
        <w:rPr>
          <w:rFonts w:ascii="Times New Roman" w:hAnsi="Times New Roman"/>
          <w:color w:val="000000"/>
          <w:sz w:val="20"/>
        </w:rPr>
        <w:br/>
        <w:t xml:space="preserve">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pPr>
      <w:r/>
    </w:p>
    <w:p>
      <w:pPr>
        <w:pStyle w:val="TextBody"/>
        <w:bidi w:val="0"/>
        <w:jc w:val="left"/>
        <w:rPr>
          <w:rFonts w:ascii="Times New Roman" w:hAnsi="Times New Roman"/>
          <w:color w:val="000000"/>
          <w:sz w:val="20"/>
        </w:rPr>
      </w:pPr>
      <w:r>
        <w:rPr>
          <w:rFonts w:ascii="Times New Roman" w:hAnsi="Times New Roman"/>
          <w:color w:val="000000"/>
          <w:sz w:val="20"/>
        </w:rPr>
        <w:t xml:space="preserve">able to recover our research and development and commercialization expenses. If we or our product candidates do not compete effectively, it may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train and retain adequate numbers of effective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or educate adequate numbers of physicians on the benefits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sales and marketing organization;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marketing and promotion above those anticipated by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physicians, hospitals and patients considering our product candidates as a safe and effective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or comparable foreign regulatory authorities;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p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by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our product candidates in relation to other potentially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our product candidates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upfront costs or training required for physicians to administer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coverage and adequate reimbursement from third-party payors and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patients to pay out-of-pocket in the absence of comprehensive coverage and reimbursement by third-party payors and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relative convenience and ease of administration, including as compared to alternative treatments and competitive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sales and marketing efforts and distribution support;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presence or perceived risk of potential product liability claims.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reform may negatively impact our ability to profitably sell TX45, TX2100 and any potential future product candidates,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TX2100 or any potential future product candidates, restrict or regulate post-approval activities and affect our ability to profitably sell any product for which we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2010, the ACA was enacted, which includes measures that have significantly changed the way health care is financed by both governmental and private insurers. There have been executive, judicial and congressional challenges and amendments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120" w:after="283"/>
        <w:jc w:val="left"/>
        <w:rPr>
          <w:rFonts w:ascii="Times New Roman" w:hAnsi="Times New Roman"/>
          <w:sz w:val="20"/>
        </w:rPr>
      </w:pPr>
      <w:r>
        <w:rPr>
          <w:rFonts w:ascii="Times New Roman" w:hAnsi="Times New Roman"/>
          <w:color w:val="000000"/>
          <w:sz w:val="20"/>
        </w:rPr>
        <w:t>The current administration is pursuing policies to reduce regulations and expenditures across government agencies including at the U.S. Department of Health and Human Services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(TrumpRx), U.S. patients and Medicaid programs prescription drug Most-Favored-Nation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Most-Favored-Nation pricing, lower government subsidies to private insurance companies, increase healthcare price transparency, expand pharmaceutical drugs available for over-the-counter purchase, and enact restrictions on pharmacy benefit manager payment methodologies, among other things. As part of these initiatives, the administration is implementing or considering various CMS Center for Medicare and Medicaid Innovation models, under which manufacturers may owe rebates for certain prescription drugs under Medicaid or Medicare if the price of a drug included in an applicable model exceeds an international benchmark calculated based on prices available in certain reference countries. These include the finalized Global Benchmark for Efficient Drug Pricing Model (“GLOBE”) Model for certain Medicare Part B drugs; and the proposed Guarding United States Medicare Against Rising Drug Costs (“GUARD”) Model for certain Medicare Part D drugs.</w:t>
      </w:r>
      <w:r>
        <w:rPr>
          <w:rFonts w:ascii="Times New Roman" w:hAnsi="Times New Roman"/>
          <w:color w:val="000000"/>
          <w:sz w:val="20"/>
          <w:u w:val="single"/>
        </w:rPr>
        <w:t xml:space="preserve"> </w:t>
      </w:r>
      <w:r>
        <w:rPr>
          <w:rFonts w:ascii="Times New Roman" w:hAnsi="Times New Roman"/>
          <w:color w:val="000000"/>
          <w:sz w:val="20"/>
        </w:rPr>
        <w:t xml:space="preserve">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reforms could have an adverse effect on anticipated revenue from TX45, TX2100 and any potential future product candidates that we may successfully develop and for which we may obtain regulatory approval and may affect our overall financial condition and ability to develop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countries implement health technology assessment (“HTA”) procedures that use formal economic metrics such as cost-effectiveness to determine prices, coverage and reimbursement of new therapies. These assessments are increasingly implemented in established and emerging markets.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the EU, Regulation (EU) 2021/2282 on Health Technology Assessment, entered into application on January 12, 2025, through a phased implementation. The Regulation intended to increase cooperation among EU Member States in assessing clinical aspects of health technologies, including new medicinal products. The Regulation establishes a framework for joint clinical assessments, joint scientific consultations, and the early identification of emerging health technologies. The Regulation permits EU member states to use common HTA tools, methodologies and procedures and requires them to rely on EU-level joint clinical assessment reports for the clinical components of their national HTA evaluations. Each EU member state will, however, remain exclusively competent for assessing non</w:t>
        <w:noBreakHyphen/>
        <w:t xml:space="preserve">clinical aspects, such as economic, ethical, and social considerations, and for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w:t>
      </w:r>
    </w:p>
    <w:p>
      <w:pPr>
        <w:pStyle w:val="TextBody"/>
        <w:bidi w:val="0"/>
        <w:spacing w:before="240" w:after="283"/>
        <w:jc w:val="left"/>
        <w:rPr>
          <w:rFonts w:ascii="Times New Roman" w:hAnsi="Times New Roman"/>
          <w:sz w:val="20"/>
        </w:rPr>
      </w:pPr>
      <w:r>
        <w:rPr>
          <w:rFonts w:ascii="Times New Roman" w:hAnsi="Times New Roman"/>
          <w:b/>
          <w:i/>
          <w:color w:val="000000"/>
          <w:sz w:val="20"/>
        </w:rPr>
        <w:t>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at the FDA and other agencies (including layoffs) may also slow the time necessary for new product candidates to be reviewed and/or approved by necessary government agencies, which would adversely affect our business. For example, many staff members from the FDA and other agencies have recently been laid off. If a prolonged government shutdown or disruption continues or occurs in the future, it could significantly impact the ability of the FDA to timely review and process our regulatory submissions, which could have a material adverse effect on our business. Further, future government shutdowns and/or disruptions could impact our ability to access the public markets and obtain necessary capital in order to properly capitalize and continue our operation.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sz w:val="20"/>
        </w:rPr>
      </w:pPr>
      <w:r>
        <w:rPr>
          <w:rFonts w:ascii="Times New Roman" w:hAnsi="Times New Roman"/>
          <w:b/>
          <w:i/>
          <w:color w:val="000000"/>
          <w:sz w:val="20"/>
        </w:rPr>
        <w:t>Our relationships with healthcare providers, customers and third-party payors will be subject to applicable anti-kickback, fraud and abuse, transparency and other healthcare laws and regulations, and our employees, principal investigators, consultants, and commercial partners may engage in misconduct or other improper activities, including non-compliance with regulatory standards and requirements and insider trading; any violation of these laws and regulations or any such misconduct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and foreign anti-kickback and false claims laws, which may apply to sales or marketing arrangements and claims involving healthcare items or services reimbursed by non-governmental third-party payors, including private insurers; state and local laws that require certain regulatory licenses to manufacture or distribute products commercially and/or the registration of pharmaceutical sales representatives in the jurisdiction; state and foreign laws that require pharmaceutical companies to comply with the pharmaceutical industry’s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pricing;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could be materially and adversely affected in the future by political unrest 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possibility of product supply disruption and increased costs in the event of changes in the policies, laws, rules and regulations of the United States or Chinese governments, as well as political unrest or unstable economic conditions in China, because our key manufacturer and supplier for TX45 is located in China. For example, trade tensions between the United States and China have been escalating in recent years. The U.S. government has indicated its intent to adopt a new approach to trade policy and in some cases to renegotiate, or potentially terminate, certain existing bilateral or multi-lateral trade agreements. For example, in April 2025, the U.S. government announced a new universal baseline tariff of 10%, plus additional country-specific tariffs for select trading partners, on all U.S. imports. The ultimate impact of any tariffs will depend on various factors, including how long such tariffs remain in place, the ultimate levels and application of such tariffs and the extent to which other countries impose retaliatory tariffs. In addition, these newly proposed and imposed tariffs have resulted in threatened and actual retaliatory tariffs against U.S. goods.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materials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“biotechnology company of concern” (“BCC”), entering into, extending, or renewing government contracts with an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entity that directly or indirectly uses biotechnology equipment or services from a BCC in performance of a federal contract, and issuing grants or loans to entities to purchase, obtain, or use biotechnology equipment or services produced or provided by a BCC. Companies designated as a BCC include those that are identified on the U.S. Department of Defense’s annual List of Chinese Military Companies, also known as the 1260H List. In addition, the U.S. Government has the ability to designate entities as BCCs through a separate designation process. There is a “safe harbor” provision providing that the restrictions do not apply to equipment or services that were formerly but are no longer provided by a BCC, as well as a “grandfathering” provision providing that the prohibitions do not apply for a five-year period to biotechnology equipment or services produced or provided under a contract or agreement entered into before the applicable effective date. It is unclear whether the grandfathering provision would apply to entities designated as BCCs due to their inclusion on the 1260H List. The guidance to be issued by the Office of Management and Budget regarding implementation of the BIOSECURE Act may provide further clarity on this point. The BIOSECURE Act, and any other similar laws that may be passed, could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For example, WuXi Biologics (Hong Kong) Limited (“WuXi Biologics”) manufactured TX45 for use in our Phase 1a, Phase 1b and Phase 2 clinical trials. We currently have a sole source relationship with WuXi Biologics for our supply of TX45.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or future tariffs will result in increased research and development expenses, including with respect to increased costs associated with active pharmaceutical ingredients,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w:t>
      </w:r>
    </w:p>
    <w:p>
      <w:pPr>
        <w:pStyle w:val="TextBody"/>
        <w:bidi w:val="0"/>
        <w:jc w:val="left"/>
        <w:rPr>
          <w:rFonts w:ascii="Times New Roman" w:hAnsi="Times New Roman"/>
          <w:sz w:val="20"/>
        </w:rPr>
      </w:pPr>
      <w:r>
        <w:rPr>
          <w:rFonts w:ascii="Times New Roman" w:hAnsi="Times New Roman"/>
          <w:b/>
          <w:i/>
          <w:color w:val="000000"/>
          <w:sz w:val="20"/>
        </w:rPr>
        <w:t>General supply chain issues may be exacerbated during disease outbreaks, epidemics and pandemics and may also impact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pPr>
      <w:r/>
    </w:p>
    <w:p>
      <w:pPr>
        <w:pStyle w:val="TextBody"/>
        <w:bidi w:val="0"/>
        <w:jc w:val="left"/>
        <w:rPr>
          <w:rFonts w:ascii="Times New Roman" w:hAnsi="Times New Roman"/>
          <w:sz w:val="20"/>
        </w:rPr>
      </w:pPr>
      <w:r>
        <w:rPr>
          <w:rFonts w:ascii="Times New Roman" w:hAnsi="Times New Roman"/>
          <w:b/>
          <w:i/>
          <w:color w:val="000000"/>
          <w:sz w:val="20"/>
        </w:rPr>
        <w:t>ability of our clinical trial sites to obtain basic medical supplies used in our trials in a timely fashion,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CDMOs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or TX2100 on our anticipated development timelines. Likewise, the operations of our third-party manufacturers may be requisitioned, diverted or allocated by U.S. or foreign government orders. If any of our CDMOs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expectations or the treatment population is narrowed by competition, physician choice or treatment guidelines, we may not generate significant revenue from sales of such products, even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approval to market TX45, TX2100 or other potential future product candidates, these products may become subject to unfavorable pricing regulations, reimbursement practices from third-party payors or healthcare reform initiatives in the United States and abroad, which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For example, HHS imposes rebates on many Medicare Part B and Medicare Part D products to penalize price increases that outpace inflation.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available or reimbursement is available only to limited levels, we and our partners may not be able to successfully commercialize any product candidate for which marketing approval is obtained. </w:t>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success depends in part on our ability to protect our intellectual property. It is difficult and costly to protect our proprietary rights and technology, and we may not be able to ensure their protection.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will depend in large part on obtaining and maintaining patent, trademark and trade secret protection of our proprietary technologies and our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In addition, we cannot guarantee that patent applications or patents that we initially believe to be owned by the company will not be encumbered by third party ownership or other third party rights that may not have been evident to us at the time of preparation or filing.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contractors with current or previous relationships with such third parties. Therefore, these patents and applications may not be prepared, filed, prosecuted or enforced in a manner consistent with the best interests of our business. Furthermore, licenses from such third parties may be required or desirable but may not be available on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 Patent and Trademark Office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our patents that cover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will/will not be viewed in the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has and will continue to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it is still developing its case law,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or use compounds or cells that are similar to the biological compositions of our product candidates but that are not covered by the claims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active biological ingredients in our current product candidates will eventually become commercially available in biosimilar drug products, and no patent protection may be available with regard to formulation or method of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as the case may be, may fail to meet our obligations to the U.S. government in regards to any in-licensed patents and patent applications funded by U.S. government grants, leading to the loss of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as the case may be, might not have been the first to file patent applications for these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will not result in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prior public disclosures that could invalidate our licensors’ patents, as the case may be, or parts of our or their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others may circumvent our owned or in-licensed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unpublished applications or patent applications maintained in secrecy that may later issue with claims covering our products or technology similar to our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foreign countries may not protect our or our licensors’, as the case may be, proprietary rights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our owned or in-licensed issued patents or patent applications, if and when issued, may not cover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owned or in-licensed issued patents may not provide us with any competitive advantages, may be narrowed in scope, or be held invalid or unenforceable as a result of legal challenges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 of our owned or in-licensed patents or patent applications may become involved with competitors, develop products or processes which design around our patents, or become hostile to us or the patents or patent applications on which they are named as inventors;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p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scientific collaborations in the past, and will continue to do so in the future. Such collaborators may develop adjacent or competing products to ours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for which we can obtain patent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product candidates we develop may be covered by third parties’ patents or other exclusive rights;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depend on intellectual property licensed from third parties and termination of any of these licenses could result in the loss of significant rights,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dependent on patents, know-how and proprietary technology, both our own and licensed from others including Harvard. Any termination of these licenses could result in the loss of significant rights and could harm our ability to commercialize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Disputes may also arise between us and our licensors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whether and the extent to which our technology and processes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patent and other rights to third parties under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our product candidates, and what activities satisfy those diligence obligations;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or ownership of inventions and know-how resulting from the joint creation or use of intellectual property by our licensors and us and our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our obligations under our patent licenses with a third party,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party to license agreements pursuant to which we in-license key patents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proprietary information,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including through contractual means with our employees and consultants, third parties may independently develop substantially equivalent proprietary information or otherwise gain access to, or disclose, our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 </w:t>
      </w:r>
    </w:p>
    <w:p>
      <w:pPr>
        <w:pStyle w:val="TextBody"/>
        <w:bidi w:val="0"/>
        <w:spacing w:before="240" w:after="283"/>
        <w:jc w:val="left"/>
        <w:rPr>
          <w:rFonts w:ascii="Times New Roman" w:hAnsi="Times New Roman"/>
          <w:sz w:val="20"/>
        </w:rPr>
      </w:pPr>
      <w:r>
        <w:rPr>
          <w:rFonts w:ascii="Times New Roman" w:hAnsi="Times New Roman"/>
          <w:b/>
          <w:i/>
          <w:color w:val="000000"/>
          <w:sz w:val="20"/>
        </w:rPr>
        <w:t>Third-party claims of intellectual property infringement may prevent or delay our product discovery and development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color w:val="000000"/>
          <w:sz w:val="20"/>
        </w:rPr>
        <w:t xml:space="preserve">inter partes </w:t>
      </w:r>
      <w:r>
        <w:rPr>
          <w:rFonts w:ascii="Times New Roman" w:hAnsi="Times New Roman"/>
          <w:color w:val="000000"/>
          <w:sz w:val="20"/>
        </w:rPr>
        <w:t xml:space="preserve">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third-party claims that we infringe its intellectual property rights, we may face a number of issues,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infringement and other intellectual property claims which, regardless of merit, may be expensive and time-consuming to litigate and may divert our management’s attention from our core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court prohibiting us from developing, manufacturing, marketing or selling our product candidates, or from using our proprietary technologies, unless the third party licenses its intellectual property rights to us, which it is not required to do;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license is available from a third party, we may have to pay substantial royalties, upfront fees and other amounts, and/or grant cross-licenses to intellectual property rights for its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redesigning our product candidates or processes so they do not infringe, which may not be possible or may require substantial monetary expenditures and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Generally, conducting clinical trials and other development activities in the United States is protected under the Safe Harbor exemption as set forth in 35 U.S.C. § 271. If and when TX45, TX2100 or another one of our product candidates is approved by the FDA, certain third parties may seek to enforce their patents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Lastly, we may need to indemnify our customers and distributors against claims relating to the infringement of intellectual property rights of third parties related to our product candidates, including TX45 and TX2100.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 </w:t>
      </w:r>
    </w:p>
    <w:p>
      <w:pPr>
        <w:pStyle w:val="TextBody"/>
        <w:bidi w:val="0"/>
        <w:spacing w:before="240" w:after="283"/>
        <w:jc w:val="left"/>
        <w:rPr>
          <w:rFonts w:ascii="Times New Roman" w:hAnsi="Times New Roman"/>
          <w:sz w:val="20"/>
        </w:rPr>
      </w:pPr>
      <w:r>
        <w:rPr>
          <w:rFonts w:ascii="Times New Roman" w:hAnsi="Times New Roman"/>
          <w:b/>
          <w:i/>
          <w:color w:val="000000"/>
          <w:sz w:val="20"/>
        </w:rPr>
        <w:t>Third parties may assert that our employees or consultants have wrongfully used or disclosed confidential information or misappropriated proprietary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we employ individuals who were previously employed at universities or other biopharmaceutical or pharmaceutical companies, including our competitors or potential competitors. In addition, we have used and continue to use consultants, advisors, and/or independent contractors with relationships with third parties, including institutions and/or other companies. We try to ensure that our employees, consultants, advisors, and/or independent contractors have the right to assign to us intellectual property generated during their engagement with us, and that they do not use the proprietary information or know-how of others in their work for us. Although no claims against us are currently pending, there is no guarantee that in the future we may not be subject to claims that we or our employees, consultants, advisors, or independent contractors have inadvertently or otherwise used or disclosed intellectual property, including trade secrets or other proprietary information, of a former employer or other third parties, or improperly assign intellectual property rights to us.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Uncertainties resulting from the initiation and continuation of patent litigation or other intellectual property related proceedings could adversely affect our ability to compete in the marketplace.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obtaining or maintaining necessary rights to develop any future product candidates on acceptable terms.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programs may involve additional product candidates that may require the use of proprietary rights held by third parties, the growth of our business may depend in part on our ability to acquire, in-license or use these proprietary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also require specific formulations to work effectively and efficiently and these rights may be held by others. We may develop products containing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involved in lawsuits related to our patents or the patents of our licensors,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proceedings provoked by third parties or brought by the USPTO may be necessary to determine the priority of inventions with respect to our patents or patent applications or those of our licensors. An unfavorable outcome could result in a loss of our current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Issued patents covering our product candidates could be found invalid or unenforceable if challenged in court or the USPTO.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or have exclusively in-licensed pending patent applications that relate to our proprietary technologies or our product candidates that if issued as patents are expected to expire from 2041 through 2045, without taking into account any possible patent term adjustments or extensions. However, we cannot be assured that the USPTO or relevant foreign patent offices will grant any of these patent applications.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patent law in the U.S. and in ex-U.S.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its 2023 decision in </w:t>
      </w:r>
      <w:r>
        <w:rPr>
          <w:rFonts w:ascii="Times New Roman" w:hAnsi="Times New Roman"/>
          <w:i/>
          <w:color w:val="000000"/>
          <w:sz w:val="20"/>
        </w:rPr>
        <w:t>Amgen v. Sanofi</w:t>
      </w:r>
      <w:r>
        <w:rPr>
          <w:rFonts w:ascii="Times New Roman" w:hAnsi="Times New Roman"/>
          <w:color w:val="000000"/>
          <w:sz w:val="20"/>
        </w:rPr>
        <w:t xml:space="preserve">, the Supreme Court held that a functionally-claimed genus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was invalid for failing to comply with the enablement requirement; and in the case of </w:t>
      </w:r>
      <w:r>
        <w:rPr>
          <w:rFonts w:ascii="Times New Roman" w:hAnsi="Times New Roman"/>
          <w:i/>
          <w:color w:val="000000"/>
          <w:sz w:val="20"/>
        </w:rPr>
        <w:t>Assoc. for Molecular</w:t>
      </w:r>
      <w:r>
        <w:rPr>
          <w:rFonts w:ascii="Times New Roman" w:hAnsi="Times New Roman"/>
          <w:color w:val="000000"/>
          <w:sz w:val="20"/>
        </w:rPr>
        <w:t xml:space="preserve"> </w:t>
      </w:r>
      <w:r>
        <w:rPr>
          <w:rFonts w:ascii="Times New Roman" w:hAnsi="Times New Roman"/>
          <w:i/>
          <w:color w:val="000000"/>
          <w:sz w:val="20"/>
        </w:rPr>
        <w:t xml:space="preserve">Pathology v. Myriad Genetics, Inc., </w:t>
      </w:r>
      <w:r>
        <w:rPr>
          <w:rFonts w:ascii="Times New Roman" w:hAnsi="Times New Roman"/>
          <w:color w:val="000000"/>
          <w:sz w:val="20"/>
        </w:rPr>
        <w:t xml:space="preserve">the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incur substantial costs as a result of litigation or other proceedings relating to patents, and we may be unable to protect our rights to our products and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another party questions the patentability of any of our claims in our owned or in-licensed U.S. patents, the third-party can request that the USPTO review the patent claims such as in an </w:t>
      </w:r>
      <w:r>
        <w:rPr>
          <w:rFonts w:ascii="Times New Roman" w:hAnsi="Times New Roman"/>
          <w:i/>
          <w:color w:val="000000"/>
          <w:sz w:val="20"/>
        </w:rPr>
        <w:t xml:space="preserve">inter partes </w:t>
      </w:r>
      <w:r>
        <w:rPr>
          <w:rFonts w:ascii="Times New Roman" w:hAnsi="Times New Roman"/>
          <w:color w:val="000000"/>
          <w:sz w:val="20"/>
        </w:rPr>
        <w:t xml:space="preserve">review, </w:t>
      </w:r>
      <w:r>
        <w:rPr>
          <w:rFonts w:ascii="Times New Roman" w:hAnsi="Times New Roman"/>
          <w:i/>
          <w:color w:val="000000"/>
          <w:sz w:val="20"/>
        </w:rPr>
        <w:t xml:space="preserve">ex parte </w:t>
      </w:r>
      <w:r>
        <w:rPr>
          <w:rFonts w:ascii="Times New Roman" w:hAnsi="Times New Roman"/>
          <w:color w:val="000000"/>
          <w:sz w:val="20"/>
        </w:rPr>
        <w:t xml:space="preserve">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An adverse determination in any such proceeding could reduce the scope of, or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the future, we may be involved in similar proceedings challenging the patent rights of others, and the outcome of such proceedings is highly uncertain. We may choose to challenge the patentability of claims in a third party’s U.S. patent by requesting that the USPTO review the patent claims in an </w:t>
      </w:r>
      <w:r>
        <w:rPr>
          <w:rFonts w:ascii="Times New Roman" w:hAnsi="Times New Roman"/>
          <w:i/>
          <w:color w:val="000000"/>
          <w:sz w:val="20"/>
        </w:rPr>
        <w:t xml:space="preserve">ex-parte </w:t>
      </w:r>
      <w:r>
        <w:rPr>
          <w:rFonts w:ascii="Times New Roman" w:hAnsi="Times New Roman"/>
          <w:color w:val="000000"/>
          <w:sz w:val="20"/>
        </w:rPr>
        <w:t xml:space="preserve">re-exam, </w:t>
      </w:r>
      <w:r>
        <w:rPr>
          <w:rFonts w:ascii="Times New Roman" w:hAnsi="Times New Roman"/>
          <w:i/>
          <w:color w:val="000000"/>
          <w:sz w:val="20"/>
        </w:rPr>
        <w:t xml:space="preserve">inter partes </w:t>
      </w:r>
      <w:r>
        <w:rPr>
          <w:rFonts w:ascii="Times New Roman" w:hAnsi="Times New Roman"/>
          <w:color w:val="000000"/>
          <w:sz w:val="20"/>
        </w:rPr>
        <w:t xml:space="preserve">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 </w:t>
      </w:r>
    </w:p>
    <w:p>
      <w:pPr>
        <w:pStyle w:val="TextBody"/>
        <w:bidi w:val="0"/>
        <w:spacing w:before="24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rely, and expect to continue to rely, on the use of manufacturing suites in third-party facilities or on third parties to manufacture TX45, TX2100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lease or own any facility that may be used as our clinical-scale manufacturing and processing facility and currently rely on CDMOs, including WuXi Biologics, to manufacture TX45 for use in our Phase 2 clinical trials. We currently have a sole source relationship with WuXi Biologics for our supply of TX45. If there should be any disruption in such supply arrangement or the supply arrangement with our CDMO for TX2100, including any adverse events affecting our sole supplier for TX45,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a product candidate. We perform periodic audits of each CDMO facility that supports our supply of TX45 and TX2100 and review and approve all TX45 and TX2100 CGMP-related documentation. We also have quality agreements with our CDMOs that document our mutual agreement on compliance with CGMPs and expectations on quality-required communications to us. Beyond this, we have no control over the ability of our CDMOs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CDMOs,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our CDMOs may experience manufacturing difficulties due to resource constraints, governmental restrictions or as a result of labor disputes or unstable political environments. Supply chain issues, including those resulting from public health crises such as disease outbreaks, epidemics and pandemics, as well as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BCC, entering into, extending, or renewing government contracts with an entity that directly or indirectly uses biotechnology equipment or services from a BCC in performance of a federal contract, and issuing grants or loans to entities to purchase, obtain, or use biotechnology equipment or services produced or provided by a BCC. Companies designated as a BCC include those that are identified on the U.S. Department of Defense’s annual List of Chinese Military Companies, also known as the 1260H List. In addition, the U.S. Government has the ability to designate entities as BCCs through a separate designation process. There is a “safe harbor” provision providing that the restrictions do not apply to equipment or services that were formerly but are no longer provided by a BCC, as well as a “grandfathering” provision providing that the prohibitions do not apply for a five-year period to biotechnology equipment or services produced or provided under a contract or agreement entered into before the applicable effective date. It is unclear whether the grandfathering provision would apply to entities designated as BCCs due to their inclusion on the 1260H List. The guidance to be issued by the Office of Management and Budget regarding implementation of the BIOSECURE Act may provide further clarity on this point. In addition to the BIOSECURE Act, any additional U.S. executive action, legislative action, or potential sanctions with China could materially impact our work with WuXi Biologics.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CDMO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CDMO and/or distribution partners are responsible for transporting temperature-controlled materials that can be inadvertently degraded during transport due to several factors, rendering certain batches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unsuitable for trial use for failure to meet, among others, our integrity and purity specifications. We and our CDMO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or a comparable foreign regulatory authority concludes that the financial relationship may have affected the interpretation of the preclinical study or clinical trial, the integrity of the data generated at the applicable preclinical study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 clinical trial site may be questioned and the utility of the preclinical study or clinical trial itself may be jeopardized, which could result in the delay or rejection by the FDA or a comparable foreign regulatory authority. Any such delay or rejection could prevent us from commercializing our clinical-stage product candidates or any future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collaborations will be important to our business. If we are unable to enter into new collaborations, or if these collaborations are not successful,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collaborations we enter into may pose a number of risks,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discovered in collaboration with ours may be viewed by our collaborators as competitive with their own product candidates or products, which may cause collaborators to cease to devote resources to the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fail to comply with applicable regulatory requirements regarding the development, manufacture, distribution or marketing of a product candidate or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and distribution rights to one or more of our product candidates that achieve regulatory approval may not commit sufficient resources to the marketing and distribution of such product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collaborator of ours is involved in a business combination, the collaborator might deemphasize or terminate the development or commercialization of any product candidate licensed to it by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by the collaborator, and, if terminated, we could be required to raise additional capital to pursue further development or commercialization of the applicable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one of our collaborators terminates its agreement with us, we may find it more difficult to attract new collaborators and our perception in the business and financial communities could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Nonclinical research requires the use of Non-Human Primates (“NHP”), the supply of which could delay or prevent development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Operations, Employee Matters and Managing Growth</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success depends on our ability to retain key executives and to attract, retain and motivate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sz w:val="20"/>
        </w:rPr>
      </w:pPr>
      <w:r>
        <w:rPr>
          <w:rFonts w:ascii="Times New Roman" w:hAnsi="Times New Roman"/>
          <w:b/>
          <w:i/>
          <w:color w:val="000000"/>
          <w:sz w:val="20"/>
        </w:rPr>
        <w:t>Business disruptions, including earthquakes, fires or other natural disasters affecting us or the third parties upon whom we depend, could seriously harm our future revenue and financial condition and increase our costs and expenses, and the absence or limited nature of our business continuity and disaster recovery plans could leave us inadequately protected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and those of our CROs, CDMOs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Failure to comply with health-related data protection laws and regulations could lead to government enforcement actions, including civil or criminal penalties, private litigation, and adverse publicity and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current and future collaborators are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information technology systems, or the information technology systems of our CROs, our CDMOs, service providers, our current and potential future partners or other third parties with whom we work fail or suffer security breaches, we could experience adverse consequences, including but not limited to material disruptions to our business operations and product development programs, regulatory investigations or actions, litigation, fines and penalties, reputational harm, loss of revenue or profits, or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with whom we work process certain of that information on our behalf.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and those of our current and any future collaborators and other contractors or consultants are vulnerable to damage from cyber-attacks, malicious internet-based activity, online and offline fraud, and other similar activities that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or misuse by personnel), credential stuffing, telecommunications failures, loss or theft of devices, data or other information technology assets, attacks enhanced or facilitated by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artificial intelligence (“AI”) technologies,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incidents may result from the actions of a wide variety of actors with a wide range of motives and expertise, including traditional hackers, our personnel or the personnel of the third parties with whom we work,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conduct our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Also,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functional areas of our workforce work remotely on a full- or part-time basis or otherwise utilize network connections, computers and devices outside of our premises or network, which imposes additional risks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In the future we may be required to or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 or industry-standard or reasonable security measures to protect our information technology systems and sensitive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If our information systems or data, or that of the third parties on which we rely, are compromised, it could interrupt our operations, disrupt our development programs and have a material adverse effect on our business, financial condition and results of operations, whether due to a loss of our trade secrets or other proprietary information or similar disruptions. For example, the loss or corruption of clinical trial data from completed or future clinical trials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applicable federal and/or state breach notification laws and foreign law equivalents and otherwise subject us to liability under applicable laws and regulations that protect the privacy and security of personal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Likewise, we rely on third parties for the manufacture of TX45 and TX2100,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notify relevant stakeholders,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contracts may not contain relevant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with whom we work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govern data privacy and security. For example, the European Union’s General Data Protection Regulation (“EU GDPR”),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including personal information from clinical trial participants and other individuals located in the European Economic Area (the “EEA”), the United Kingdom (the “UK”), or Switzerland. Companies that violate the EU or UK GDPR can face private litigation, regulatory investigations and enforcement actions, prohibitions on data processing, other administrative measures, reputational damage and fines of up to the greater of €20 million (£17.5 million under the UK GDPR) or 4% of their worldwide annual revenue.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have adopted, and may continue to adopt, similarly stringent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to relevant U.S.-based organizations that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 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Depending on how these laws are interpreted, we may have to make changes to our business practices and products to comply with such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other countries have enacted or are considering enacting similar cross-border data transfer restrictions and laws requiring local data residency, which could increase the cost and complexity of delivering our services and operating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For example, the California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Consumer Privacy Act (“CCPA”), as amended by the California Privacy Rights Act of 2020, applies to personal information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and other state privacy laws contain an exemption for certain personal information processed in connection with clinical trials, these developments further complicate compliance efforts, and increase legal risk and compliance costs for us and the third parties with whom we work.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U.S. Department of Justice issued a rule entitled the Preventing Access to U.S. Sensitive Personal Data and Government-Related Data by Countries of Concern or Covered Persons, which places additional restrictions on certain data transactions involving countries of concern (e.g., China, Russia, Iran) and covered persons (i.e., individuals and entities who are designated as such by the U.S. Attorney General or considered “foreign persons” and are majority owned by, organized under the laws of, primarily a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certain transactions or agreements with certain third parties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bound by contractual obligations and our efforts to comply with such obligations may not be successful. We publish privacy policies, marketing materials and other statements, such as compliance with certain certifications or self-regulatory principles,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obligations related to data privacy and security (and individuals’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use and provision of AI-powered solutions could lead to operational or reputational damage, competitive harm, legal and regulatory risk and additional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employees and personnel use AI technologies in the course of performing their work, and the disclosure and use of personal, confidential, or other proprietary data in AI technologies is subject to various laws and other obligations, including those related to third-party intellectual property, data privacy and information security, publicity, contractual or other rights. Governments have passed and are likely to pass additional laws regulating AI. Several jurisdictions around the globe, including Europe and certain U.S. states, have proposed, enacted, or are considering laws governing the development and use of AI technologies, such as the EU’s AI Act, the Colorado Artificial Intelligence Act, California Bot Disclosure Law, the Utah Artificial Intelligence Policy Act, and the CCPA regulations on automated decision-making technology.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or 7% of a company’s total worldwide annual turnover for the preceding financial year, whichever is the higher. Certain of our activities subject us to the EU AI Act and depending on how the EU AI Act is implemented and interpreted, we may have to adapt our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practices, contractual arrangements, and services to comply with such obligations. We expect other jurisdictions will adopt similar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use of this technology could result in additional compliance costs, regulatory investigations and actions, and lawsuits. If we are unable to use AI, it could make our business less efficient and result in competitive disadvantages. Our use of AI technologies and tools may inadvertently reduce our effectiveness and efficiency or cause unintentional or unexpected outputs that are incorrect, do not match our business goals, standards and values, do not comply with our policies or procedures, harm our brand and reputation, negatively impact consumers or merchants or otherwise interfere with the performance of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sensitive information of ours could be leaked, disclosed, or revealed as a result of or in connection with our employees’, personnel’s, or vendors’ use of AI technologies, including if sensitive information is used to train the third parties’ AI technology. Additionally, where an AI technology model ingests personal or sensitive data and makes connections using such data, those technologies may reveal other personal or sensitive information generated by the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cannot use AI technologies or that use is restricted, our business may be less efficient, or we may be at a competitive disadvantage.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U.S. and certain foreign anti-corruption laws and regulations, export and import controls, sanctions and embargoes. We could face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anti-corruption laws and regulations, including the Foreign Corrupt Practices Act of 1977, as amended (the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may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certainty that all of our employees, agents, suppliers, manufacturers, contractors or collaborators, or those of our affiliates,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Legislation or other changes in U.S. tax law could adversely affect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 </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U.S. net operating loss carryforwards and certain other U.S.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U.S. federal net operating loss carryforwards of $453.3 million. The amount of net operating loss carryforwards that we are permitted to deduct is limited to 80% of taxable income in each such taxable year to which the net operating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carryforwards are applied. In addition, our U.S. federal net operating losses and tax credits may be subject to limitations under Sections 382 and 383 of the Internal Revenue Code of 1986,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utilize our net operating loss carryforwards could be limited by an “ownership change” as described above, which could result in increased tax liability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Unstable market and economic conditions may have serious adverse consequences on our business, financial condition and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changes in financial accounting standards or practices may cause adverse and unexpected revenue fluctuations and adversely affect our reported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any CDMOs and suppliers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could be suspended,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comply with these laws, regulations and permitting requirements also may result in substantial fines, penalties or other sanctions or business disruption,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incur significantly increased costs as a result of operating as a public company, and our management will be required to devote substantial time to new compliance initiatives.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 rules and regulations to make it more difficult and more expensive for us to obtain director and officer liability insurance and we may be required to incur substantial costs to maintain our current levels of such coverage. </w:t>
      </w:r>
    </w:p>
    <w:p>
      <w:pPr>
        <w:pStyle w:val="TextBody"/>
        <w:bidi w:val="0"/>
        <w:spacing w:before="240" w:after="283"/>
        <w:jc w:val="left"/>
        <w:rPr>
          <w:rFonts w:ascii="Times New Roman" w:hAnsi="Times New Roman"/>
          <w:sz w:val="20"/>
        </w:rPr>
      </w:pPr>
      <w:r>
        <w:rPr>
          <w:rFonts w:ascii="Times New Roman" w:hAnsi="Times New Roman"/>
          <w:b/>
          <w:i/>
          <w:color w:val="000000"/>
          <w:sz w:val="20"/>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Failure to build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common stock has been and is likely to continue to be volatile and fluctuate substantially.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and preclinical studies of our product candidates, or those of our competitors or existing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financial and development projections we may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the financial and development projections of the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significant acquisitions, strategic collaborations,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product candidates, clinical studies,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securities or industry analysts do not publish research or reports about our business, or if they issue adverse or misleading opinions regarding our business and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or macroeconomic conditions or 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securities by us, the selling stockholders or other securityholders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raise an adequate amount of capital to fund our operations or continued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competitors of new commercial products, clinical progress or lack thereof, significant contracts, commercial relationships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relating to precision medicine product candidates, including with respect to other products in such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introduction of technological innovations or new therapies that compete with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results;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the results of hearings, motions or other interim proceedings or developments, which could have a negative effect on the market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Sales of our common stock or the perception of such sales, by us or selling stockholders, in the public market or otherwise, could cause the market price for our securities to decline, even though selling stockholders would still realize a profit on sales at lower prices. Resales of the securities offered may cause the market price of such securities to drop significantly, even if our business is doing well.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selling stockholders acquired securities at prices that are significantly less than the current trading price of our common stock. Accordingly, certain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we completed a private placement of our common stock and subsequently filed a registration statement registering the shares issued in the private placement for resale. Although a portion of these shares has been sold, the remaining shares may be resold at any time. Sales of these remaining shares, or the perception in the market that such sales may occur, could increase the volatility of the market price of our common stock or result in a significant decline in the public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common stock that is issued in connection with stock options and restricted stock units will also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Our executive officers, directors and principal stockholders have the ability to control or significantly influence all matters submitted to our stockholders for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number of shares outstanding as of September 30, 2026, our executive officers, directors and principal stockholders, in the aggregate, beneficially own approximately 35%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 </w:t>
      </w:r>
    </w:p>
    <w:p>
      <w:pPr>
        <w:pStyle w:val="TextBody"/>
        <w:bidi w:val="0"/>
        <w:spacing w:before="240" w:after="283"/>
        <w:jc w:val="left"/>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broad discretion in the use of our cash and cash equivalents and may invest or spend the proceeds in ways with which you do not agree and in ways that may not increase the value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Because we do not anticipate paying any cash dividends on our share capital in the foreseeable future, capital appreciation, if any, will be your sole source of gain.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appreciation, if any, of our common shares will be your sole source of gain for the foreseeable future. Investors seeking cash dividends should not purchase our shares. </w:t>
      </w:r>
    </w:p>
    <w:p>
      <w:pPr>
        <w:pStyle w:val="TextBody"/>
        <w:bidi w:val="0"/>
        <w:spacing w:before="240" w:after="283"/>
        <w:jc w:val="left"/>
        <w:rPr>
          <w:rFonts w:ascii="Times New Roman" w:hAnsi="Times New Roman"/>
          <w:sz w:val="20"/>
        </w:rPr>
      </w:pPr>
      <w:r>
        <w:rPr>
          <w:rFonts w:ascii="Times New Roman" w:hAnsi="Times New Roman"/>
          <w:b/>
          <w:i/>
          <w:color w:val="000000"/>
          <w:sz w:val="20"/>
        </w:rPr>
        <w:t>Provisions in our charter and bylaws, as well as provisions of Delaware law, could make it more difficult for a third party to acquire us or increase the cost of acquiring us, even if doing so would benefit our stockholders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charter and bylaws and Delaware law contain provisions that may have the effect of delaying or preventing a change in control of the Company or changes in our management. Our charter and bylaws include provisions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“blank check” preferred stock, which could be issued by the Board without stockholder approval and may contain voting, liquidation, dividend and other rights superior to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 classified board of directors whose members serve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special meetings of our stockholders can be called only by the Board, the chairperson of the Board, our Chief Executive Officer or our President;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our stockholders, including proposed nominations of persons for election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be removed only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the Board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no stockholder is permitted to cumulate votes at any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expressly authorize the Board to modify, alter or repeal our amended and restated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votes of the holders of our common stock to amend specified provisions of our charter and bylaws.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we are incorporated in Delaware, we are governed by the provisions of Section 203 of the Delaware General Corporation Law (“DGCL”), which limits the ability of stockholders owning in excess of 15% of our outstanding voting stock to merge or combine with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bylaws contain exclusive forum provisions, which may limit a stockholder’s ability to bring a claim in a judicial forum it finds favorable and may discourage lawsuits with respect to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p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120" w:after="120"/>
        <w:jc w:val="left"/>
        <w:rPr>
          <w:rFonts w:ascii="Times New Roman" w:hAnsi="Times New Roman"/>
          <w:sz w:val="20"/>
        </w:rPr>
      </w:pPr>
      <w:bookmarkStart w:id="17" w:name="item_3_part2"/>
      <w:bookmarkStart w:id="18" w:name="part2_item3_4"/>
      <w:bookmarkStart w:id="19" w:name="item_2_part2"/>
      <w:bookmarkStart w:id="20" w:name="item_4_part2"/>
      <w:bookmarkEnd w:id="17"/>
      <w:bookmarkEnd w:id="18"/>
      <w:bookmarkEnd w:id="19"/>
      <w:bookmarkEnd w:id="20"/>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0" w:after="120"/>
        <w:jc w:val="left"/>
        <w:rPr>
          <w:rFonts w:ascii="Times New Roman" w:hAnsi="Times New Roman"/>
          <w:sz w:val="20"/>
        </w:rPr>
      </w:pPr>
      <w:bookmarkStart w:id="21" w:name="part2_item3"/>
      <w:bookmarkEnd w:id="21"/>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0" w:after="120"/>
        <w:jc w:val="left"/>
        <w:rPr>
          <w:rFonts w:ascii="Times New Roman" w:hAnsi="Times New Roman"/>
          <w:sz w:val="20"/>
        </w:rPr>
      </w:pPr>
      <w:bookmarkStart w:id="22" w:name="part2_3_minedisclosures"/>
      <w:bookmarkEnd w:id="22"/>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120"/>
        <w:jc w:val="left"/>
        <w:rPr>
          <w:rFonts w:ascii="Times New Roman" w:hAnsi="Times New Roman"/>
          <w:sz w:val="20"/>
        </w:rPr>
      </w:pPr>
      <w:bookmarkStart w:id="23" w:name="part2_item5"/>
      <w:bookmarkStart w:id="24" w:name="item_5_part2"/>
      <w:bookmarkEnd w:id="23"/>
      <w:bookmarkEnd w:id="24"/>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fiscal quarter ended September 30, 2026, none of our directors or officers, as defined in Rule 16a-1(f), adopted, modified or terminated a “Rule 10b5-1 trading arrangement” or “non-Rule 10b5-1 trading arrangement,” as those terms are defined in Item 408 of Regulation S-K.</w:t>
      </w:r>
    </w:p>
    <w:p>
      <w:pPr>
        <w:pStyle w:val="TextBody"/>
        <w:bidi w:val="0"/>
        <w:jc w:val="left"/>
      </w:pPr>
      <w:r>
        <w:t> </w:t>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pPr>
      <w:r/>
    </w:p>
    <w:p>
      <w:pPr>
        <w:pStyle w:val="TextBody"/>
        <w:bidi w:val="0"/>
        <w:spacing w:before="240" w:after="240"/>
        <w:jc w:val="left"/>
        <w:rPr>
          <w:rFonts w:ascii="Times New Roman" w:hAnsi="Times New Roman"/>
          <w:sz w:val="20"/>
        </w:rPr>
      </w:pPr>
      <w:bookmarkStart w:id="25" w:name="item_6_part2"/>
      <w:bookmarkStart w:id="26" w:name="exhibits"/>
      <w:bookmarkEnd w:id="25"/>
      <w:bookmarkEnd w:id="26"/>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84"/>
        <w:gridCol w:w="146"/>
        <w:gridCol w:w="6062"/>
        <w:gridCol w:w="146"/>
        <w:gridCol w:w="529"/>
        <w:gridCol w:w="146"/>
        <w:gridCol w:w="747"/>
        <w:gridCol w:w="146"/>
        <w:gridCol w:w="644"/>
        <w:gridCol w:w="146"/>
        <w:gridCol w:w="709"/>
      </w:tblGrid>
      <w:tr>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r>
      <w:tr>
        <w:tc>
          <w:tcPr>
            <w:tcW w:w="784"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067"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Incorporation by Reference</w:t>
            </w:r>
            <w:r>
              <w:rPr>
                <w:rFonts w:ascii="Times New Roman" w:hAnsi="Times New Roman"/>
                <w:color w:val="000000"/>
                <w:sz w:val="16"/>
              </w:rPr>
              <w:t xml:space="preserve"> </w:t>
            </w:r>
          </w:p>
        </w:tc>
      </w:tr>
      <w:tr>
        <w:tc>
          <w:tcPr>
            <w:tcW w:w="78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606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5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 Date</w:t>
            </w:r>
            <w:r>
              <w:rPr>
                <w:rFonts w:ascii="Times New Roman" w:hAnsi="Times New Roman"/>
                <w:color w:val="000000"/>
                <w:sz w:val="16"/>
              </w:rPr>
              <w:t xml:space="preserve"> </w:t>
            </w:r>
          </w:p>
        </w:tc>
      </w:tr>
      <w:tr>
        <w:tc>
          <w:tcPr>
            <w:tcW w:w="784"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29"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7"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44"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09" w:type="dxa"/>
            <w:tcBorders/>
            <w:tcMar>
              <w:top w:w="0" w:type="dxa"/>
              <w:left w:w="0" w:type="dxa"/>
              <w:bottom w:w="0" w:type="dxa"/>
              <w:right w:w="0" w:type="dxa"/>
            </w:tcMar>
            <w:vAlign w:val="center"/>
          </w:tcPr>
          <w:p>
            <w:pPr>
              <w:pStyle w:val="TableContents"/>
              <w:bidi w:val="0"/>
              <w:spacing w:before="0" w:after="283"/>
              <w:jc w:val="left"/>
            </w:pPr>
            <w:r>
              <w:t> </w:t>
            </w:r>
          </w:p>
        </w:tc>
      </w:tr>
      <w:t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pPr>
            <w:hyperlink r:id="rId2">
              <w:r>
                <w:rPr>
                  <w:rStyle w:val="InternetLink"/>
                  <w:rFonts w:ascii="Times New Roman" w:hAnsi="Times New Roman"/>
                  <w:color w:val="0000FF"/>
                  <w:sz w:val="20"/>
                  <w:u w:val="single"/>
                </w:rPr>
                <w:t>Fourth Amended and Restated Certificate of Incorporation, as amended through June 20, 2024.</w:t>
              </w:r>
            </w:hyperlink>
            <w:hyperlink r:id="rId3">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2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001-38537</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8/14/2024</w:t>
            </w:r>
          </w:p>
        </w:tc>
      </w:tr>
      <w:tr>
        <w:tc>
          <w:tcPr>
            <w:tcW w:w="784"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29"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47"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44"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09" w:type="dxa"/>
            <w:tcBorders/>
            <w:tcMar>
              <w:top w:w="0" w:type="dxa"/>
              <w:left w:w="0" w:type="dxa"/>
              <w:bottom w:w="0" w:type="dxa"/>
              <w:right w:w="0" w:type="dxa"/>
            </w:tcMar>
            <w:vAlign w:val="center"/>
          </w:tcPr>
          <w:p>
            <w:pPr>
              <w:pStyle w:val="TableContents"/>
              <w:bidi w:val="0"/>
              <w:spacing w:before="0" w:after="283"/>
              <w:jc w:val="center"/>
            </w:pPr>
            <w:r>
              <w:t> </w:t>
            </w:r>
          </w:p>
        </w:tc>
      </w:tr>
      <w:t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pPr>
            <w:hyperlink r:id="rId4">
              <w:r>
                <w:rPr>
                  <w:rStyle w:val="InternetLink"/>
                  <w:rFonts w:ascii="Times New Roman" w:hAnsi="Times New Roman"/>
                  <w:color w:val="0000FF"/>
                  <w:sz w:val="20"/>
                  <w:u w:val="single"/>
                </w:rPr>
                <w:t>Amended and Restated Bylaws,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001-38537</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6/25/2018</w:t>
            </w:r>
          </w:p>
        </w:tc>
      </w:tr>
      <w:t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pPr>
            <w:hyperlink w:anchor="tec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hyperlink w:anchor="tecx-ex31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pPr>
            <w:hyperlink w:anchor="tec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hyperlink w:anchor="tecx-ex31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pPr>
            <w:hyperlink w:anchor="tecx-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Schema Document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0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 This certification is deemed not filed for purposes of Section 18 of the Securities Exchange Act of 1934, as amended, or otherwise subject to the liability of that section, nor shall it be deemed incorporated by reference into any filing by the registrant under the Securities Act of 1933, as amended, or the Securities Exchange Act of 1934, as amended, whether made before or after the date hereof, regardless of any general incorporation language in such filing.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pPr>
      <w:r/>
    </w:p>
    <w:p>
      <w:pPr>
        <w:pStyle w:val="TextBody"/>
        <w:bidi w:val="0"/>
        <w:jc w:val="center"/>
        <w:rPr>
          <w:rFonts w:ascii="Times New Roman" w:hAnsi="Times New Roman"/>
          <w:sz w:val="20"/>
        </w:rPr>
      </w:pPr>
      <w:bookmarkStart w:id="27" w:name="signatures"/>
      <w:bookmarkEnd w:id="27"/>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pPr>
      <w:r>
        <w:t> </w:t>
      </w:r>
    </w:p>
    <w:tbl>
      <w:tblPr>
        <w:tblW w:w="6299" w:type="dxa"/>
        <w:jc w:val="left"/>
        <w:tblInd w:w="0" w:type="dxa"/>
        <w:tblLayout w:type="fixed"/>
        <w:tblCellMar>
          <w:top w:w="28" w:type="dxa"/>
          <w:left w:w="28" w:type="dxa"/>
          <w:bottom w:w="28" w:type="dxa"/>
          <w:right w:w="28" w:type="dxa"/>
        </w:tblCellMar>
      </w:tblPr>
      <w:tblGrid>
        <w:gridCol w:w="2101"/>
        <w:gridCol w:w="146"/>
        <w:gridCol w:w="406"/>
        <w:gridCol w:w="3646"/>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TECTONIC THERAPEUTIC, INC.</w:t>
            </w:r>
          </w:p>
        </w:tc>
      </w:tr>
      <w:t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Alise Reicin, M.D. </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Alise Reicin, M.D.</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Daniel Lochner </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Daniel Lochner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646"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(Principal Financial Officer and Principal</w:t>
            </w:r>
          </w:p>
          <w:p>
            <w:pPr>
              <w:pStyle w:val="TableContents"/>
              <w:bidi w:val="0"/>
              <w:spacing w:before="0" w:after="20"/>
              <w:jc w:val="center"/>
              <w:rPr>
                <w:rFonts w:ascii="Times New Roman" w:hAnsi="Times New Roman"/>
                <w:i/>
                <w:color w:val="000000"/>
                <w:sz w:val="20"/>
              </w:rPr>
            </w:pPr>
            <w:r>
              <w:rPr>
                <w:rFonts w:ascii="Times New Roman" w:hAnsi="Times New Roman"/>
                <w:i/>
                <w:color w:val="000000"/>
                <w:sz w:val="20"/>
              </w:rPr>
              <w:t>Accounting Officer)</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pPr>
      <w:r/>
    </w:p>
    <w:p>
      <w:pPr>
        <w:pStyle w:val="TextBody"/>
        <w:bidi w:val="0"/>
        <w:jc w:val="right"/>
        <w:rPr>
          <w:rFonts w:ascii="Times New Roman" w:hAnsi="Times New Roman"/>
          <w:sz w:val="20"/>
        </w:rPr>
      </w:pPr>
      <w:bookmarkStart w:id="28" w:name="tecx-ex31_1.htm"/>
      <w:bookmarkStart w:id="29" w:name="kstecxex31_1"/>
      <w:bookmarkEnd w:id="28"/>
      <w:bookmarkEnd w:id="29"/>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Alise Reicin, M.D.,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Tectonic Therapeutic,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5, 2026</w:t>
      </w:r>
    </w:p>
    <w:p>
      <w:pPr>
        <w:pStyle w:val="TextBody"/>
        <w:bidi w:val="0"/>
        <w:jc w:val="left"/>
      </w:pPr>
      <w:r>
        <w:t> </w:t>
      </w:r>
    </w:p>
    <w:tbl>
      <w:tblPr>
        <w:tblW w:w="3226" w:type="dxa"/>
        <w:jc w:val="left"/>
        <w:tblInd w:w="0" w:type="dxa"/>
        <w:tblLayout w:type="fixed"/>
        <w:tblCellMar>
          <w:top w:w="28" w:type="dxa"/>
          <w:left w:w="28" w:type="dxa"/>
          <w:bottom w:w="28" w:type="dxa"/>
          <w:right w:w="28" w:type="dxa"/>
        </w:tblCellMar>
      </w:tblPr>
      <w:tblGrid>
        <w:gridCol w:w="3226"/>
      </w:tblGrid>
      <w:tr>
        <w:tc>
          <w:tcPr>
            <w:tcW w:w="3226" w:type="dxa"/>
            <w:tcBorders/>
            <w:vAlign w:val="center"/>
          </w:tcPr>
          <w:p>
            <w:pPr>
              <w:pStyle w:val="TableContents"/>
              <w:bidi w:val="0"/>
              <w:spacing w:before="0" w:after="283"/>
              <w:jc w:val="left"/>
              <w:rPr>
                <w:sz w:val="4"/>
                <w:szCs w:val="4"/>
              </w:rPr>
            </w:pPr>
            <w:r>
              <w:rPr>
                <w:sz w:val="4"/>
                <w:szCs w:val="4"/>
              </w:rPr>
            </w:r>
          </w:p>
        </w:tc>
      </w:tr>
      <w:t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Alise Reicin, M.D.</w:t>
            </w:r>
          </w:p>
        </w:tc>
      </w:tr>
      <w:t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Alise Reicin, M.D.</w:t>
            </w:r>
          </w:p>
        </w:tc>
      </w:tr>
      <w:t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180" w:after="283"/>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240" w:after="283"/>
        <w:jc w:val="right"/>
        <w:rPr>
          <w:rFonts w:ascii="Times New Roman" w:hAnsi="Times New Roman"/>
          <w:b/>
          <w:color w:val="000000"/>
          <w:sz w:val="20"/>
        </w:rPr>
      </w:pPr>
      <w:bookmarkStart w:id="30" w:name="tecx-ex31_2.htm"/>
      <w:bookmarkStart w:id="31" w:name="kstecxex31_2"/>
      <w:bookmarkEnd w:id="30"/>
      <w:bookmarkEnd w:id="31"/>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Daniel Lochner,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Tectonic Therapeutic,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5, 2026</w:t>
      </w:r>
    </w:p>
    <w:p>
      <w:pPr>
        <w:pStyle w:val="TextBody"/>
        <w:bidi w:val="0"/>
        <w:jc w:val="left"/>
      </w:pPr>
      <w:r>
        <w:t> </w:t>
      </w:r>
    </w:p>
    <w:tbl>
      <w:tblPr>
        <w:tblW w:w="5326" w:type="dxa"/>
        <w:jc w:val="left"/>
        <w:tblInd w:w="0" w:type="dxa"/>
        <w:tblLayout w:type="fixed"/>
        <w:tblCellMar>
          <w:top w:w="28" w:type="dxa"/>
          <w:left w:w="28" w:type="dxa"/>
          <w:bottom w:w="28" w:type="dxa"/>
          <w:right w:w="28" w:type="dxa"/>
        </w:tblCellMar>
      </w:tblPr>
      <w:tblGrid>
        <w:gridCol w:w="5326"/>
      </w:tblGrid>
      <w:tr>
        <w:tc>
          <w:tcPr>
            <w:tcW w:w="5326" w:type="dxa"/>
            <w:tcBorders/>
            <w:vAlign w:val="center"/>
          </w:tcPr>
          <w:p>
            <w:pPr>
              <w:pStyle w:val="TableContents"/>
              <w:bidi w:val="0"/>
              <w:spacing w:before="0" w:after="283"/>
              <w:jc w:val="left"/>
              <w:rPr>
                <w:sz w:val="4"/>
                <w:szCs w:val="4"/>
              </w:rPr>
            </w:pPr>
            <w:r>
              <w:rPr>
                <w:sz w:val="4"/>
                <w:szCs w:val="4"/>
              </w:rPr>
            </w:r>
          </w:p>
        </w:tc>
      </w:tr>
      <w:tr>
        <w:tc>
          <w:tcPr>
            <w:tcW w:w="53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Lochner</w:t>
            </w:r>
          </w:p>
        </w:tc>
      </w:tr>
      <w:t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Lochner</w:t>
            </w:r>
          </w:p>
        </w:tc>
      </w:tr>
      <w:t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spacing w:before="180" w:after="283"/>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32" w:name="tecx-ex32_1.htm"/>
      <w:bookmarkStart w:id="33" w:name="kstecxex32_1"/>
      <w:bookmarkEnd w:id="32"/>
      <w:bookmarkEnd w:id="33"/>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 set forth in Rule 13a-14(b) of the Securities Exchange Act of 1934, as amended (the “Exchange Act”) and Section 1350 of Chapter 63 of Title 18 of the United States Code (18 U.S.C. §1350), Alise Reicin, M.D., President and Chief Executive Officer of Tectonic Therapeutic, Inc. (the “Company”), and Daniel Lochner, Chief Financial Officer of the Company, each hereby certifies that, to the best of his or her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Quarterly Report on Form 10-Q for the period ended September 30, 2026, to which this Certification is attached as Exhibit 32.1 (the “Periodic Report”), fully complies with the requirements of Section 13(a) or Section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Periodic Report fairly presents, in all material respects, the financial condition and results of operations of the Company. </w:t>
      </w:r>
    </w:p>
    <w:tbl>
      <w:tblPr>
        <w:tblW w:w="5519" w:type="dxa"/>
        <w:jc w:val="left"/>
        <w:tblInd w:w="0" w:type="dxa"/>
        <w:tblLayout w:type="fixed"/>
        <w:tblCellMar>
          <w:top w:w="28" w:type="dxa"/>
          <w:left w:w="28" w:type="dxa"/>
          <w:bottom w:w="28" w:type="dxa"/>
          <w:right w:w="28" w:type="dxa"/>
        </w:tblCellMar>
      </w:tblPr>
      <w:tblGrid>
        <w:gridCol w:w="556"/>
        <w:gridCol w:w="1606"/>
        <w:gridCol w:w="146"/>
        <w:gridCol w:w="3211"/>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5, 2026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Alise Reicin, M.D.</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Alise Reicin, M.D.</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tbl>
      <w:tblPr>
        <w:tblW w:w="7619" w:type="dxa"/>
        <w:jc w:val="left"/>
        <w:tblInd w:w="0" w:type="dxa"/>
        <w:tblLayout w:type="fixed"/>
        <w:tblCellMar>
          <w:top w:w="28" w:type="dxa"/>
          <w:left w:w="28" w:type="dxa"/>
          <w:bottom w:w="28" w:type="dxa"/>
          <w:right w:w="28" w:type="dxa"/>
        </w:tblCellMar>
      </w:tblPr>
      <w:tblGrid>
        <w:gridCol w:w="556"/>
        <w:gridCol w:w="1606"/>
        <w:gridCol w:w="146"/>
        <w:gridCol w:w="5311"/>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5, 2026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Lochner</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Lochner</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pPr>
      <w:r>
        <w: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certification accompanies the Form 10-Q to which it relates, is not deemed filed with the Securities and Exchange Commission and is not to be incorporated by reference into any filing of Tectonic Therapeutic, Inc. under the Securities Act of 1933, as amended, or the Securities Exchange Act of 1934, as amended (whether made before or after the date of the Form 10-Q), irrespective of any general incorporation language contained in such filing. </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1087/000119312524200609/d878693dex31.htm" TargetMode="External"/><Relationship Id="rId3" Type="http://schemas.openxmlformats.org/officeDocument/2006/relationships/hyperlink" Target="https://www.sec.gov/Archives/edgar/data/1681087/000119312524200609/d878693dex31.htm" TargetMode="External"/><Relationship Id="rId4" Type="http://schemas.openxmlformats.org/officeDocument/2006/relationships/hyperlink" Target="https://www.sec.gov/Archives/edgar/data/1681087/000119312518202460/d153924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57293</Words>
  <Characters>322336</Characters>
  <CharactersWithSpaces>380616</CharactersWithSpaces>
  <Paragraphs>5575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