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173355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3166745</wp:posOffset>
            </wp:positionH>
            <wp:positionV relativeFrom="paragraph">
              <wp:posOffset>49530</wp:posOffset>
            </wp:positionV>
            <wp:extent cx="817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3166745</wp:posOffset>
            </wp:positionH>
            <wp:positionV relativeFrom="paragraph">
              <wp:posOffset>-95885</wp:posOffset>
            </wp:positionV>
            <wp:extent cx="817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8" w:lineRule="exact"/>
        <w:rPr>
          <w:sz w:val="24"/>
          <w:szCs w:val="24"/>
          <w:color w:val="auto"/>
        </w:rPr>
      </w:pPr>
    </w:p>
    <w:p>
      <w:pPr>
        <w:ind w:left="560" w:hanging="55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40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to</w:t>
            </w:r>
          </w:p>
        </w:tc>
        <w:tc>
          <w:tcPr>
            <w:tcW w:w="560" w:type="dxa"/>
            <w:vAlign w:val="bottom"/>
            <w:tcBorders>
              <w:bottom w:val="single" w:sz="8" w:color="auto"/>
            </w:tcBorders>
          </w:tcPr>
          <w:p>
            <w:pPr>
              <w:spacing w:after="0"/>
              <w:rPr>
                <w:sz w:val="14"/>
                <w:szCs w:val="14"/>
                <w:color w:val="auto"/>
              </w:rPr>
            </w:pPr>
          </w:p>
        </w:tc>
      </w:tr>
      <w:tr>
        <w:trPr>
          <w:trHeight w:val="181"/>
        </w:trPr>
        <w:tc>
          <w:tcPr>
            <w:tcW w:w="3160" w:type="dxa"/>
            <w:vAlign w:val="bottom"/>
            <w:gridSpan w:val="4"/>
          </w:tcPr>
          <w:p>
            <w:pPr>
              <w:ind w:left="480"/>
              <w:spacing w:after="0"/>
              <w:rPr>
                <w:sz w:val="20"/>
                <w:szCs w:val="20"/>
                <w:color w:val="auto"/>
              </w:rPr>
            </w:pPr>
            <w:r>
              <w:rPr>
                <w:rFonts w:ascii="Arial" w:cs="Arial" w:eastAsia="Arial" w:hAnsi="Arial"/>
                <w:sz w:val="14"/>
                <w:szCs w:val="14"/>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3166745</wp:posOffset>
            </wp:positionH>
            <wp:positionV relativeFrom="paragraph">
              <wp:posOffset>32385</wp:posOffset>
            </wp:positionV>
            <wp:extent cx="817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46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4"/>
          </w:tcPr>
          <w:p>
            <w:pPr>
              <w:jc w:val="center"/>
              <w:spacing w:after="0"/>
              <w:rPr>
                <w:sz w:val="20"/>
                <w:szCs w:val="20"/>
                <w:color w:val="auto"/>
              </w:rPr>
            </w:pPr>
            <w:r>
              <w:rPr>
                <w:rFonts w:ascii="Arial" w:cs="Arial" w:eastAsia="Arial" w:hAnsi="Arial"/>
                <w:sz w:val="39"/>
                <w:szCs w:val="39"/>
                <w:b w:val="1"/>
                <w:bCs w:val="1"/>
                <w:color w:val="auto"/>
              </w:rPr>
              <w:t>AVROBIO, INC.</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40" w:type="dxa"/>
            <w:vAlign w:val="bottom"/>
            <w:vMerge w:val="restart"/>
          </w:tcPr>
          <w:p>
            <w:pPr>
              <w:jc w:val="center"/>
              <w:ind w:left="1769"/>
              <w:spacing w:after="0"/>
              <w:rPr>
                <w:sz w:val="20"/>
                <w:szCs w:val="20"/>
                <w:color w:val="auto"/>
              </w:rPr>
            </w:pPr>
            <w:r>
              <w:rPr>
                <w:rFonts w:ascii="Arial" w:cs="Arial" w:eastAsia="Arial" w:hAnsi="Arial"/>
                <w:sz w:val="14"/>
                <w:szCs w:val="14"/>
                <w:b w:val="1"/>
                <w:bCs w:val="1"/>
                <w:color w:val="auto"/>
                <w:w w:val="94"/>
              </w:rPr>
              <w:t>Delaware</w:t>
            </w: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920" w:type="dxa"/>
            <w:vAlign w:val="bottom"/>
            <w:gridSpan w:val="3"/>
            <w:vMerge w:val="restart"/>
          </w:tcPr>
          <w:p>
            <w:pPr>
              <w:jc w:val="right"/>
              <w:ind w:right="2389"/>
              <w:spacing w:after="0"/>
              <w:rPr>
                <w:sz w:val="20"/>
                <w:szCs w:val="20"/>
                <w:color w:val="auto"/>
              </w:rPr>
            </w:pPr>
            <w:r>
              <w:rPr>
                <w:rFonts w:ascii="Arial" w:cs="Arial" w:eastAsia="Arial" w:hAnsi="Arial"/>
                <w:sz w:val="14"/>
                <w:szCs w:val="14"/>
                <w:b w:val="1"/>
                <w:bCs w:val="1"/>
                <w:color w:val="auto"/>
              </w:rPr>
              <w:t>81-0710585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40" w:type="dxa"/>
            <w:vAlign w:val="bottom"/>
          </w:tcPr>
          <w:p>
            <w:pPr>
              <w:jc w:val="center"/>
              <w:ind w:left="1789"/>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jc w:val="center"/>
              <w:ind w:right="1969"/>
              <w:spacing w:after="0" w:line="146"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tcPr>
          <w:p>
            <w:pPr>
              <w:jc w:val="center"/>
              <w:ind w:left="1789"/>
              <w:spacing w:after="0"/>
              <w:rPr>
                <w:sz w:val="20"/>
                <w:szCs w:val="20"/>
                <w:color w:val="auto"/>
              </w:rPr>
            </w:pPr>
            <w:r>
              <w:rPr>
                <w:rFonts w:ascii="Arial" w:cs="Arial" w:eastAsia="Arial" w:hAnsi="Arial"/>
                <w:sz w:val="14"/>
                <w:szCs w:val="14"/>
                <w:b w:val="1"/>
                <w:bCs w:val="1"/>
                <w:color w:val="auto"/>
                <w:w w:val="92"/>
              </w:rPr>
              <w:t>incorporation or organization)</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Pr>
          <w:p>
            <w:pPr>
              <w:jc w:val="center"/>
              <w:ind w:right="1969"/>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jc w:val="center"/>
              <w:ind w:left="1789"/>
              <w:spacing w:after="0"/>
              <w:rPr>
                <w:sz w:val="20"/>
                <w:szCs w:val="20"/>
                <w:color w:val="auto"/>
              </w:rPr>
            </w:pPr>
            <w:r>
              <w:rPr>
                <w:rFonts w:ascii="Arial" w:cs="Arial" w:eastAsia="Arial" w:hAnsi="Arial"/>
                <w:sz w:val="14"/>
                <w:szCs w:val="14"/>
                <w:b w:val="1"/>
                <w:bCs w:val="1"/>
                <w:color w:val="auto"/>
                <w:w w:val="93"/>
              </w:rPr>
              <w:t>One Kendall Square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tcPr>
          <w:p>
            <w:pPr>
              <w:jc w:val="center"/>
              <w:ind w:left="1789"/>
              <w:spacing w:after="0" w:line="159" w:lineRule="exact"/>
              <w:rPr>
                <w:sz w:val="20"/>
                <w:szCs w:val="20"/>
                <w:color w:val="auto"/>
              </w:rPr>
            </w:pPr>
            <w:r>
              <w:rPr>
                <w:rFonts w:ascii="Arial" w:cs="Arial" w:eastAsia="Arial" w:hAnsi="Arial"/>
                <w:sz w:val="14"/>
                <w:szCs w:val="14"/>
                <w:b w:val="1"/>
                <w:bCs w:val="1"/>
                <w:color w:val="auto"/>
                <w:w w:val="91"/>
              </w:rPr>
              <w:t>Building 300, Suite 201</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40" w:type="dxa"/>
            <w:vAlign w:val="bottom"/>
          </w:tcPr>
          <w:p>
            <w:pPr>
              <w:jc w:val="center"/>
              <w:ind w:left="1769"/>
              <w:spacing w:after="0" w:line="146" w:lineRule="exact"/>
              <w:rPr>
                <w:sz w:val="20"/>
                <w:szCs w:val="20"/>
                <w:color w:val="auto"/>
              </w:rPr>
            </w:pPr>
            <w:r>
              <w:rPr>
                <w:rFonts w:ascii="Arial" w:cs="Arial" w:eastAsia="Arial" w:hAnsi="Arial"/>
                <w:sz w:val="14"/>
                <w:szCs w:val="14"/>
                <w:b w:val="1"/>
                <w:bCs w:val="1"/>
                <w:color w:val="auto"/>
                <w:w w:val="89"/>
              </w:rPr>
              <w:t>Cambridge, Massachusetts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920" w:type="dxa"/>
            <w:vAlign w:val="bottom"/>
            <w:gridSpan w:val="3"/>
          </w:tcPr>
          <w:p>
            <w:pPr>
              <w:jc w:val="right"/>
              <w:ind w:right="2569"/>
              <w:spacing w:after="0" w:line="146" w:lineRule="exact"/>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760" w:type="dxa"/>
            <w:vAlign w:val="bottom"/>
            <w:gridSpan w:val="5"/>
          </w:tcPr>
          <w:p>
            <w:pPr>
              <w:jc w:val="center"/>
              <w:ind w:right="118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Pr>
          <w:p>
            <w:pPr>
              <w:jc w:val="center"/>
              <w:ind w:right="196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520" w:type="dxa"/>
            <w:vAlign w:val="bottom"/>
            <w:gridSpan w:val="3"/>
          </w:tcPr>
          <w:p>
            <w:pPr>
              <w:jc w:val="center"/>
              <w:ind w:left="1129"/>
              <w:spacing w:after="0" w:line="148" w:lineRule="exact"/>
              <w:rPr>
                <w:sz w:val="20"/>
                <w:szCs w:val="20"/>
                <w:color w:val="auto"/>
              </w:rPr>
            </w:pPr>
            <w:r>
              <w:rPr>
                <w:rFonts w:ascii="Arial" w:cs="Arial" w:eastAsia="Arial" w:hAnsi="Arial"/>
                <w:sz w:val="14"/>
                <w:szCs w:val="14"/>
                <w:b w:val="1"/>
                <w:bCs w:val="1"/>
                <w:color w:val="auto"/>
                <w:w w:val="91"/>
              </w:rPr>
              <w:t>(617) 914-8420</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80" w:type="dxa"/>
            <w:vAlign w:val="bottom"/>
            <w:gridSpan w:val="8"/>
          </w:tcPr>
          <w:p>
            <w:pPr>
              <w:jc w:val="center"/>
              <w:ind w:right="3669"/>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Trading Symbol</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Common Stock, $0.0001 par value per share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3"/>
              </w:rPr>
              <w:t>AVRO</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80" w:type="dxa"/>
            <w:vAlign w:val="bottom"/>
          </w:tcPr>
          <w:p>
            <w:pPr>
              <w:ind w:left="900"/>
              <w:spacing w:after="0" w:line="157" w:lineRule="exact"/>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480" w:type="dxa"/>
            <w:vAlign w:val="bottom"/>
            <w:gridSpan w:val="8"/>
          </w:tcPr>
          <w:p>
            <w:pPr>
              <w:jc w:val="center"/>
              <w:ind w:right="3669"/>
              <w:spacing w:after="0" w:line="146" w:lineRule="exact"/>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None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980" w:type="dxa"/>
            <w:vAlign w:val="bottom"/>
            <w:gridSpan w:val="4"/>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920" w:type="dxa"/>
            <w:vAlign w:val="bottom"/>
            <w:gridSpan w:val="3"/>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5"/>
        </w:trPr>
        <w:tc>
          <w:tcPr>
            <w:tcW w:w="67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40" w:type="dxa"/>
            <w:vAlign w:val="bottom"/>
            <w:vMerge w:val="continue"/>
          </w:tcPr>
          <w:p>
            <w:pPr>
              <w:spacing w:after="0"/>
              <w:rPr>
                <w:sz w:val="18"/>
                <w:szCs w:val="18"/>
                <w:color w:val="auto"/>
              </w:rPr>
            </w:pPr>
          </w:p>
        </w:tc>
        <w:tc>
          <w:tcPr>
            <w:tcW w:w="3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80" w:type="dxa"/>
            <w:vAlign w:val="bottom"/>
            <w:gridSpan w:val="6"/>
          </w:tcPr>
          <w:p>
            <w:pPr>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540" w:type="dxa"/>
            <w:vAlign w:val="bottom"/>
          </w:tcPr>
          <w:p>
            <w:pPr>
              <w:ind w:left="14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92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0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24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20"/>
        <w:spacing w:after="0" w:line="17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 w:lineRule="exact"/>
        <w:rPr>
          <w:sz w:val="24"/>
          <w:szCs w:val="24"/>
          <w:color w:val="auto"/>
        </w:rPr>
      </w:pPr>
    </w:p>
    <w:p>
      <w:pPr>
        <w:ind w:right="620"/>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5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26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 w:lineRule="exact"/>
        <w:rPr>
          <w:sz w:val="24"/>
          <w:szCs w:val="24"/>
          <w:color w:val="auto"/>
        </w:rPr>
      </w:pPr>
    </w:p>
    <w:p>
      <w:pPr>
        <w:jc w:val="both"/>
        <w:ind w:right="18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560" w:val="left"/>
          <w:tab w:leader="none" w:pos="71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jc w:val="both"/>
        <w:ind w:right="40"/>
        <w:spacing w:after="0" w:line="250"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was approximately $289,225,075 as of June 28, 2019 (based on a closing price of $16.26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registrant had 36,030,495 shares of Common Stock, $0.0001 par value per share, outstanding as of March 6, 2020.</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 w:lineRule="exact"/>
        <w:rPr>
          <w:sz w:val="24"/>
          <w:szCs w:val="24"/>
          <w:color w:val="auto"/>
        </w:rPr>
      </w:pPr>
    </w:p>
    <w:p>
      <w:pPr>
        <w:jc w:val="both"/>
        <w:ind w:right="200"/>
        <w:spacing w:after="0" w:line="253" w:lineRule="auto"/>
        <w:rPr>
          <w:sz w:val="20"/>
          <w:szCs w:val="20"/>
          <w:color w:val="auto"/>
        </w:rPr>
      </w:pPr>
      <w:r>
        <w:rPr>
          <w:rFonts w:ascii="Arial" w:cs="Arial" w:eastAsia="Arial" w:hAnsi="Arial"/>
          <w:sz w:val="13"/>
          <w:szCs w:val="13"/>
          <w:color w:val="auto"/>
        </w:rPr>
        <w:t>Part III of this Annual Report on Form 10-K incorporates by reference certain information from the registrant’s definitive Proxy Statement for its 2020 annual meeting of shareholders, which the registrant intends to file pursuant to Regulation 14A with the Securities and Exchange Commission not later than 120 days after the registrant’s fiscal year end of December 31, 2019.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69215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191770</wp:posOffset>
            </wp:positionV>
            <wp:extent cx="71767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AVROBIO,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Fiscal Year Ended 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9680" w:type="dxa"/>
            <w:vAlign w:val="bottom"/>
            <w:gridSpan w:val="23"/>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9680" w:type="dxa"/>
            <w:vAlign w:val="bottom"/>
            <w:gridSpan w:val="23"/>
            <w:vMerge w:val="continue"/>
          </w:tcPr>
          <w:p>
            <w:pPr>
              <w:spacing w:after="0"/>
              <w:rPr>
                <w:sz w:val="13"/>
                <w:szCs w:val="13"/>
                <w:color w:val="auto"/>
              </w:rPr>
            </w:pPr>
          </w:p>
        </w:tc>
        <w:tc>
          <w:tcPr>
            <w:tcW w:w="5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040" w:type="dxa"/>
            <w:vAlign w:val="bottom"/>
            <w:gridSpan w:val="21"/>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6"/>
          </w:tcPr>
          <w:p>
            <w:pPr>
              <w:spacing w:after="0" w:line="20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Risk Factors</w:t>
              </w:r>
            </w:hyperlink>
          </w:p>
        </w:tc>
        <w:tc>
          <w:tcPr>
            <w:tcW w:w="8780" w:type="dxa"/>
            <w:vAlign w:val="bottom"/>
            <w:gridSpan w:val="17"/>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1B.</w:t>
            </w:r>
          </w:p>
        </w:tc>
        <w:tc>
          <w:tcPr>
            <w:tcW w:w="9680" w:type="dxa"/>
            <w:vAlign w:val="bottom"/>
            <w:gridSpan w:val="23"/>
          </w:tcPr>
          <w:p>
            <w:pPr>
              <w:spacing w:after="0" w:line="206" w:lineRule="exact"/>
              <w:rPr>
                <w:rFonts w:ascii="Arial" w:cs="Arial" w:eastAsia="Arial" w:hAnsi="Arial"/>
                <w:sz w:val="18"/>
                <w:szCs w:val="18"/>
                <w:color w:val="0000EE"/>
              </w:rPr>
            </w:pPr>
            <w:hyperlink w:anchor="page91">
              <w:r>
                <w:rPr>
                  <w:rFonts w:ascii="Arial" w:cs="Arial" w:eastAsia="Arial" w:hAnsi="Arial"/>
                  <w:sz w:val="18"/>
                  <w:szCs w:val="18"/>
                  <w:color w:val="0000EE"/>
                </w:rPr>
                <w:t>Unresolved Staff Comments</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12"/>
          </w:tcPr>
          <w:p>
            <w:pPr>
              <w:spacing w:after="0" w:line="206" w:lineRule="exact"/>
              <w:rPr>
                <w:rFonts w:ascii="Arial" w:cs="Arial" w:eastAsia="Arial" w:hAnsi="Arial"/>
                <w:sz w:val="18"/>
                <w:szCs w:val="18"/>
                <w:color w:val="0000EE"/>
              </w:rPr>
            </w:pPr>
            <w:hyperlink w:anchor="page91">
              <w:r>
                <w:rPr>
                  <w:rFonts w:ascii="Arial" w:cs="Arial" w:eastAsia="Arial" w:hAnsi="Arial"/>
                  <w:sz w:val="18"/>
                  <w:szCs w:val="18"/>
                  <w:color w:val="0000EE"/>
                </w:rPr>
                <w:t>Properties</w:t>
              </w:r>
            </w:hyperlink>
          </w:p>
        </w:tc>
        <w:tc>
          <w:tcPr>
            <w:tcW w:w="7660" w:type="dxa"/>
            <w:vAlign w:val="bottom"/>
            <w:gridSpan w:val="11"/>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3.</w:t>
            </w:r>
          </w:p>
        </w:tc>
        <w:tc>
          <w:tcPr>
            <w:tcW w:w="9680" w:type="dxa"/>
            <w:vAlign w:val="bottom"/>
            <w:gridSpan w:val="23"/>
          </w:tcPr>
          <w:p>
            <w:pPr>
              <w:spacing w:after="0" w:line="206" w:lineRule="exact"/>
              <w:rPr>
                <w:rFonts w:ascii="Arial" w:cs="Arial" w:eastAsia="Arial" w:hAnsi="Arial"/>
                <w:sz w:val="18"/>
                <w:szCs w:val="18"/>
                <w:color w:val="0000EE"/>
              </w:rPr>
            </w:pPr>
            <w:hyperlink w:anchor="page91">
              <w:r>
                <w:rPr>
                  <w:rFonts w:ascii="Arial" w:cs="Arial" w:eastAsia="Arial" w:hAnsi="Arial"/>
                  <w:sz w:val="18"/>
                  <w:szCs w:val="18"/>
                  <w:color w:val="0000EE"/>
                </w:rPr>
                <w:t>Legal Proceedings</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4.</w:t>
            </w:r>
          </w:p>
        </w:tc>
        <w:tc>
          <w:tcPr>
            <w:tcW w:w="9680" w:type="dxa"/>
            <w:vAlign w:val="bottom"/>
            <w:gridSpan w:val="23"/>
          </w:tcPr>
          <w:p>
            <w:pPr>
              <w:spacing w:after="0" w:line="206" w:lineRule="exact"/>
              <w:rPr>
                <w:rFonts w:ascii="Arial" w:cs="Arial" w:eastAsia="Arial" w:hAnsi="Arial"/>
                <w:sz w:val="18"/>
                <w:szCs w:val="18"/>
                <w:color w:val="0000EE"/>
              </w:rPr>
            </w:pPr>
            <w:hyperlink w:anchor="page91">
              <w:r>
                <w:rPr>
                  <w:rFonts w:ascii="Arial" w:cs="Arial" w:eastAsia="Arial" w:hAnsi="Arial"/>
                  <w:sz w:val="18"/>
                  <w:szCs w:val="18"/>
                  <w:color w:val="0000EE"/>
                </w:rPr>
                <w:t>Mine Safety Disclosures</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6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92">
              <w:r>
                <w:rPr>
                  <w:rFonts w:ascii="Arial" w:cs="Arial" w:eastAsia="Arial" w:hAnsi="Arial"/>
                  <w:sz w:val="18"/>
                  <w:szCs w:val="18"/>
                  <w:b w:val="1"/>
                  <w:bCs w:val="1"/>
                  <w:color w:val="0000EE"/>
                  <w:w w:val="99"/>
                </w:rPr>
                <w:t>PART II</w:t>
              </w:r>
            </w:hyperlink>
          </w:p>
        </w:tc>
        <w:tc>
          <w:tcPr>
            <w:tcW w:w="1080" w:type="dxa"/>
            <w:vAlign w:val="bottom"/>
            <w:tcBorders>
              <w:top w:val="single" w:sz="8" w:color="0000EE"/>
            </w:tcBorders>
            <w:gridSpan w:val="7"/>
          </w:tcPr>
          <w:p>
            <w:pPr>
              <w:spacing w:after="0"/>
              <w:rPr>
                <w:sz w:val="24"/>
                <w:szCs w:val="24"/>
                <w:color w:val="auto"/>
              </w:rPr>
            </w:pPr>
          </w:p>
        </w:tc>
        <w:tc>
          <w:tcPr>
            <w:tcW w:w="7940" w:type="dxa"/>
            <w:vAlign w:val="bottom"/>
            <w:gridSpan w:val="13"/>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2"/>
        </w:trPr>
        <w:tc>
          <w:tcPr>
            <w:tcW w:w="980" w:type="dxa"/>
            <w:vAlign w:val="bottom"/>
          </w:tcPr>
          <w:p>
            <w:pPr>
              <w:spacing w:after="0" w:line="193" w:lineRule="exact"/>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22"/>
          </w:tcPr>
          <w:p>
            <w:pPr>
              <w:spacing w:after="0" w:line="193" w:lineRule="exact"/>
              <w:rPr>
                <w:rFonts w:ascii="Arial" w:cs="Arial" w:eastAsia="Arial" w:hAnsi="Arial"/>
                <w:sz w:val="18"/>
                <w:szCs w:val="18"/>
                <w:color w:val="0000EE"/>
                <w:w w:val="85"/>
              </w:rPr>
            </w:pPr>
            <w:hyperlink w:anchor="page92">
              <w:r>
                <w:rPr>
                  <w:rFonts w:ascii="Arial" w:cs="Arial" w:eastAsia="Arial" w:hAnsi="Arial"/>
                  <w:sz w:val="18"/>
                  <w:szCs w:val="18"/>
                  <w:color w:val="0000EE"/>
                  <w:w w:val="85"/>
                </w:rPr>
                <w:t>Market for the Registrant’s Common Equity, Related Stockholder Matters and Issuer Purchases of Equity Securities</w:t>
              </w:r>
            </w:hyperlink>
          </w:p>
        </w:tc>
        <w:tc>
          <w:tcPr>
            <w:tcW w:w="1760" w:type="dxa"/>
            <w:vAlign w:val="bottom"/>
          </w:tcPr>
          <w:p>
            <w:pPr>
              <w:spacing w:after="0"/>
              <w:rPr>
                <w:sz w:val="16"/>
                <w:szCs w:val="16"/>
                <w:color w:val="auto"/>
              </w:rPr>
            </w:pPr>
          </w:p>
        </w:tc>
        <w:tc>
          <w:tcPr>
            <w:tcW w:w="60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6.</w:t>
            </w:r>
          </w:p>
        </w:tc>
        <w:tc>
          <w:tcPr>
            <w:tcW w:w="1700" w:type="dxa"/>
            <w:vAlign w:val="bottom"/>
            <w:tcBorders>
              <w:bottom w:val="single" w:sz="8" w:color="0000EE"/>
            </w:tcBorders>
            <w:gridSpan w:val="9"/>
          </w:tcPr>
          <w:p>
            <w:pPr>
              <w:spacing w:after="0" w:line="20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Selected Financial Data</w:t>
              </w:r>
            </w:hyperlink>
          </w:p>
        </w:tc>
        <w:tc>
          <w:tcPr>
            <w:tcW w:w="7980" w:type="dxa"/>
            <w:vAlign w:val="bottom"/>
            <w:gridSpan w:val="14"/>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7.</w:t>
            </w:r>
          </w:p>
        </w:tc>
        <w:tc>
          <w:tcPr>
            <w:tcW w:w="9680" w:type="dxa"/>
            <w:vAlign w:val="bottom"/>
            <w:gridSpan w:val="23"/>
          </w:tcPr>
          <w:p>
            <w:pPr>
              <w:spacing w:after="0" w:line="206" w:lineRule="exact"/>
              <w:rPr>
                <w:rFonts w:ascii="Arial" w:cs="Arial" w:eastAsia="Arial" w:hAnsi="Arial"/>
                <w:sz w:val="18"/>
                <w:szCs w:val="18"/>
                <w:color w:val="0000EE"/>
              </w:rPr>
            </w:pPr>
            <w:hyperlink w:anchor="page93">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7A.</w:t>
            </w:r>
          </w:p>
        </w:tc>
        <w:tc>
          <w:tcPr>
            <w:tcW w:w="6360" w:type="dxa"/>
            <w:vAlign w:val="bottom"/>
            <w:tcBorders>
              <w:top w:val="single" w:sz="8" w:color="0000EE"/>
            </w:tcBorders>
            <w:gridSpan w:val="19"/>
          </w:tcPr>
          <w:p>
            <w:pPr>
              <w:spacing w:after="0" w:line="206" w:lineRule="exact"/>
              <w:rPr>
                <w:rFonts w:ascii="Arial" w:cs="Arial" w:eastAsia="Arial" w:hAnsi="Arial"/>
                <w:sz w:val="18"/>
                <w:szCs w:val="18"/>
                <w:color w:val="0000EE"/>
              </w:rPr>
            </w:pPr>
            <w:hyperlink w:anchor="page104">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7"/>
          </w:tcPr>
          <w:p>
            <w:pPr>
              <w:spacing w:after="0" w:line="206" w:lineRule="exact"/>
              <w:rPr>
                <w:rFonts w:ascii="Arial" w:cs="Arial" w:eastAsia="Arial" w:hAnsi="Arial"/>
                <w:sz w:val="18"/>
                <w:szCs w:val="18"/>
                <w:color w:val="0000EE"/>
              </w:rPr>
            </w:pPr>
            <w:hyperlink w:anchor="page104">
              <w:r>
                <w:rPr>
                  <w:rFonts w:ascii="Arial" w:cs="Arial" w:eastAsia="Arial" w:hAnsi="Arial"/>
                  <w:sz w:val="18"/>
                  <w:szCs w:val="18"/>
                  <w:color w:val="0000EE"/>
                </w:rPr>
                <w:t>Financial Statements and Supplementary Data</w:t>
              </w:r>
            </w:hyperlink>
          </w:p>
        </w:tc>
        <w:tc>
          <w:tcPr>
            <w:tcW w:w="5440" w:type="dxa"/>
            <w:vAlign w:val="bottom"/>
            <w:gridSpan w:val="6"/>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9.</w:t>
            </w:r>
          </w:p>
        </w:tc>
        <w:tc>
          <w:tcPr>
            <w:tcW w:w="6380" w:type="dxa"/>
            <w:vAlign w:val="bottom"/>
            <w:tcBorders>
              <w:bottom w:val="single" w:sz="8" w:color="0000EE"/>
            </w:tcBorders>
            <w:gridSpan w:val="20"/>
          </w:tcPr>
          <w:p>
            <w:pPr>
              <w:spacing w:after="0" w:line="20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Changes in and Disagreements with Accountants on Accounting and Financial Disclosure</w:t>
              </w:r>
            </w:hyperlink>
          </w:p>
        </w:tc>
        <w:tc>
          <w:tcPr>
            <w:tcW w:w="3300" w:type="dxa"/>
            <w:vAlign w:val="bottom"/>
            <w:gridSpan w:val="3"/>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9A.</w:t>
            </w:r>
          </w:p>
        </w:tc>
        <w:tc>
          <w:tcPr>
            <w:tcW w:w="9680" w:type="dxa"/>
            <w:vAlign w:val="bottom"/>
            <w:gridSpan w:val="23"/>
          </w:tcPr>
          <w:p>
            <w:pPr>
              <w:spacing w:after="0" w:line="206" w:lineRule="exact"/>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10"/>
          </w:tcPr>
          <w:p>
            <w:pPr>
              <w:spacing w:after="0" w:line="206" w:lineRule="exact"/>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7940" w:type="dxa"/>
            <w:vAlign w:val="bottom"/>
            <w:gridSpan w:val="13"/>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8"/>
                <w:szCs w:val="18"/>
                <w:color w:val="auto"/>
              </w:rPr>
              <w:t>0101</w:t>
            </w:r>
          </w:p>
        </w:tc>
        <w:tc>
          <w:tcPr>
            <w:tcW w:w="1320" w:type="dxa"/>
            <w:vAlign w:val="bottom"/>
            <w:tcBorders>
              <w:top w:val="single" w:sz="8" w:color="0000EE"/>
            </w:tcBorders>
            <w:gridSpan w:val="7"/>
            <w:vMerge w:val="restart"/>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III</w:t>
              </w:r>
            </w:hyperlink>
          </w:p>
        </w:tc>
        <w:tc>
          <w:tcPr>
            <w:tcW w:w="8360" w:type="dxa"/>
            <w:vAlign w:val="bottom"/>
            <w:gridSpan w:val="16"/>
            <w:vMerge w:val="restart"/>
          </w:tcPr>
          <w:p>
            <w:pPr>
              <w:spacing w:after="0"/>
              <w:rPr>
                <w:sz w:val="21"/>
                <w:szCs w:val="2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1320" w:type="dxa"/>
            <w:vAlign w:val="bottom"/>
            <w:gridSpan w:val="7"/>
            <w:vMerge w:val="continue"/>
          </w:tcPr>
          <w:p>
            <w:pPr>
              <w:spacing w:after="0"/>
              <w:rPr>
                <w:sz w:val="15"/>
                <w:szCs w:val="15"/>
                <w:color w:val="auto"/>
              </w:rPr>
            </w:pPr>
          </w:p>
        </w:tc>
        <w:tc>
          <w:tcPr>
            <w:tcW w:w="8360" w:type="dxa"/>
            <w:vAlign w:val="bottom"/>
            <w:gridSpan w:val="16"/>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tcPr>
          <w:p>
            <w:pPr>
              <w:spacing w:after="0" w:line="193" w:lineRule="exact"/>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6"/>
          </w:tcPr>
          <w:p>
            <w:pPr>
              <w:spacing w:after="0" w:line="193"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Directors, Executive Officers and Corporate Governance</w:t>
              </w:r>
            </w:hyperlink>
          </w:p>
        </w:tc>
        <w:tc>
          <w:tcPr>
            <w:tcW w:w="5640" w:type="dxa"/>
            <w:vAlign w:val="bottom"/>
            <w:gridSpan w:val="7"/>
          </w:tcPr>
          <w:p>
            <w:pPr>
              <w:spacing w:after="0"/>
              <w:rPr>
                <w:sz w:val="16"/>
                <w:szCs w:val="16"/>
                <w:color w:val="auto"/>
              </w:rPr>
            </w:pPr>
          </w:p>
        </w:tc>
        <w:tc>
          <w:tcPr>
            <w:tcW w:w="60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11.</w:t>
            </w:r>
          </w:p>
        </w:tc>
        <w:tc>
          <w:tcPr>
            <w:tcW w:w="9680" w:type="dxa"/>
            <w:vAlign w:val="bottom"/>
            <w:gridSpan w:val="23"/>
          </w:tcPr>
          <w:p>
            <w:pPr>
              <w:spacing w:after="0" w:line="206" w:lineRule="exact"/>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12.</w:t>
            </w:r>
          </w:p>
        </w:tc>
        <w:tc>
          <w:tcPr>
            <w:tcW w:w="9680" w:type="dxa"/>
            <w:vAlign w:val="bottom"/>
            <w:gridSpan w:val="23"/>
          </w:tcPr>
          <w:p>
            <w:pPr>
              <w:spacing w:after="0" w:line="206" w:lineRule="exact"/>
              <w:rPr>
                <w:rFonts w:ascii="Arial" w:cs="Arial" w:eastAsia="Arial" w:hAnsi="Arial"/>
                <w:sz w:val="18"/>
                <w:szCs w:val="18"/>
                <w:color w:val="0000EE"/>
              </w:rPr>
            </w:pPr>
            <w:hyperlink w:anchor="page106">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13.</w:t>
            </w:r>
          </w:p>
        </w:tc>
        <w:tc>
          <w:tcPr>
            <w:tcW w:w="5380" w:type="dxa"/>
            <w:vAlign w:val="bottom"/>
            <w:tcBorders>
              <w:top w:val="single" w:sz="8" w:color="0000EE"/>
              <w:bottom w:val="single" w:sz="8" w:color="0000EE"/>
            </w:tcBorders>
            <w:gridSpan w:val="18"/>
          </w:tcPr>
          <w:p>
            <w:pPr>
              <w:spacing w:after="0" w:line="20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Certain Relationships and Related Transactions, and Director Independence</w:t>
              </w:r>
            </w:hyperlink>
          </w:p>
        </w:tc>
        <w:tc>
          <w:tcPr>
            <w:tcW w:w="1800" w:type="dxa"/>
            <w:vAlign w:val="bottom"/>
            <w:tcBorders>
              <w:top w:val="single" w:sz="8" w:color="0000EE"/>
            </w:tcBorders>
            <w:gridSpan w:val="3"/>
          </w:tcPr>
          <w:p>
            <w:pPr>
              <w:spacing w:after="0"/>
              <w:rPr>
                <w:sz w:val="17"/>
                <w:szCs w:val="17"/>
                <w:color w:val="auto"/>
              </w:rPr>
            </w:pPr>
          </w:p>
        </w:tc>
        <w:tc>
          <w:tcPr>
            <w:tcW w:w="2500" w:type="dxa"/>
            <w:vAlign w:val="bottom"/>
            <w:gridSpan w:val="2"/>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14.</w:t>
            </w:r>
          </w:p>
        </w:tc>
        <w:tc>
          <w:tcPr>
            <w:tcW w:w="2840" w:type="dxa"/>
            <w:vAlign w:val="bottom"/>
            <w:tcBorders>
              <w:bottom w:val="single" w:sz="8" w:color="0000EE"/>
            </w:tcBorders>
            <w:gridSpan w:val="13"/>
          </w:tcPr>
          <w:p>
            <w:pPr>
              <w:spacing w:after="0" w:line="20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Principal Accounting Fees and Services</w:t>
              </w:r>
            </w:hyperlink>
          </w:p>
        </w:tc>
        <w:tc>
          <w:tcPr>
            <w:tcW w:w="6840" w:type="dxa"/>
            <w:vAlign w:val="bottom"/>
            <w:gridSpan w:val="10"/>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107">
              <w:r>
                <w:rPr>
                  <w:rFonts w:ascii="Arial" w:cs="Arial" w:eastAsia="Arial" w:hAnsi="Arial"/>
                  <w:sz w:val="18"/>
                  <w:szCs w:val="18"/>
                  <w:b w:val="1"/>
                  <w:bCs w:val="1"/>
                  <w:color w:val="0000EE"/>
                  <w:w w:val="95"/>
                </w:rPr>
                <w:t>PART IV</w:t>
              </w:r>
            </w:hyperlink>
          </w:p>
        </w:tc>
        <w:tc>
          <w:tcPr>
            <w:tcW w:w="8960" w:type="dxa"/>
            <w:vAlign w:val="bottom"/>
            <w:gridSpan w:val="19"/>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2"/>
        </w:trPr>
        <w:tc>
          <w:tcPr>
            <w:tcW w:w="980" w:type="dxa"/>
            <w:vAlign w:val="bottom"/>
          </w:tcPr>
          <w:p>
            <w:pPr>
              <w:spacing w:after="0" w:line="193" w:lineRule="exact"/>
              <w:rPr>
                <w:sz w:val="20"/>
                <w:szCs w:val="20"/>
                <w:color w:val="auto"/>
              </w:rPr>
            </w:pPr>
            <w:r>
              <w:rPr>
                <w:rFonts w:ascii="Arial" w:cs="Arial" w:eastAsia="Arial" w:hAnsi="Arial"/>
                <w:sz w:val="18"/>
                <w:szCs w:val="18"/>
                <w:color w:val="auto"/>
              </w:rPr>
              <w:t>Item 15.</w:t>
            </w:r>
          </w:p>
        </w:tc>
        <w:tc>
          <w:tcPr>
            <w:tcW w:w="3120" w:type="dxa"/>
            <w:vAlign w:val="bottom"/>
            <w:tcBorders>
              <w:bottom w:val="single" w:sz="8" w:color="0000EE"/>
            </w:tcBorders>
            <w:gridSpan w:val="14"/>
          </w:tcPr>
          <w:p>
            <w:pPr>
              <w:spacing w:after="0" w:line="193"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Exhibits and Financial Statement Schedules</w:t>
              </w:r>
            </w:hyperlink>
          </w:p>
        </w:tc>
        <w:tc>
          <w:tcPr>
            <w:tcW w:w="6560" w:type="dxa"/>
            <w:vAlign w:val="bottom"/>
            <w:gridSpan w:val="9"/>
          </w:tcPr>
          <w:p>
            <w:pPr>
              <w:spacing w:after="0"/>
              <w:rPr>
                <w:sz w:val="16"/>
                <w:szCs w:val="16"/>
                <w:color w:val="auto"/>
              </w:rPr>
            </w:pPr>
          </w:p>
        </w:tc>
        <w:tc>
          <w:tcPr>
            <w:tcW w:w="60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Item 16.</w:t>
            </w:r>
          </w:p>
        </w:tc>
        <w:tc>
          <w:tcPr>
            <w:tcW w:w="1540" w:type="dxa"/>
            <w:vAlign w:val="bottom"/>
            <w:tcBorders>
              <w:bottom w:val="single" w:sz="8" w:color="0000EE"/>
            </w:tcBorders>
            <w:gridSpan w:val="8"/>
          </w:tcPr>
          <w:p>
            <w:pPr>
              <w:spacing w:after="0" w:line="20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Form 10-K Summary</w:t>
              </w:r>
            </w:hyperlink>
          </w:p>
        </w:tc>
        <w:tc>
          <w:tcPr>
            <w:tcW w:w="8140" w:type="dxa"/>
            <w:vAlign w:val="bottom"/>
            <w:gridSpan w:val="15"/>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760" w:type="dxa"/>
            <w:vAlign w:val="bottom"/>
            <w:tcBorders>
              <w:bottom w:val="single" w:sz="8" w:color="0000EE"/>
            </w:tcBorders>
            <w:gridSpan w:val="5"/>
          </w:tcPr>
          <w:p>
            <w:pPr>
              <w:spacing w:after="0" w:line="20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Signatures</w:t>
              </w:r>
            </w:hyperlink>
          </w:p>
        </w:tc>
        <w:tc>
          <w:tcPr>
            <w:tcW w:w="8920" w:type="dxa"/>
            <w:vAlign w:val="bottom"/>
            <w:gridSpan w:val="18"/>
          </w:tcPr>
          <w:p>
            <w:pPr>
              <w:spacing w:after="0"/>
              <w:rPr>
                <w:sz w:val="17"/>
                <w:szCs w:val="17"/>
                <w:color w:val="auto"/>
              </w:rPr>
            </w:pPr>
          </w:p>
        </w:tc>
        <w:tc>
          <w:tcPr>
            <w:tcW w:w="6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2" w:lineRule="exact"/>
        <w:rPr>
          <w:sz w:val="20"/>
          <w:szCs w:val="20"/>
          <w:color w:val="auto"/>
        </w:rPr>
      </w:pPr>
    </w:p>
    <w:p>
      <w:pPr>
        <w:ind w:right="40" w:firstLine="546"/>
        <w:spacing w:after="0" w:line="265" w:lineRule="auto"/>
        <w:rPr>
          <w:sz w:val="20"/>
          <w:szCs w:val="20"/>
          <w:color w:val="auto"/>
        </w:rPr>
      </w:pPr>
      <w:r>
        <w:rPr>
          <w:rFonts w:ascii="Arial" w:cs="Arial" w:eastAsia="Arial" w:hAnsi="Arial"/>
          <w:sz w:val="17"/>
          <w:szCs w:val="17"/>
          <w:color w:val="auto"/>
        </w:rPr>
        <w:t>This Annual Report on Form 10-K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6" w:lineRule="exact"/>
        <w:rPr>
          <w:sz w:val="20"/>
          <w:szCs w:val="20"/>
          <w:color w:val="auto"/>
        </w:rPr>
      </w:pPr>
    </w:p>
    <w:p>
      <w:pPr>
        <w:ind w:left="940" w:hanging="389"/>
        <w:spacing w:after="0" w:line="256"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Arial" w:cs="Arial" w:eastAsia="Arial" w:hAnsi="Arial"/>
          <w:sz w:val="18"/>
          <w:szCs w:val="18"/>
          <w:color w:val="auto"/>
        </w:rPr>
      </w:pPr>
    </w:p>
    <w:p>
      <w:pPr>
        <w:ind w:left="940" w:right="420" w:hanging="389"/>
        <w:spacing w:after="0" w:line="366" w:lineRule="auto"/>
        <w:tabs>
          <w:tab w:leader="none" w:pos="9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5" w:lineRule="exact"/>
        <w:rPr>
          <w:rFonts w:ascii="Arial" w:cs="Arial" w:eastAsia="Arial" w:hAnsi="Arial"/>
          <w:sz w:val="15"/>
          <w:szCs w:val="15"/>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11" w:lineRule="exact"/>
        <w:rPr>
          <w:rFonts w:ascii="Arial" w:cs="Arial" w:eastAsia="Arial" w:hAnsi="Arial"/>
          <w:sz w:val="18"/>
          <w:szCs w:val="18"/>
          <w:color w:val="auto"/>
        </w:rPr>
      </w:pPr>
    </w:p>
    <w:p>
      <w:pPr>
        <w:ind w:left="940" w:right="400" w:hanging="389"/>
        <w:spacing w:after="0" w:line="256"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and expected benefits of a proprietary four-plasmid-produced lentiviral vector and our use of a therapeutic drug monitoring conditioning regimen with busulfan;</w:t>
      </w:r>
    </w:p>
    <w:p>
      <w:pPr>
        <w:spacing w:after="0" w:line="8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scalability and commercial viability of our manufacturing methods and processes, including our move to a closed, automated system;</w:t>
      </w:r>
    </w:p>
    <w:p>
      <w:pPr>
        <w:spacing w:after="0" w:line="146" w:lineRule="exact"/>
        <w:rPr>
          <w:rFonts w:ascii="Arial" w:cs="Arial" w:eastAsia="Arial" w:hAnsi="Arial"/>
          <w:sz w:val="15"/>
          <w:szCs w:val="15"/>
          <w:color w:val="auto"/>
        </w:rPr>
      </w:pPr>
    </w:p>
    <w:p>
      <w:pPr>
        <w:ind w:left="940" w:hanging="389"/>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1" w:lineRule="exact"/>
        <w:rPr>
          <w:rFonts w:ascii="Arial" w:cs="Arial" w:eastAsia="Arial" w:hAnsi="Arial"/>
          <w:sz w:val="18"/>
          <w:szCs w:val="18"/>
          <w:color w:val="auto"/>
        </w:rPr>
      </w:pPr>
    </w:p>
    <w:p>
      <w:pPr>
        <w:ind w:left="940" w:right="40" w:hanging="389"/>
        <w:spacing w:after="0" w:line="256"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8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1" w:lineRule="exact"/>
        <w:rPr>
          <w:rFonts w:ascii="Arial" w:cs="Arial" w:eastAsia="Arial" w:hAnsi="Arial"/>
          <w:sz w:val="18"/>
          <w:szCs w:val="18"/>
          <w:color w:val="auto"/>
        </w:rPr>
      </w:pPr>
    </w:p>
    <w:p>
      <w:pPr>
        <w:ind w:left="940" w:right="80" w:hanging="389"/>
        <w:spacing w:after="0" w:line="265"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previously identified and avoid any findings of material weaknesses or significant deficiencies in the future;</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JOBS Act;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40"/>
          </w:cols>
          <w:pgMar w:left="320" w:top="340" w:right="439" w:bottom="1440" w:gutter="0" w:footer="0" w:header="0"/>
        </w:sectPr>
      </w:pPr>
    </w:p>
    <w:bookmarkStart w:id="3" w:name="page4"/>
    <w:bookmarkEnd w:id="3"/>
    <w:p>
      <w:pPr>
        <w:ind w:firstLine="546"/>
        <w:spacing w:after="0" w:line="304" w:lineRule="auto"/>
        <w:rPr>
          <w:sz w:val="20"/>
          <w:szCs w:val="20"/>
          <w:color w:val="auto"/>
        </w:rPr>
      </w:pPr>
      <w:r>
        <w:rPr>
          <w:rFonts w:ascii="Arial" w:cs="Arial" w:eastAsia="Arial" w:hAnsi="Arial"/>
          <w:sz w:val="15"/>
          <w:szCs w:val="15"/>
          <w:color w:val="auto"/>
        </w:rPr>
        <w:t>All of our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552"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4"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i w:val="1"/>
          <w:iCs w:val="1"/>
          <w:color w:val="auto"/>
        </w:rPr>
        <w:t>Unless the context requires otherwise, references in this Annual Report on Form 10-K to the “Company,” “AVROBIO,” “we,” “us,” and “our” refer to AVROBIO, Inc. Our “board of directors” refers to the board of directors of AVROBIO,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20" w:firstLine="546"/>
        <w:spacing w:after="0" w:line="265"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$4.0 billion in worldwide net sales in 2019.</w:t>
      </w:r>
    </w:p>
    <w:p>
      <w:pPr>
        <w:spacing w:after="0" w:line="186" w:lineRule="exact"/>
        <w:rPr>
          <w:sz w:val="20"/>
          <w:szCs w:val="20"/>
          <w:color w:val="auto"/>
        </w:rPr>
      </w:pPr>
    </w:p>
    <w:p>
      <w:pPr>
        <w:ind w:right="20" w:firstLine="546"/>
        <w:spacing w:after="0" w:line="264" w:lineRule="auto"/>
        <w:rPr>
          <w:sz w:val="20"/>
          <w:szCs w:val="20"/>
          <w:color w:val="auto"/>
        </w:rPr>
      </w:pPr>
      <w:r>
        <w:rPr>
          <w:rFonts w:ascii="Arial" w:cs="Arial" w:eastAsia="Arial" w:hAnsi="Arial"/>
          <w:sz w:val="17"/>
          <w:szCs w:val="17"/>
          <w:color w:val="auto"/>
        </w:rPr>
        <w:t>Our initial pipeline is comprised of four lentiviral-based gene therapy programs, including AVR-RD-01 for the treatment of Fabry disease, AVR-RD-04 for the treatment of cystinosis, AVR-RD-02 for the treatment of Gaucher disease and AVR-RD-03 for the treatment of Pompe disease. AVR-RD-01 is currently being evaluated in an investigator-sponsored Phase 1 clinical trial and a company-sponsored Phase 2 clinical trial. Five patients have been dosed in the investigator-sponsored Phase 1 clinical trial of AVR-RD-01, and enrollment is complete. As of March 6, 2020, four patients have been dosed in our company-sponsored Phase 2 clinical trial of AVR-RD-01, and we are actively recruiting additional potential patients for our currently active sites in Australia, Canada and the United States. AVR-RD-04 is currently being studied by our collaborators at the University of California, San Diego, or UCSD, in a Phase 1/2 investigator-sponsored clinical trial, and as of March 6, 2020 one patient has been dosed. In January 2020, we announced that we received notice of clearance from the U.S. Food and Drug Administration, or FDA, regarding an Investigational New Drug, or IND, application for AVR-RD-02, our investigational gene therapy for the treatment of Gaucher disease. The Phase 1/2 clinical trial for AVR-RD-02 is actively recruiting in Australia and Canada, with additional sites planned in the United States. Our AVR-RD-03 program for Pompe disease is currently in preclinical development with the first IND-enabling preclinical study initiated in 2019.</w:t>
      </w:r>
    </w:p>
    <w:p>
      <w:pPr>
        <w:spacing w:after="0" w:line="185" w:lineRule="exact"/>
        <w:rPr>
          <w:sz w:val="20"/>
          <w:szCs w:val="20"/>
          <w:color w:val="auto"/>
        </w:rPr>
      </w:pPr>
    </w:p>
    <w:p>
      <w:pPr>
        <w:ind w:firstLine="546"/>
        <w:spacing w:after="0" w:line="300" w:lineRule="auto"/>
        <w:rPr>
          <w:sz w:val="20"/>
          <w:szCs w:val="20"/>
          <w:color w:val="auto"/>
        </w:rPr>
      </w:pPr>
      <w:r>
        <w:rPr>
          <w:rFonts w:ascii="Arial" w:cs="Arial" w:eastAsia="Arial" w:hAnsi="Arial"/>
          <w:sz w:val="15"/>
          <w:szCs w:val="15"/>
          <w:color w:val="auto"/>
        </w:rPr>
        <w:t xml:space="preserve">Since its first clinical use in 2003, lentiviral-based gene therapy has been observed to be well-tolerated in third parties’ clinical trials for rare diseases such as transfusion-dependent beta thalassemia, cerebral adrenoleukodystrophy, or CALD, metachromatic leukodystrophy, or MLD, and adenosine deaminase severe combined immunodeficiency, or ADA-SCID. Initially, the use of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lentiviral-based gene therapies was restricted primarily to the most severe diseases where the risks of the typical requirement for ablating the patients’ bone marrow had a clinically justifiable risk/benefit profile. To date, over 350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essential step in the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gene therapy treatment procedure and is administered prior to the gene therapy. The higher the level of conditioning, the greater the potential risk of more serious complications, such as veno-occlusive disease. However, we believe the risk of more serious complications can be managed through utilization of therapeutic drug monitoring, or TDM, to enable careful titrating of exposure to the drug to a specific area under the curve, or AuC. The conditioning regimen utilized as part of our plato platform includes TDM to assess how rapidly the individual patient metabolizes the conditioning agent so physicians can adjust the dose as needed, with a goal of minimizing side effects while maximizing the potential of durable engraftment.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busulfan, coupled with TDM designed to titrate to a specific AuC, has the potential to extend the reach of our gene therapies to a broad range of diseases as first-line therapies. Our goal is to broaden the applicability of lentiviral-based gene therapy by initially targeting monogenic diseases with an identified gene, recognized biology and that could potentially benefit from the sustained systemic delivery of an active protein.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 w:name="page6"/>
    <w:bookmarkEnd w:id="5"/>
    <w:p>
      <w:pPr>
        <w:ind w:right="100" w:firstLine="546"/>
        <w:spacing w:after="0" w:line="305" w:lineRule="auto"/>
        <w:rPr>
          <w:sz w:val="20"/>
          <w:szCs w:val="20"/>
          <w:color w:val="auto"/>
        </w:rPr>
      </w:pPr>
      <w:r>
        <w:rPr>
          <w:rFonts w:ascii="Arial" w:cs="Arial" w:eastAsia="Arial" w:hAnsi="Arial"/>
          <w:sz w:val="15"/>
          <w:szCs w:val="15"/>
          <w:color w:val="auto"/>
        </w:rPr>
        <w:t>We are initially targeting rare lysosomal diseases in which the current standard of care provides the mechanistic proof that the enzymes or proteins produced endogenously following treatment with our gene therapies can offer benefit to patients. Typically, in lysosomal diseases, a gene mutation results in the deficiency or malfunctioning of an enzyme or other protein. This results in the inability of lysosomes to properly process cellular materials such as damaged organelles. As a result, substrates and their metabolites accumulate to toxic levels in the body’s cells and, in turn, disrupt the function of multiple tissues and organs. Fabry disease, Gaucher disease and Pompe disease are currently primarily managed by bi-weekly, multi-hour infusions with ERTs that seek to exogenously replace the missing functional enzyme. However, given their pharmacokinetics,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371" w:lineRule="exact"/>
        <w:rPr>
          <w:sz w:val="20"/>
          <w:szCs w:val="20"/>
          <w:color w:val="auto"/>
        </w:rPr>
      </w:pPr>
    </w:p>
    <w:p>
      <w:pPr>
        <w:ind w:right="20" w:firstLine="546"/>
        <w:spacing w:after="0" w:line="252"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potentially providing significant health economic advantages.</w:t>
      </w:r>
    </w:p>
    <w:p>
      <w:pPr>
        <w:spacing w:after="0" w:line="193" w:lineRule="exact"/>
        <w:rPr>
          <w:sz w:val="20"/>
          <w:szCs w:val="20"/>
          <w:color w:val="auto"/>
        </w:rPr>
      </w:pPr>
    </w:p>
    <w:p>
      <w:pPr>
        <w:ind w:right="200" w:firstLine="546"/>
        <w:spacing w:after="0" w:line="265"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and ongoing clinical efforts.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122555</wp:posOffset>
            </wp:positionV>
            <wp:extent cx="5304790" cy="1897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04790"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 xml:space="preserve">Our lead product candidate, AVR-RD-01 for the treatment of Fabry disease, is derived from hematopoietic stem cells to which the gene encoding plasma α-galactosidase A, or AGA, is added in an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process using a lentiviral vector. In July 2019, we reported that a kidney biopsy taken at 12 months post-treatment for the first patient in the Phase 2 trial showed an 87-percent reduction from baseline in the average number of globotriaosylceramide, or Gb3, inclusions per peritubular capillary. In addition, in February 2020 we reported data from the first three patients in the Phase 2 trial measured as of 18, 12 and nine months, respectively, indicating sustained increased leukocyte and plasma enzyme activity, suggesting that these patients are now producing an endogenous supply of AGA. For the first and third Phase 2 patients, data indicate that their decreased plasma lyso-globotriaosylsphingosine, or lyso-Gb3, levels, a key biomarker for monitoring Fabry disease, have been sustained below their baseline at 18 and six months after dosing, respectively. The second Phase 2 patient, a cardiac variant who does not have classic Fabry disease, did not show a decrease in plasma lyso-Gb3 levels, as expected. The fourth patient in the Phase 2 clinical trial was dosed in December 2019 with our plato platform. We have opened two U.S. sites for our ongoing Phase 2 clinical trial of AVR-RD-01 and are actively recruiting potential patients for our sites in Australia, Canada and the United States.</w:t>
      </w:r>
    </w:p>
    <w:p>
      <w:pPr>
        <w:spacing w:after="0" w:line="160"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In an ongoing investigator-sponsored Phase 1 clinical trial of patients with Fabry disease, AVR-RD-01 has been observed to be well-tolerated and has led to the production of active AGA enzyme in all five patients, with data from the first patient exhibiting enzyme activity at 32 months after dosing. Four of the five patients in the Phase 1 clinical trial have had their plasma lyso-Gb3 levels reduced between 26 and 47 percent compared to their pre-treatment baseline levels. Data from the other patient in the trial, who discontinued ERT one month prior to receiving AVR-RD-01 and remains off ERT, through month six showed an initial decline and at month 12 showed a 23-percent increase in lyso-Gb3 levels, as compared to pre-treatment levels. This patient’s lyso-Gb3 levels remain within the range for the Fabry disease patients on ERT observed in the Phase 1 clinical study.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6" w:name="page7"/>
    <w:bookmarkEnd w:id="6"/>
    <w:p>
      <w:pPr>
        <w:ind w:firstLine="546"/>
        <w:spacing w:after="0" w:line="264" w:lineRule="auto"/>
        <w:rPr>
          <w:sz w:val="20"/>
          <w:szCs w:val="20"/>
          <w:color w:val="auto"/>
        </w:rPr>
      </w:pPr>
      <w:r>
        <w:rPr>
          <w:rFonts w:ascii="Arial" w:cs="Arial" w:eastAsia="Arial" w:hAnsi="Arial"/>
          <w:sz w:val="17"/>
          <w:szCs w:val="17"/>
          <w:color w:val="auto"/>
        </w:rPr>
        <w:t>In February 2020, we announced initial clinical data from the first patient dosed in the investigator-sponsored Phase 1/2 trial of AVR-RD-04, the investigational gene therapy for cystinosis. As of the safety data cut-off date of January 27, 2020, which was approximately three months following administration of the investigational gene therapy, there had been no reports of safety events attributed to the investigational drug product and no serious adverse events, or SAEs, had been reported. Three months following administration of AVR-RD-04, the first patient exhibited a vector copy number, or VCN, of 2.0. VCN, which is expressed as VCN per diploid genome, refers to the average number of copies of the lentiviral-vector inserted gene that are integrated into the genome of a cell and is a measure that can be used to help assess the durability of a gene therapy. Initial data on another biomarker -- the average granulocyte cystine level, which is one of the clinical trial’s primary endpoints -- showed that the first patient’s average granulocyte cystine level decreased from a baseline level of 7.8 nmol half cystine/mg protein to 1.5 nmol half cystine per milligram three months post-treatment with AVR-RD-04. The patient’s baseline value was measured two weeks after discontinuation of cysteamine treatment, the current standard of care for cystinosis, and prior to initiating mobilization. As the Phase 1/2 clinical trial progresses, we expect to identify clinically meaningful measures, such as renal function, polyuria and crystal levels in the cornea and photophobia.</w:t>
      </w:r>
    </w:p>
    <w:p>
      <w:pPr>
        <w:spacing w:after="0" w:line="185" w:lineRule="exact"/>
        <w:rPr>
          <w:sz w:val="20"/>
          <w:szCs w:val="20"/>
          <w:color w:val="auto"/>
        </w:rPr>
      </w:pPr>
    </w:p>
    <w:p>
      <w:pPr>
        <w:ind w:right="360" w:firstLine="546"/>
        <w:spacing w:after="0" w:line="265" w:lineRule="auto"/>
        <w:rPr>
          <w:sz w:val="20"/>
          <w:szCs w:val="20"/>
          <w:color w:val="auto"/>
        </w:rPr>
      </w:pPr>
      <w:r>
        <w:rPr>
          <w:rFonts w:ascii="Arial" w:cs="Arial" w:eastAsia="Arial" w:hAnsi="Arial"/>
          <w:sz w:val="18"/>
          <w:szCs w:val="18"/>
          <w:color w:val="auto"/>
        </w:rPr>
        <w:t>The Phase 1/2 clinical trial for AVR-RD-02 for Gaucher disease is actively recruiting in Australia and Canada, with additional sites planned in the United States. Patient enrollment has commenced, and we expect to dose the first patient in the second quarter of 2020.</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AVR-RD-03 program for Pompe disease is currently in preclinical development with the first IND-enabling preclinical study initiated in 2019.</w:t>
      </w:r>
    </w:p>
    <w:p>
      <w:pPr>
        <w:spacing w:after="0" w:line="253" w:lineRule="exact"/>
        <w:rPr>
          <w:sz w:val="20"/>
          <w:szCs w:val="20"/>
          <w:color w:val="auto"/>
        </w:rPr>
      </w:pPr>
    </w:p>
    <w:p>
      <w:pPr>
        <w:ind w:right="700" w:firstLine="546"/>
        <w:spacing w:after="0" w:line="295"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7" w:lineRule="exact"/>
        <w:rPr>
          <w:sz w:val="20"/>
          <w:szCs w:val="20"/>
          <w:color w:val="auto"/>
        </w:rPr>
      </w:pPr>
    </w:p>
    <w:p>
      <w:pPr>
        <w:ind w:firstLine="546"/>
        <w:spacing w:after="0" w:line="264" w:lineRule="auto"/>
        <w:rPr>
          <w:sz w:val="20"/>
          <w:szCs w:val="20"/>
          <w:color w:val="auto"/>
        </w:rPr>
      </w:pPr>
      <w:r>
        <w:rPr>
          <w:rFonts w:ascii="Arial" w:cs="Arial" w:eastAsia="Arial" w:hAnsi="Arial"/>
          <w:sz w:val="17"/>
          <w:szCs w:val="17"/>
          <w:color w:val="auto"/>
        </w:rPr>
        <w:t xml:space="preserve">Plato is our gene therapy platform designed to provide the foundation for the potential worldwide commercialization of our gene therapies, if approved. It is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using busulfan with TDM, which is designed to optimize safety and engraftment. These three process changes, or upgrades, were cleared by applicable regulatory bodies in the United States, Canada and Australia for use in the Phase 2 clinical trial of AVR-RD-01 for Fabry disease and the Phase 1/2 clinical trial of AVR-RD-02 for Gaucher disease. We intend to utilize the plato platform with these process changes for all future patients enrolling in our Phase 2 clinical trial of AVR-RD-01 for Fabry disease and our Phase 1/2 clinical trial for Gaucher disease. We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w:t>
      </w:r>
    </w:p>
    <w:p>
      <w:pPr>
        <w:spacing w:after="0" w:line="18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Included in our process optimization efforts is the development of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also utilize a cryopreservation process that we believe will allow for the global distribution and, if approved, commercialization of our gene therapies. Key to our strategy is to continuously improve our technology and production processes and to leverage these improvements across our gene therapies.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Expertise</w:t>
      </w:r>
    </w:p>
    <w:p>
      <w:pPr>
        <w:spacing w:after="0" w:line="118" w:lineRule="exact"/>
        <w:rPr>
          <w:sz w:val="20"/>
          <w:szCs w:val="20"/>
          <w:color w:val="auto"/>
        </w:rPr>
      </w:pPr>
    </w:p>
    <w:p>
      <w:pPr>
        <w:ind w:right="40" w:firstLine="546"/>
        <w:spacing w:after="0" w:line="319" w:lineRule="auto"/>
        <w:rPr>
          <w:sz w:val="20"/>
          <w:szCs w:val="20"/>
          <w:color w:val="auto"/>
        </w:rPr>
      </w:pPr>
      <w:r>
        <w:rPr>
          <w:rFonts w:ascii="Arial" w:cs="Arial" w:eastAsia="Arial" w:hAnsi="Arial"/>
          <w:sz w:val="15"/>
          <w:szCs w:val="15"/>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GlaxoSmithKline, Lonza, Spark Therapeutics, Biogen, AveXis and other companies pursuing development, manufacturing and commercialization of gene, cellular and other therapies to treat rare diseases.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118" w:lineRule="exact"/>
        <w:rPr>
          <w:sz w:val="20"/>
          <w:szCs w:val="20"/>
          <w:color w:val="auto"/>
        </w:rPr>
      </w:pPr>
    </w:p>
    <w:p>
      <w:pPr>
        <w:ind w:right="20" w:firstLine="546"/>
        <w:spacing w:after="0" w:line="265" w:lineRule="auto"/>
        <w:rPr>
          <w:sz w:val="20"/>
          <w:szCs w:val="20"/>
          <w:color w:val="auto"/>
        </w:rPr>
      </w:pPr>
      <w:r>
        <w:rPr>
          <w:rFonts w:ascii="Arial" w:cs="Arial" w:eastAsia="Arial" w:hAnsi="Arial"/>
          <w:sz w:val="18"/>
          <w:szCs w:val="18"/>
          <w:color w:val="auto"/>
        </w:rPr>
        <w:t xml:space="preserve">Our goal is to develop and commercialize potentially curative lentiviral-based gene therapies for patients and expand the use of this approach to treat a number of diseases potentially addressable by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platform. Key elements of our strategy include:</w:t>
      </w:r>
    </w:p>
    <w:p>
      <w:pPr>
        <w:spacing w:after="0" w:line="74" w:lineRule="exact"/>
        <w:rPr>
          <w:sz w:val="20"/>
          <w:szCs w:val="20"/>
          <w:color w:val="auto"/>
        </w:rPr>
      </w:pPr>
    </w:p>
    <w:p>
      <w:pPr>
        <w:ind w:left="940" w:hanging="389"/>
        <w:spacing w:after="0" w:line="303" w:lineRule="auto"/>
        <w:tabs>
          <w:tab w:leader="none" w:pos="94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Rapidly Advance Our Initial Gene Therapies Targeting Lysosomal Diseases. </w:t>
      </w:r>
      <w:r>
        <w:rPr>
          <w:rFonts w:ascii="Arial" w:cs="Arial" w:eastAsia="Arial" w:hAnsi="Arial"/>
          <w:sz w:val="15"/>
          <w:szCs w:val="15"/>
          <w:color w:val="auto"/>
        </w:rPr>
        <w:t>We are initially targeting lysosomal diseases and are developing a</w:t>
      </w:r>
      <w:r>
        <w:rPr>
          <w:rFonts w:ascii="Arial" w:cs="Arial" w:eastAsia="Arial" w:hAnsi="Arial"/>
          <w:sz w:val="15"/>
          <w:szCs w:val="15"/>
          <w:i w:val="1"/>
          <w:iCs w:val="1"/>
          <w:color w:val="auto"/>
        </w:rPr>
        <w:t xml:space="preserve"> </w:t>
      </w:r>
      <w:r>
        <w:rPr>
          <w:rFonts w:ascii="Arial" w:cs="Arial" w:eastAsia="Arial" w:hAnsi="Arial"/>
          <w:sz w:val="15"/>
          <w:szCs w:val="15"/>
          <w:color w:val="auto"/>
        </w:rPr>
        <w:t>deep pipeline of four gene therapies to treat Fabry disease, Gaucher disease, cystinosis and Pompe disease. We intend to continue rapidly advancing these gene therapies and obtain efficacy data in patients from these development programs. Five patients have been dosed in the investigator-sponsored Phase 1 clinical trial of AVR-RD-01 for Fabry disease, and enrollment is complete. Four patients have been dosed to date in our company-sponsored Phase 2 clinical trial of AVR-RD-01, and we are actively recruiting additional potential patients for our sites in Australia, Canada and the United States. AVR-RD-04 is currently being studied by our collaborators at UCSD in a Phase 1/2 investigator-sponsored clinical trial, and the first patient was dosed in October 2019. Enrollment has commenced for the Phase 1/2 clinical trial for AVR-RD-02 for Gaucher disease, and we are actively recruiting potential patients in Australia and Canada, with additional sites planned in the United States.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53" w:lineRule="exact"/>
        <w:rPr>
          <w:rFonts w:ascii="Arial" w:cs="Arial" w:eastAsia="Arial" w:hAnsi="Arial"/>
          <w:sz w:val="15"/>
          <w:szCs w:val="15"/>
          <w:color w:val="auto"/>
        </w:rPr>
      </w:pPr>
    </w:p>
    <w:p>
      <w:pPr>
        <w:ind w:left="940" w:hanging="389"/>
        <w:spacing w:after="0" w:line="304" w:lineRule="auto"/>
        <w:tabs>
          <w:tab w:leader="none" w:pos="94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Continue Implementing Our Plato Platform with Refined Approach to Conditioning, Enhanced Vector Technology and Optimized Manufacturing Processes. </w:t>
      </w:r>
      <w:r>
        <w:rPr>
          <w:rFonts w:ascii="Arial" w:cs="Arial" w:eastAsia="Arial" w:hAnsi="Arial"/>
          <w:sz w:val="15"/>
          <w:szCs w:val="15"/>
          <w:color w:val="auto"/>
        </w:rPr>
        <w:t>We believe our innovations in viral vector design, cellular manufacturing, cryopreservation, and other related processes are important</w:t>
      </w:r>
      <w:r>
        <w:rPr>
          <w:rFonts w:ascii="Arial" w:cs="Arial" w:eastAsia="Arial" w:hAnsi="Arial"/>
          <w:sz w:val="15"/>
          <w:szCs w:val="15"/>
          <w:i w:val="1"/>
          <w:iCs w:val="1"/>
          <w:color w:val="auto"/>
        </w:rPr>
        <w:t xml:space="preserve"> </w:t>
      </w:r>
      <w:r>
        <w:rPr>
          <w:rFonts w:ascii="Arial" w:cs="Arial" w:eastAsia="Arial" w:hAnsi="Arial"/>
          <w:sz w:val="15"/>
          <w:szCs w:val="15"/>
          <w:color w:val="auto"/>
        </w:rPr>
        <w:t>steps towards advancing the field of lentiviral-based gene therapy and realizing its full potential to treat a number of diseases. Our plato platform is designed to provide the foundation for the potential worldwide commercialization of our gene therapies, if approved, and incorporates a four-plasmid lentiviral vector designed to optimize vector copy number, transduction efficiency and resulting enzyme activity. We have developed a manufacturing process that we believe is both reproducible and scalable, and we believe our closed, automated manufacturing system will enable us to deliver our gene therapies to patients at an industrialized scale. In addition, we believe our personalized approach to conditioning using busulfan with TDM will enable us to pursue early intervention for the treatment of lysosomal diseases and expand into a wide range of diseases where lentiviral-based gene therapy has not been previously utilized. We will continue to leverage advancements in stem cell transplantation in order to improve patient safety and tolerability of our lentiviral-based gene therapies.</w:t>
      </w:r>
    </w:p>
    <w:p>
      <w:pPr>
        <w:spacing w:after="0" w:line="264" w:lineRule="exact"/>
        <w:rPr>
          <w:rFonts w:ascii="Arial" w:cs="Arial" w:eastAsia="Arial" w:hAnsi="Arial"/>
          <w:sz w:val="15"/>
          <w:szCs w:val="15"/>
          <w:color w:val="auto"/>
        </w:rPr>
      </w:pPr>
    </w:p>
    <w:p>
      <w:pPr>
        <w:ind w:left="940" w:right="120" w:hanging="389"/>
        <w:spacing w:after="0" w:line="319" w:lineRule="auto"/>
        <w:tabs>
          <w:tab w:leader="none" w:pos="94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Build Global Infrastructure to Reach Patients Across the World. </w:t>
      </w:r>
      <w:r>
        <w:rPr>
          <w:rFonts w:ascii="Arial" w:cs="Arial" w:eastAsia="Arial" w:hAnsi="Arial"/>
          <w:sz w:val="15"/>
          <w:szCs w:val="15"/>
          <w:color w:val="auto"/>
        </w:rPr>
        <w:t>Lysosomal diseases afflict patients globally and we intend to continue building</w:t>
      </w:r>
      <w:r>
        <w:rPr>
          <w:rFonts w:ascii="Arial" w:cs="Arial" w:eastAsia="Arial" w:hAnsi="Arial"/>
          <w:sz w:val="15"/>
          <w:szCs w:val="15"/>
          <w:i w:val="1"/>
          <w:iCs w:val="1"/>
          <w:color w:val="auto"/>
        </w:rPr>
        <w:t xml:space="preserve"> </w:t>
      </w:r>
      <w:r>
        <w:rPr>
          <w:rFonts w:ascii="Arial" w:cs="Arial" w:eastAsia="Arial" w:hAnsi="Arial"/>
          <w:sz w:val="15"/>
          <w:szCs w:val="15"/>
          <w:color w:val="auto"/>
        </w:rPr>
        <w:t>global infrastructure in order to provide treatment to patients around the world. We are currently conducting clinical trials across multiple geographies, including the United States, Canada and Australia, with plans to potentially expand to other geographies including Japan, Europe and Israel. We have established a global network of suppliers and contract manufacturing organizations, or CMOs.</w:t>
      </w:r>
    </w:p>
    <w:p>
      <w:pPr>
        <w:spacing w:after="0" w:line="39" w:lineRule="exact"/>
        <w:rPr>
          <w:rFonts w:ascii="Arial" w:cs="Arial" w:eastAsia="Arial" w:hAnsi="Arial"/>
          <w:sz w:val="15"/>
          <w:szCs w:val="15"/>
          <w:color w:val="auto"/>
        </w:rPr>
      </w:pPr>
    </w:p>
    <w:p>
      <w:pPr>
        <w:ind w:left="940" w:right="20" w:hanging="389"/>
        <w:spacing w:after="0" w:line="331" w:lineRule="auto"/>
        <w:tabs>
          <w:tab w:leader="none" w:pos="94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Leverage Our Approach Beyond Our Initial Indications. </w:t>
      </w:r>
      <w:r>
        <w:rPr>
          <w:rFonts w:ascii="Arial" w:cs="Arial" w:eastAsia="Arial" w:hAnsi="Arial"/>
          <w:sz w:val="15"/>
          <w:szCs w:val="15"/>
          <w:color w:val="auto"/>
        </w:rPr>
        <w:t>We are initially developing gene therapies for the treatment of four different lysosomal</w:t>
      </w:r>
      <w:r>
        <w:rPr>
          <w:rFonts w:ascii="Arial" w:cs="Arial" w:eastAsia="Arial" w:hAnsi="Arial"/>
          <w:sz w:val="15"/>
          <w:szCs w:val="15"/>
          <w:i w:val="1"/>
          <w:iCs w:val="1"/>
          <w:color w:val="auto"/>
        </w:rPr>
        <w:t xml:space="preserve"> </w:t>
      </w:r>
      <w:r>
        <w:rPr>
          <w:rFonts w:ascii="Arial" w:cs="Arial" w:eastAsia="Arial" w:hAnsi="Arial"/>
          <w:sz w:val="15"/>
          <w:szCs w:val="15"/>
          <w:color w:val="auto"/>
        </w:rPr>
        <w:t>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18" w:lineRule="exact"/>
        <w:rPr>
          <w:sz w:val="20"/>
          <w:szCs w:val="20"/>
          <w:color w:val="auto"/>
        </w:rPr>
      </w:pPr>
    </w:p>
    <w:p>
      <w:pPr>
        <w:ind w:right="40" w:firstLine="546"/>
        <w:spacing w:after="0" w:line="266" w:lineRule="auto"/>
        <w:rPr>
          <w:sz w:val="20"/>
          <w:szCs w:val="20"/>
          <w:color w:val="auto"/>
        </w:rPr>
      </w:pPr>
      <w:r>
        <w:rPr>
          <w:rFonts w:ascii="Arial" w:cs="Arial" w:eastAsia="Arial" w:hAnsi="Arial"/>
          <w:sz w:val="17"/>
          <w:szCs w:val="17"/>
          <w:color w:val="auto"/>
        </w:rPr>
        <w:t xml:space="preserve">We develop therapies utilizing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 in the cell and can be reproduced as the cell divides. We focus on delivering our lentiviral-based gene therapies to patient-derived hematopoietic stem cells, which are primitive stem cells that develop into all types of blood cells, including white blood cells, red blood cells and platelets. To accomplish this, we harvest a patient’s hematopoietic stem cells and modify them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add the equivalent of a functional copy of the gene that is defective in the target disease. We then infuse the modified cells back into the patient. Our gene therapies are designed to be administered to the patient as a one-time therapy following a TDM conditioning regimen.</w:t>
      </w:r>
    </w:p>
    <w:p>
      <w:pPr>
        <w:spacing w:after="0" w:line="183" w:lineRule="exact"/>
        <w:rPr>
          <w:sz w:val="20"/>
          <w:szCs w:val="20"/>
          <w:color w:val="auto"/>
        </w:rPr>
      </w:pPr>
    </w:p>
    <w:p>
      <w:pPr>
        <w:ind w:right="180" w:firstLine="546"/>
        <w:spacing w:after="0" w:line="303" w:lineRule="auto"/>
        <w:rPr>
          <w:sz w:val="20"/>
          <w:szCs w:val="20"/>
          <w:color w:val="auto"/>
        </w:rPr>
      </w:pPr>
      <w:r>
        <w:rPr>
          <w:rFonts w:ascii="Arial" w:cs="Arial" w:eastAsia="Arial" w:hAnsi="Arial"/>
          <w:sz w:val="15"/>
          <w:szCs w:val="15"/>
          <w:color w:val="auto"/>
        </w:rPr>
        <w:t>We are initially focused on employing our approach to treat and potentially cure lysosomal diseases. These diseases have well-understood biologies, identified patient populations, established standards of care yet with significant unmet medical needs, and represent large markets with approximately</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 xml:space="preserve">$4.0 billion in worldwide net sales in 2019. We believe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can be industrialized into a robust, scalable and, if approved, commercially viable process that will allow us to deliver our potentially curative therapies to patients across different geographies with these and other serious monogenic disorders.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 w:name="page9"/>
    <w:bookmarkEnd w:id="8"/>
    <w:p>
      <w:pPr>
        <w:ind w:left="56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12" w:lineRule="exact"/>
        <w:rPr>
          <w:sz w:val="20"/>
          <w:szCs w:val="20"/>
          <w:color w:val="auto"/>
        </w:rPr>
      </w:pPr>
    </w:p>
    <w:p>
      <w:pPr>
        <w:ind w:left="940" w:right="80" w:hanging="389"/>
        <w:spacing w:after="0" w:line="366" w:lineRule="auto"/>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Durable Benefit. </w:t>
      </w:r>
      <w:r>
        <w:rPr>
          <w:rFonts w:ascii="Arial" w:cs="Arial" w:eastAsia="Arial" w:hAnsi="Arial"/>
          <w:sz w:val="15"/>
          <w:szCs w:val="15"/>
          <w:color w:val="auto"/>
        </w:rPr>
        <w:t>Lentiviral vectors have the potential to provide life-long benefits with a single dose. Lentiviral vectors can integrate stably into</w:t>
      </w:r>
      <w:r>
        <w:rPr>
          <w:rFonts w:ascii="Arial" w:cs="Arial" w:eastAsia="Arial" w:hAnsi="Arial"/>
          <w:sz w:val="15"/>
          <w:szCs w:val="15"/>
          <w:i w:val="1"/>
          <w:iCs w:val="1"/>
          <w:color w:val="auto"/>
        </w:rPr>
        <w:t xml:space="preserve"> </w:t>
      </w:r>
      <w:r>
        <w:rPr>
          <w:rFonts w:ascii="Arial" w:cs="Arial" w:eastAsia="Arial" w:hAnsi="Arial"/>
          <w:sz w:val="15"/>
          <w:szCs w:val="15"/>
          <w:color w:val="auto"/>
        </w:rPr>
        <w:t>the genome of hematopoietic stem cells and, when these cells replicate, they pass the integrated genes on to their progeny cells.</w:t>
      </w:r>
    </w:p>
    <w:p>
      <w:pPr>
        <w:spacing w:after="0" w:line="5" w:lineRule="exact"/>
        <w:rPr>
          <w:rFonts w:ascii="Arial" w:cs="Arial" w:eastAsia="Arial" w:hAnsi="Arial"/>
          <w:sz w:val="15"/>
          <w:szCs w:val="15"/>
          <w:color w:val="auto"/>
        </w:rPr>
      </w:pPr>
    </w:p>
    <w:p>
      <w:pPr>
        <w:ind w:left="940" w:right="40" w:hanging="389"/>
        <w:spacing w:after="0" w:line="252"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may migrate into tissues and therefore have the ability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benefit to affected tissues and organs throughout the body. In addition, we believe that the busulfan conditioning regimen used in our plato platform has the potential to allow our gene therapies to cross the blood-brain barrier, a feature which may yield therapeutic benefit in diseases that have a central nervous system component.</w:t>
      </w:r>
    </w:p>
    <w:p>
      <w:pPr>
        <w:spacing w:after="0" w:line="86" w:lineRule="exact"/>
        <w:rPr>
          <w:rFonts w:ascii="Arial" w:cs="Arial" w:eastAsia="Arial" w:hAnsi="Arial"/>
          <w:sz w:val="18"/>
          <w:szCs w:val="18"/>
          <w:color w:val="auto"/>
        </w:rPr>
      </w:pPr>
    </w:p>
    <w:p>
      <w:pPr>
        <w:ind w:left="940" w:right="60" w:hanging="389"/>
        <w:spacing w:after="0" w:line="26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Function cell correction. </w:t>
      </w:r>
      <w:r>
        <w:rPr>
          <w:rFonts w:ascii="Arial" w:cs="Arial" w:eastAsia="Arial" w:hAnsi="Arial"/>
          <w:sz w:val="18"/>
          <w:szCs w:val="18"/>
          <w:color w:val="auto"/>
        </w:rPr>
        <w:t>Lentiviral-based gene therapy has the potential to restore functional proteins in CD34+ stem cell daughter cells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macrophages.</w:t>
      </w:r>
    </w:p>
    <w:p>
      <w:pPr>
        <w:spacing w:after="0" w:line="74" w:lineRule="exact"/>
        <w:rPr>
          <w:rFonts w:ascii="Arial" w:cs="Arial" w:eastAsia="Arial" w:hAnsi="Arial"/>
          <w:sz w:val="18"/>
          <w:szCs w:val="18"/>
          <w:color w:val="auto"/>
        </w:rPr>
      </w:pPr>
    </w:p>
    <w:p>
      <w:pPr>
        <w:ind w:left="940" w:right="340" w:hanging="389"/>
        <w:spacing w:after="0" w:line="26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in Precedent Third Party Clinical Trials. </w:t>
      </w:r>
      <w:r>
        <w:rPr>
          <w:rFonts w:ascii="Arial" w:cs="Arial" w:eastAsia="Arial" w:hAnsi="Arial"/>
          <w:sz w:val="18"/>
          <w:szCs w:val="18"/>
          <w:color w:val="auto"/>
        </w:rPr>
        <w:t>No instances of insertional oncogenesis or leukemogenesis from lentiviral vectors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observed in clinical trials in which over 350 total patients have been treated.</w:t>
      </w:r>
    </w:p>
    <w:p>
      <w:pPr>
        <w:spacing w:after="0" w:line="74" w:lineRule="exact"/>
        <w:rPr>
          <w:rFonts w:ascii="Arial" w:cs="Arial" w:eastAsia="Arial" w:hAnsi="Arial"/>
          <w:sz w:val="18"/>
          <w:szCs w:val="18"/>
          <w:color w:val="auto"/>
        </w:rPr>
      </w:pPr>
    </w:p>
    <w:p>
      <w:pPr>
        <w:ind w:left="940" w:hanging="389"/>
        <w:spacing w:after="0" w:line="256"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 and</w:t>
      </w:r>
      <w:r>
        <w:rPr>
          <w:rFonts w:ascii="Arial" w:cs="Arial" w:eastAsia="Arial" w:hAnsi="Arial"/>
          <w:sz w:val="18"/>
          <w:szCs w:val="18"/>
          <w:i w:val="1"/>
          <w:iCs w:val="1"/>
          <w:color w:val="auto"/>
        </w:rPr>
        <w:t xml:space="preserve"> </w:t>
      </w:r>
      <w:r>
        <w:rPr>
          <w:rFonts w:ascii="Arial" w:cs="Arial" w:eastAsia="Arial" w:hAnsi="Arial"/>
          <w:sz w:val="18"/>
          <w:szCs w:val="18"/>
          <w:color w:val="auto"/>
        </w:rPr>
        <w:t>to patients who may be ineligible for other types of gene therapy due to the presence of preexisting antibodies that detect viral vectors and trigger the immune system to destroy the vector and cells infected by the vector.</w:t>
      </w:r>
    </w:p>
    <w:p>
      <w:pPr>
        <w:spacing w:after="0" w:line="81" w:lineRule="exact"/>
        <w:rPr>
          <w:rFonts w:ascii="Arial" w:cs="Arial" w:eastAsia="Arial" w:hAnsi="Arial"/>
          <w:sz w:val="18"/>
          <w:szCs w:val="18"/>
          <w:color w:val="auto"/>
        </w:rPr>
      </w:pPr>
    </w:p>
    <w:p>
      <w:pPr>
        <w:ind w:left="940" w:right="40" w:hanging="389"/>
        <w:spacing w:after="0" w:line="26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address a large variety of indications.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2" w:lineRule="exact"/>
        <w:rPr>
          <w:sz w:val="20"/>
          <w:szCs w:val="20"/>
          <w:color w:val="auto"/>
        </w:rPr>
      </w:pPr>
    </w:p>
    <w:p>
      <w:pPr>
        <w:ind w:right="20" w:firstLine="546"/>
        <w:spacing w:after="0" w:line="251" w:lineRule="auto"/>
        <w:rPr>
          <w:sz w:val="20"/>
          <w:szCs w:val="20"/>
          <w:color w:val="auto"/>
        </w:rPr>
      </w:pPr>
      <w:r>
        <w:rPr>
          <w:rFonts w:ascii="Arial" w:cs="Arial" w:eastAsia="Arial" w:hAnsi="Arial"/>
          <w:sz w:val="18"/>
          <w:szCs w:val="18"/>
          <w:color w:val="auto"/>
        </w:rPr>
        <w:t>There are approximately 50 identified lysosomal diseases, which are characterized by an abnormal toxic build-up of substrates and their metabolites in the body’s cells. We are initially targeting Fabry disease, Gaucher disease, cystinosis and Pompe disease. Each of these diseases affects a meaningful number of patients, has a suboptimal standard of care with unmet medical need and, we believe, is appropriate for lentiviral-based gene therapy. We believe our approach addresses the shortcomings of existing therapies where patients’ disease continues to progress despite chronic dosing and that our approach has the potential to halt progression of these diseases.</w:t>
      </w:r>
    </w:p>
    <w:p>
      <w:pPr>
        <w:spacing w:after="0" w:line="193"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 xml:space="preserve">Clinical proof of concept already exists for allogeneic bone marrow transplant in some lysosomal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allows patients to be their own cell donor, eliminating the need to find a matched bone marrow donor, while reducing the risk of complications related to the immunosuppression regimens required in allogeneic cell transplant in order to prevent both rejection and graft versus host disease.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TDM-Enabled Conditioning Regimen</w:t>
      </w:r>
    </w:p>
    <w:p>
      <w:pPr>
        <w:spacing w:after="0" w:line="112" w:lineRule="exact"/>
        <w:rPr>
          <w:sz w:val="20"/>
          <w:szCs w:val="20"/>
          <w:color w:val="auto"/>
        </w:rPr>
      </w:pPr>
    </w:p>
    <w:p>
      <w:pPr>
        <w:ind w:right="240" w:firstLine="546"/>
        <w:spacing w:after="0" w:line="309" w:lineRule="auto"/>
        <w:rPr>
          <w:sz w:val="20"/>
          <w:szCs w:val="20"/>
          <w:color w:val="auto"/>
        </w:rPr>
      </w:pPr>
      <w:r>
        <w:rPr>
          <w:rFonts w:ascii="Arial" w:cs="Arial" w:eastAsia="Arial" w:hAnsi="Arial"/>
          <w:sz w:val="15"/>
          <w:szCs w:val="15"/>
          <w:color w:val="auto"/>
        </w:rPr>
        <w:t>A core part of our approach is to expand the use of lentiviral-based gene therapy to treat numerous diseases. We believe that we will be able to demonstrate durable effects in our targeted diseases utilizing a single myeloablative agent, busulfan, which we have transitioned to as part of implementing our plato platform. Busulfan is mildly immunosuppressive and is designed to be personalized to each patient using TDM to achieve the desired level of conditioning to allow for gene therapy administration while limiting complications. We believe our approach to conditioning has the potential for reduced short- and long-term toxicities and effective long-term engraftment. If realized, we believe these benefits may promote lentiviral-based gene therapy as a therapeutic option for less acutely severe diseases or diseases with approved therapies in which large unmet medical needs remain.</w:t>
      </w:r>
    </w:p>
    <w:p>
      <w:pPr>
        <w:spacing w:after="0" w:line="155" w:lineRule="exact"/>
        <w:rPr>
          <w:sz w:val="20"/>
          <w:szCs w:val="20"/>
          <w:color w:val="auto"/>
        </w:rPr>
      </w:pPr>
    </w:p>
    <w:p>
      <w:pPr>
        <w:ind w:right="300" w:firstLine="546"/>
        <w:spacing w:after="0" w:line="319" w:lineRule="auto"/>
        <w:rPr>
          <w:sz w:val="20"/>
          <w:szCs w:val="20"/>
          <w:color w:val="auto"/>
        </w:rPr>
      </w:pPr>
      <w:r>
        <w:rPr>
          <w:rFonts w:ascii="Arial" w:cs="Arial" w:eastAsia="Arial" w:hAnsi="Arial"/>
          <w:sz w:val="15"/>
          <w:szCs w:val="15"/>
          <w:color w:val="auto"/>
        </w:rPr>
        <w:t xml:space="preserve">Prior to the reintroduction of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modified stem cells, a conditioning regimen is generally required to remove existing stem cells from the bone marrow in order to create space for the modified stem cells. Creating sufficient space in the bone marrow for the lentivirally-modified hematopoietic stem cells is required to enable the cells to engraft long-term and produce their progeny cells. Ablation requires the use of cytotoxic drugs that can transiently compromise the patient’s immune system, known as neutropenia, and ability to form blood clots, known as thrombocytopenia.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9" w:name="page10"/>
    <w:bookmarkEnd w:id="9"/>
    <w:p>
      <w:pPr>
        <w:ind w:right="40" w:firstLine="546"/>
        <w:spacing w:after="0" w:line="301" w:lineRule="auto"/>
        <w:rPr>
          <w:sz w:val="20"/>
          <w:szCs w:val="20"/>
          <w:color w:val="auto"/>
        </w:rPr>
      </w:pPr>
      <w:r>
        <w:rPr>
          <w:rFonts w:ascii="Arial" w:cs="Arial" w:eastAsia="Arial" w:hAnsi="Arial"/>
          <w:sz w:val="15"/>
          <w:szCs w:val="15"/>
          <w:color w:val="auto"/>
        </w:rPr>
        <w:t xml:space="preserve">Since its first clinical use in 2003, lentiviral-based gene therapy has been observed to be well-tolerated in third parties’ clinical trials for rare diseases such as transfusion-dependent beta thalassemia, CALD, MLD, and ADA-SCID. Initially, the use of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lentiviral-based gene therapies was restricted primarily to the most severe diseases where the risks of the typical requirement for ablating the patients’ bone marrow had a clinically justifiable risk/benefit profile. To date, over 350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essential step in the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gene therapy treatment procedure and is administered prior to the gene therapy. The higher the level of conditioning, the greater the potential risk of more serious complications, such as veno-occlusive disease. However, we believe the risk of the more serious complications can be managed through utilization of TDM to enable careful titrating of exposure to the drug to a specific AuC. The conditioning regimen utilized as part of our plato platform includes TDM to assess how rapidly the individual patient metabolizes the conditioning agent so physicians can adjust the dose as needed, with a goal of minimizing side effects while maximizing the potential of durable engraftment.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busulfan, coupled with TDM designed to titrate to a specific AuC, has the potential to extend the reach of our gene therapies to a broad range of diseases as first-line therapies. Our goal is to broaden the applicability of lentiviral-based gene therapy by initially targeting monogenic diseases with an identified gene, recognized biology and that could potentially benefit from the sustained systemic delivery of an active protein.</w:t>
      </w: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plato: Our Commercial-Scale Platform</w:t>
      </w:r>
    </w:p>
    <w:p>
      <w:pPr>
        <w:spacing w:after="0" w:line="112" w:lineRule="exact"/>
        <w:rPr>
          <w:sz w:val="20"/>
          <w:szCs w:val="20"/>
          <w:color w:val="auto"/>
        </w:rPr>
      </w:pPr>
    </w:p>
    <w:p>
      <w:pPr>
        <w:ind w:firstLine="546"/>
        <w:spacing w:after="0" w:line="302" w:lineRule="auto"/>
        <w:rPr>
          <w:sz w:val="20"/>
          <w:szCs w:val="20"/>
          <w:color w:val="auto"/>
        </w:rPr>
      </w:pPr>
      <w:r>
        <w:rPr>
          <w:rFonts w:ascii="Arial" w:cs="Arial" w:eastAsia="Arial" w:hAnsi="Arial"/>
          <w:sz w:val="15"/>
          <w:szCs w:val="15"/>
          <w:color w:val="auto"/>
        </w:rPr>
        <w:t xml:space="preserve">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if approved. Plato is designed to provide the foundation for the potential worldwide commercialization of our gene therapies. It is an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using busulfan with TDM, which is designed to optimize safety and engraftment. These three process changes, or upgrades, were cleared by applicable regulatory bodies in the United States, Canada and Australia for use in the Phase 2 clinical trial of AVR-RD-01 for Fabry disease and the Phase 1/2 clinical trial of AVR-RD-02 for Gaucher disease. We intend to utilize the plato platform with these process changes for all future patients enrolling in our Phase 2 clinical trial of AVR-RD-01 for Fabry disease and our Phase 1/2 clinical trial of AVR-RD-02 for Gaucher disease. We believe our plato platform may lead to better patient outcomes and will represent a significant advance in our industry towards achieving the quality and scale required for global commercialization of gene therapies.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plato platform is designed to feature:</w:t>
      </w:r>
    </w:p>
    <w:p>
      <w:pPr>
        <w:spacing w:after="0" w:line="112" w:lineRule="exact"/>
        <w:rPr>
          <w:sz w:val="20"/>
          <w:szCs w:val="20"/>
          <w:color w:val="auto"/>
        </w:rPr>
      </w:pPr>
    </w:p>
    <w:p>
      <w:pPr>
        <w:ind w:left="940" w:right="740" w:hanging="389"/>
        <w:spacing w:after="0" w:line="265"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Large scale vector production</w:t>
      </w:r>
      <w:r>
        <w:rPr>
          <w:rFonts w:ascii="Arial" w:cs="Arial" w:eastAsia="Arial" w:hAnsi="Arial"/>
          <w:sz w:val="18"/>
          <w:szCs w:val="18"/>
          <w:color w:val="auto"/>
        </w:rPr>
        <w:t>: We currently have manufacturing capabilities, through CMOs, at 200-liter bioreactor scale, with vector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capable of treating a substantial number of patients per year.</w:t>
      </w:r>
    </w:p>
    <w:p>
      <w:pPr>
        <w:spacing w:after="0" w:line="74" w:lineRule="exact"/>
        <w:rPr>
          <w:rFonts w:ascii="Arial" w:cs="Arial" w:eastAsia="Arial" w:hAnsi="Arial"/>
          <w:sz w:val="18"/>
          <w:szCs w:val="18"/>
          <w:color w:val="auto"/>
        </w:rPr>
      </w:pPr>
    </w:p>
    <w:p>
      <w:pPr>
        <w:ind w:left="940" w:right="200" w:hanging="389"/>
        <w:spacing w:after="0" w:line="25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Global reach</w:t>
      </w:r>
      <w:r>
        <w:rPr>
          <w:rFonts w:ascii="Arial" w:cs="Arial" w:eastAsia="Arial" w:hAnsi="Arial"/>
          <w:sz w:val="18"/>
          <w:szCs w:val="18"/>
          <w:color w:val="auto"/>
        </w:rPr>
        <w:t>: Our automated, closed system for manufacturing is designed to allow for the flexible production of our gene therapies.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automated, closed manufacturing system is portable with proprietary AVROBIO algorithms which allow for efficient establishment of manufacturing capabilities in multiple geographies that can be expanded or adjusted as our global supply requirements evolve. We believe this approach will facilitate global manufacturing and shipping of our gene therapies, and will promote access to our products by patients and caregivers.</w:t>
      </w:r>
    </w:p>
    <w:p>
      <w:pPr>
        <w:spacing w:after="0" w:line="86" w:lineRule="exact"/>
        <w:rPr>
          <w:rFonts w:ascii="Arial" w:cs="Arial" w:eastAsia="Arial" w:hAnsi="Arial"/>
          <w:sz w:val="18"/>
          <w:szCs w:val="18"/>
          <w:color w:val="auto"/>
        </w:rPr>
      </w:pPr>
    </w:p>
    <w:p>
      <w:pPr>
        <w:jc w:val="both"/>
        <w:ind w:left="940" w:right="200" w:hanging="389"/>
        <w:spacing w:after="0" w:line="278" w:lineRule="auto"/>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Quality of manufacturing</w:t>
      </w:r>
      <w:r>
        <w:rPr>
          <w:rFonts w:ascii="Arial" w:cs="Arial" w:eastAsia="Arial" w:hAnsi="Arial"/>
          <w:sz w:val="17"/>
          <w:szCs w:val="17"/>
          <w:color w:val="auto"/>
        </w:rPr>
        <w:t>: Our platform is designed to utilize current good manufacturing practices, or cGMP, and we believe our automated,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closed manufacturing system may result in less production variability and reduce the risk of operator error, while enhancing the potency of the drug product. We believe these features will improve the quality of our gene therapies that are produced.</w:t>
      </w:r>
    </w:p>
    <w:p>
      <w:pPr>
        <w:spacing w:after="0" w:line="64" w:lineRule="exact"/>
        <w:rPr>
          <w:rFonts w:ascii="Arial" w:cs="Arial" w:eastAsia="Arial" w:hAnsi="Arial"/>
          <w:sz w:val="17"/>
          <w:szCs w:val="17"/>
          <w:color w:val="auto"/>
        </w:rPr>
      </w:pPr>
    </w:p>
    <w:p>
      <w:pPr>
        <w:ind w:left="940" w:right="140" w:hanging="389"/>
        <w:spacing w:after="0" w:line="265"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Patient convenience</w:t>
      </w:r>
      <w:r>
        <w:rPr>
          <w:rFonts w:ascii="Arial" w:cs="Arial" w:eastAsia="Arial" w:hAnsi="Arial"/>
          <w:sz w:val="18"/>
          <w:szCs w:val="18"/>
          <w:color w:val="auto"/>
        </w:rPr>
        <w:t>: Our gene therapies are cryopreserved, which is a feature designed to promote a longer shelf-life. We believe that a longer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shelf-life will allow patients and clinics to schedule treatment sessions with greater convenience.</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Cost containment</w:t>
      </w:r>
      <w:r>
        <w:rPr>
          <w:rFonts w:ascii="Arial" w:cs="Arial" w:eastAsia="Arial" w:hAnsi="Arial"/>
          <w:sz w:val="17"/>
          <w:szCs w:val="17"/>
          <w:color w:val="auto"/>
        </w:rPr>
        <w:t>: Our platform is designed to control fixed and variable expenses associated with manufacturing our gene therapies.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0" w:name="page11"/>
    <w:bookmarkEnd w:id="10"/>
    <w:p>
      <w:pPr>
        <w:ind w:left="560"/>
        <w:spacing w:after="0"/>
        <w:rPr>
          <w:sz w:val="20"/>
          <w:szCs w:val="20"/>
          <w:color w:val="auto"/>
        </w:rPr>
      </w:pPr>
      <w:r>
        <w:rPr>
          <w:rFonts w:ascii="Arial" w:cs="Arial" w:eastAsia="Arial" w:hAnsi="Arial"/>
          <w:sz w:val="17"/>
          <w:szCs w:val="17"/>
          <w:color w:val="auto"/>
        </w:rPr>
        <w:t>We believe the plato platform will form the backbone of our future commercialization efforts and our goal to take gene therapy mainstream.</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Generation Vector Technology</w:t>
      </w:r>
    </w:p>
    <w:p>
      <w:pPr>
        <w:spacing w:after="0" w:line="112" w:lineRule="exact"/>
        <w:rPr>
          <w:sz w:val="20"/>
          <w:szCs w:val="20"/>
          <w:color w:val="auto"/>
        </w:rPr>
      </w:pPr>
    </w:p>
    <w:p>
      <w:pPr>
        <w:ind w:right="40" w:firstLine="546"/>
        <w:spacing w:after="0" w:line="250" w:lineRule="auto"/>
        <w:rPr>
          <w:sz w:val="20"/>
          <w:szCs w:val="20"/>
          <w:color w:val="auto"/>
        </w:rPr>
      </w:pPr>
      <w:r>
        <w:rPr>
          <w:rFonts w:ascii="Arial" w:cs="Arial" w:eastAsia="Arial" w:hAnsi="Arial"/>
          <w:sz w:val="18"/>
          <w:szCs w:val="18"/>
          <w:color w:val="auto"/>
        </w:rPr>
        <w:t>We utilize our core expertise in the development and optimization of lentiviral vectors to continuously improve the vectors used in our gene therapies. We have made and expect to continue to make enhancements to our lentiviral vectors to improve safety, efficacy and efficiency. For example, clinical trials of AVR-RD-01 have primarily utilized our original academic three-plasmid-produced lentiviral vector, which we refer to as LV1. In December 2019 we dosed the fourth patient in our ongoing Phase 2 clinical trial of AVR-RD-01 using our proprietary four-plasmid lentiviral vector, which we refer to as LV2, and expect to dose all future patients in this trial with LV2. Our goal is to employ vectors that are state-of-the-art and that can be produced in a cost-effective and scalable manner.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2" w:lineRule="exact"/>
        <w:rPr>
          <w:sz w:val="20"/>
          <w:szCs w:val="20"/>
          <w:color w:val="auto"/>
        </w:rPr>
      </w:pPr>
    </w:p>
    <w:p>
      <w:pPr>
        <w:ind w:right="220" w:firstLine="546"/>
        <w:spacing w:after="0" w:line="266" w:lineRule="auto"/>
        <w:rPr>
          <w:sz w:val="20"/>
          <w:szCs w:val="20"/>
          <w:color w:val="auto"/>
        </w:rPr>
      </w:pPr>
      <w:r>
        <w:rPr>
          <w:rFonts w:ascii="Arial" w:cs="Arial" w:eastAsia="Arial" w:hAnsi="Arial"/>
          <w:sz w:val="17"/>
          <w:szCs w:val="17"/>
          <w:color w:val="auto"/>
        </w:rPr>
        <w:t>Our team has significant experience in cell processing and commercial-scale cellular therapy manufacturing. We have developed and are implementing a detailed plan for more cost efficient and scalable manufacturing of our gene therapies. In contrast to a number of other gene therapy companies that have not developed their commercial scale plans from the outset, we have executed on our plans to move to a closed suspension bioreactor system for vector production, as well as a closed, automated system for manufacturing our gene therapy product. Our move to a closed, automated manufacturing system was completed in 2019 as part of implementing upgrades from our plato platform, and in December 2019 the fourth patient in our ongoing Phase 2 clinical trial of AVR-RD-01 was dosed using the closed, automated manufacturing system. We believe our plato platform features the first automated, closed manufacturing system in CD34+ gene therapy.</w:t>
      </w:r>
    </w:p>
    <w:p>
      <w:pPr>
        <w:spacing w:after="0" w:line="183" w:lineRule="exact"/>
        <w:rPr>
          <w:sz w:val="20"/>
          <w:szCs w:val="20"/>
          <w:color w:val="auto"/>
        </w:rPr>
      </w:pPr>
    </w:p>
    <w:p>
      <w:pPr>
        <w:ind w:right="100" w:firstLine="546"/>
        <w:spacing w:after="0" w:line="319" w:lineRule="auto"/>
        <w:rPr>
          <w:sz w:val="20"/>
          <w:szCs w:val="20"/>
          <w:color w:val="auto"/>
        </w:rPr>
      </w:pPr>
      <w:r>
        <w:rPr>
          <w:rFonts w:ascii="Arial" w:cs="Arial" w:eastAsia="Arial" w:hAnsi="Arial"/>
          <w:sz w:val="15"/>
          <w:szCs w:val="15"/>
          <w:color w:val="auto"/>
        </w:rPr>
        <w:t>Our manufacturing approach is intended to allow for the production of drug product using relatively small, self-contained devices, which may reduce our reliance on large traditional clean rooms that are expensive to establish and maintain. We believe our manufacturing approach may result in greater flexibility in the location of manufacture and help to control costs associated with traditional manufacturing. In addition, we believe our automated manufacturing process may reduce operator error and yield greater consistency and less variability in the manufactured drug product.</w:t>
      </w:r>
    </w:p>
    <w:p>
      <w:pPr>
        <w:spacing w:after="0" w:line="145" w:lineRule="exact"/>
        <w:rPr>
          <w:sz w:val="20"/>
          <w:szCs w:val="20"/>
          <w:color w:val="auto"/>
        </w:rPr>
      </w:pPr>
    </w:p>
    <w:p>
      <w:pPr>
        <w:ind w:right="60" w:firstLine="546"/>
        <w:spacing w:after="0" w:line="256" w:lineRule="auto"/>
        <w:rPr>
          <w:sz w:val="20"/>
          <w:szCs w:val="20"/>
          <w:color w:val="auto"/>
        </w:rPr>
      </w:pPr>
      <w:r>
        <w:rPr>
          <w:rFonts w:ascii="Arial" w:cs="Arial" w:eastAsia="Arial" w:hAnsi="Arial"/>
          <w:sz w:val="18"/>
          <w:szCs w:val="18"/>
          <w:color w:val="auto"/>
        </w:rPr>
        <w:t>We currently have a CMO partner for the production of our cellular drug product in Australia and we have established two CMO partners in the United States who are currently preparing for production with cGMP-readiness for AVR-RD-01 and AVR-RD-02. We also are in the process of establishing a CMO partnership in Europe.</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Optimization of Conditioning Regimen</w:t>
      </w:r>
    </w:p>
    <w:p>
      <w:pPr>
        <w:spacing w:after="0" w:line="112" w:lineRule="exact"/>
        <w:rPr>
          <w:sz w:val="20"/>
          <w:szCs w:val="20"/>
          <w:color w:val="auto"/>
        </w:rPr>
      </w:pPr>
    </w:p>
    <w:p>
      <w:pPr>
        <w:ind w:right="60" w:firstLine="546"/>
        <w:spacing w:after="0" w:line="250" w:lineRule="auto"/>
        <w:rPr>
          <w:sz w:val="20"/>
          <w:szCs w:val="20"/>
          <w:color w:val="auto"/>
        </w:rPr>
      </w:pPr>
      <w:r>
        <w:rPr>
          <w:rFonts w:ascii="Arial" w:cs="Arial" w:eastAsia="Arial" w:hAnsi="Arial"/>
          <w:sz w:val="18"/>
          <w:szCs w:val="18"/>
          <w:color w:val="auto"/>
        </w:rPr>
        <w:t xml:space="preserve">The conditioning regimen that we have historically employed utilizes melphalan, a common chemotherapy drug, to ablate the patient’s bone marrow. As part of the upgrades to our plato platform, we have transitioned to utilizing busulfan, another chemotherapy drug, that has been in use since the 1950’s. Busulfan is indicated for use in combination with cyclophosphamide as a conditioning regimen prior to allogeneic stem cell transplantation for chronic myeloid leukemia. Busulfan is routinely used in conditioning regimens before allogeneic stem cell transplantations for both malignant and non-malignant conditions. It has also been used as a single-agent, or in combination with an immunosuppressive agent, such as cyclophosphamide, in conditioning regimens prior to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transplants.</w:t>
      </w:r>
    </w:p>
    <w:p>
      <w:pPr>
        <w:spacing w:after="0" w:line="194"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We believe that the transition to busulfan for our conditioning regimen may confer several advantages. For example, busulfan will permit utilization of TDM in our conditioning regimen, thereby enabling physicians to personalize the dosing to each patient by titrating over four days to enhance patient tolerability to the conditioning procedure and promote cell engraftment. By contrast, melphalan is administered once with no TDM, and may cause concern of conditioning-related toxicity across patients due to individual differences in metabolism of the drug. In addition, we believe that the utilization of busulfan in our single-agent myeloablative conditioning regimen may have the potential to allow our gene therapies to cross the blood-brain barrier, a feature which may yield therapeutic benefit in diseases that have a central nervous system component, such as Fabry disease, Gaucher disease, Pompe disease and other rare and non-rare diseases. Finally, our busulfan conditioning regimen is designed to create more space in the ablated bone marrow compared to melphalan and may increase the average VCN of the patient bone marrow following treatment with the drug product, which are features that we believe will promote better cell engraftment and durability of the gene therapy.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1" w:name="page12"/>
    <w:bookmarkEnd w:id="11"/>
    <w:p>
      <w:pPr>
        <w:ind w:firstLine="546"/>
        <w:spacing w:after="0" w:line="305" w:lineRule="auto"/>
        <w:rPr>
          <w:sz w:val="20"/>
          <w:szCs w:val="20"/>
          <w:color w:val="auto"/>
        </w:rPr>
      </w:pPr>
      <w:r>
        <w:rPr>
          <w:rFonts w:ascii="Arial" w:cs="Arial" w:eastAsia="Arial" w:hAnsi="Arial"/>
          <w:sz w:val="15"/>
          <w:szCs w:val="15"/>
          <w:color w:val="auto"/>
        </w:rPr>
        <w:t xml:space="preserve">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w:t>
      </w:r>
      <w:r>
        <w:rPr>
          <w:rFonts w:ascii="Arial" w:cs="Arial" w:eastAsia="Arial" w:hAnsi="Arial"/>
          <w:sz w:val="15"/>
          <w:szCs w:val="15"/>
          <w:i w:val="1"/>
          <w:iCs w:val="1"/>
          <w:color w:val="auto"/>
        </w:rPr>
        <w:t>ex-vivo</w:t>
      </w:r>
      <w:r>
        <w:rPr>
          <w:rFonts w:ascii="Arial" w:cs="Arial" w:eastAsia="Arial" w:hAnsi="Arial"/>
          <w:sz w:val="15"/>
          <w:szCs w:val="15"/>
          <w:color w:val="auto"/>
        </w:rPr>
        <w:t xml:space="preserve"> gene therapy for non-malignant indications, of which 648 were from peer-reviewed literature. Of the 648 busulfan exposures reported in peer-reviewed literature, none of the cases reported t-MDS. Of the 67 exposures reported in non-peer-reviewed published abstracts, 66 reported no cases of t-MDS resulting from busulfan exposure, and in one case it was reported that a patient developed t-MDS. In that case, which has not yet been peer-reviewed, busulfan treatment was posited to be a contributing factor. We believe that due to the presence of other confounding factors in the patient, the cause of that patient’s t-MDS has not been conclusively determined. In the future we may also utilize molecular cytogenetic screening to further reduce such risks to patients.</w:t>
      </w:r>
    </w:p>
    <w:p>
      <w:pPr>
        <w:spacing w:after="0" w:line="159" w:lineRule="exact"/>
        <w:rPr>
          <w:sz w:val="20"/>
          <w:szCs w:val="20"/>
          <w:color w:val="auto"/>
        </w:rPr>
      </w:pPr>
    </w:p>
    <w:p>
      <w:pPr>
        <w:ind w:right="40" w:firstLine="546"/>
        <w:spacing w:after="0" w:line="251" w:lineRule="auto"/>
        <w:rPr>
          <w:sz w:val="20"/>
          <w:szCs w:val="20"/>
          <w:color w:val="auto"/>
        </w:rPr>
      </w:pPr>
      <w:r>
        <w:rPr>
          <w:rFonts w:ascii="Arial" w:cs="Arial" w:eastAsia="Arial" w:hAnsi="Arial"/>
          <w:sz w:val="18"/>
          <w:szCs w:val="18"/>
          <w:color w:val="auto"/>
        </w:rPr>
        <w:t>While the busulfan conditioning regimen is more intensive than the original conditioning regimen that utilizes melphalan, we believe it is still milder than some of the more aggressive conditioning regimens associated with gene therapies for other diseases, such as when busulfan is used in combination with cyclophosphamide, used at a higher dose, or when TDM is not applied. Furthermore, we believe our conditioning regimen may produce the desired effect while potentially allowing for a limited hospital stay or potentially for an outpatient procedure, on a case-by-case basis as may be directed by the patient’s physician.</w:t>
      </w:r>
    </w:p>
    <w:p>
      <w:pPr>
        <w:spacing w:after="0" w:line="193"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The fourth patient in our Phase 2 trial of AVR-RD-01 for Fabry disease received a precision dosing conditioning regimen with busulfan as part of the plato platform, while the first patient in the Phase 1/2 trial of AVR-RD-04 for cystinosis received busulfan but not as part of the plato platform. In February 2020 we announced that these two patients both had rapid neutrophil and platelet count recovery, with a trajectory that was similar to the patients who enrolled earlier in the trials of AVR-RD-01 and who received a melphalan conditioning regimen. Side effects, which included nausea, mucositis, fever, rash and hair loss, developed eight to 10 days after dosing with busulfan and then resolved quickly.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Initial plato Data</w:t>
      </w:r>
    </w:p>
    <w:p>
      <w:pPr>
        <w:spacing w:after="0" w:line="112"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In December 2019, we announced that the first patient had been dosed using our plato platform, who is the fourth patient dosed in our ongoing Phase 2 clinical trial of AVR-RD-01. The figures below, which we presented in February 2020, summarize the enzyme activity, VCN and transduction efficiency measurements of the drug product produced with our plato platform for the fourth patient in the Phase 2 trial of AVR-RD-01 for Fabry disease, as compared to the same individual values and mean of such values observed in the drug product for the first three patients in the same trial, each of whom were dosed prior to our implementation of the plato platform. We refer to the Phase 2 trial of AVR-RD-01 as FAB-201.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121920</wp:posOffset>
            </wp:positionV>
            <wp:extent cx="5253990" cy="2015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5399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2" w:name="page13"/>
    <w:bookmarkEnd w:id="12"/>
    <w:p>
      <w:pPr>
        <w:ind w:firstLine="546"/>
        <w:spacing w:after="0" w:line="265" w:lineRule="auto"/>
        <w:rPr>
          <w:sz w:val="20"/>
          <w:szCs w:val="20"/>
          <w:color w:val="auto"/>
        </w:rPr>
      </w:pPr>
      <w:r>
        <w:rPr>
          <w:rFonts w:ascii="Arial" w:cs="Arial" w:eastAsia="Arial" w:hAnsi="Arial"/>
          <w:sz w:val="18"/>
          <w:szCs w:val="18"/>
          <w:color w:val="auto"/>
        </w:rPr>
        <w:t xml:space="preserve">The figure below summarizes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plasma enzyme activity for all four patients in our Phase 2 clinical trial of AVR-RD-01, measured as of one-month post-treatment.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122555</wp:posOffset>
            </wp:positionV>
            <wp:extent cx="1846580" cy="2200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46580" cy="220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546"/>
        <w:spacing w:after="0" w:line="331" w:lineRule="auto"/>
        <w:rPr>
          <w:sz w:val="20"/>
          <w:szCs w:val="20"/>
          <w:color w:val="auto"/>
        </w:rPr>
      </w:pPr>
      <w:r>
        <w:rPr>
          <w:rFonts w:ascii="Arial" w:cs="Arial" w:eastAsia="Arial" w:hAnsi="Arial"/>
          <w:sz w:val="15"/>
          <w:szCs w:val="15"/>
          <w:color w:val="auto"/>
        </w:rPr>
        <w:t>The investigational drug product used to dose the first patient in the AVR-RD-04 program for cystinosis, which was produced at the University of California, Los Angeles and included a four-plasmid vector but not our proprietary LV2 vector or plato’s automated manufacturing process, exhibited a drug product VCN of 2.1 and a transduction efficiency of 76.0%. The investigational drug product and VCN assay are different for each trial.</w:t>
      </w:r>
    </w:p>
    <w:p>
      <w:pPr>
        <w:spacing w:after="0" w:line="2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gene therapy solutions offer several potential advantages over existing therapies for lysosomal diseases, including:</w:t>
      </w:r>
    </w:p>
    <w:p>
      <w:pPr>
        <w:spacing w:after="0" w:line="112" w:lineRule="exact"/>
        <w:rPr>
          <w:sz w:val="20"/>
          <w:szCs w:val="20"/>
          <w:color w:val="auto"/>
        </w:rPr>
      </w:pPr>
    </w:p>
    <w:p>
      <w:pPr>
        <w:ind w:left="940" w:right="100" w:hanging="389"/>
        <w:spacing w:after="0" w:line="309" w:lineRule="auto"/>
        <w:tabs>
          <w:tab w:leader="none" w:pos="94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Curative Impact That Has The Potential to Halt or Reverse Disease Progression. </w:t>
      </w:r>
      <w:r>
        <w:rPr>
          <w:rFonts w:ascii="Arial" w:cs="Arial" w:eastAsia="Arial" w:hAnsi="Arial"/>
          <w:sz w:val="15"/>
          <w:szCs w:val="15"/>
          <w:color w:val="auto"/>
        </w:rPr>
        <w:t>Existing ERTs for Fabry, Gaucher and Pompe and oral</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for cystinosis provide some therapeutic benefit to patients. However, because of their suboptimal pharmacokinetics, these ERTs only transiently increase plasma enzyme levels and the therapies for cystinosis require multiple doses throughout the day. In contrast, our lentiviral-based gene therapies are designed to enable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106045</wp:posOffset>
            </wp:positionV>
            <wp:extent cx="5153025" cy="1973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3025" cy="197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40"/>
          </w:cols>
          <w:pgMar w:left="320" w:top="552" w:right="439" w:bottom="1440" w:gutter="0" w:footer="0" w:header="0"/>
        </w:sectPr>
      </w:pPr>
    </w:p>
    <w:bookmarkStart w:id="13" w:name="page14"/>
    <w:bookmarkEnd w:id="13"/>
    <w:p>
      <w:pPr>
        <w:ind w:left="940" w:right="60" w:hanging="389"/>
        <w:spacing w:after="0" w:line="252"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 oral</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86" w:lineRule="exact"/>
        <w:rPr>
          <w:rFonts w:ascii="Arial" w:cs="Arial" w:eastAsia="Arial" w:hAnsi="Arial"/>
          <w:sz w:val="18"/>
          <w:szCs w:val="18"/>
          <w:color w:val="auto"/>
        </w:rPr>
      </w:pPr>
    </w:p>
    <w:p>
      <w:pPr>
        <w:ind w:left="940" w:right="40" w:hanging="389"/>
        <w:spacing w:after="0" w:line="331" w:lineRule="auto"/>
        <w:tabs>
          <w:tab w:leader="none" w:pos="9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Reduced Treatment Cost Over a Patient’s Lifetime. </w:t>
      </w:r>
      <w:r>
        <w:rPr>
          <w:rFonts w:ascii="Arial" w:cs="Arial" w:eastAsia="Arial" w:hAnsi="Arial"/>
          <w:sz w:val="15"/>
          <w:szCs w:val="15"/>
          <w:color w:val="auto"/>
        </w:rPr>
        <w:t>Existing ERTs and oral therapies can cost millions of dollars over a patient’s lifetime because</w:t>
      </w:r>
      <w:r>
        <w:rPr>
          <w:rFonts w:ascii="Arial" w:cs="Arial" w:eastAsia="Arial" w:hAnsi="Arial"/>
          <w:sz w:val="15"/>
          <w:szCs w:val="15"/>
          <w:i w:val="1"/>
          <w:iCs w:val="1"/>
          <w:color w:val="auto"/>
        </w:rPr>
        <w:t xml:space="preserve"> </w:t>
      </w:r>
      <w:r>
        <w:rPr>
          <w:rFonts w:ascii="Arial" w:cs="Arial" w:eastAsia="Arial" w:hAnsi="Arial"/>
          <w:sz w:val="15"/>
          <w:szCs w:val="15"/>
          <w:color w:val="auto"/>
        </w:rPr>
        <w:t>these therapies require frequent doses of expensive treatments to manage symptoms. Our single-dose gene therapies are designed to replace the costly chronic intravenous and oral therapies that are the current standard of care for patients with lysosomal diseases.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18" w:lineRule="exact"/>
        <w:rPr>
          <w:sz w:val="20"/>
          <w:szCs w:val="20"/>
          <w:color w:val="auto"/>
        </w:rPr>
      </w:pPr>
    </w:p>
    <w:p>
      <w:pPr>
        <w:ind w:right="420" w:firstLine="546"/>
        <w:spacing w:after="0" w:line="252"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harvested from the patient, modified to add the gene that encodes for AGA, and then infused into the patient. AVR-RD-01 is currently being evaluated in an investigator-sponsored Phase 1 clinical trial and a company-sponsored Phase 2 clinical trial. A total of nine patients have been dosed across both trials as of March 6, 2020.</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2"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Fabry disease is a rare lysosomal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these become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83" w:lineRule="exact"/>
        <w:rPr>
          <w:sz w:val="20"/>
          <w:szCs w:val="20"/>
          <w:color w:val="auto"/>
        </w:rPr>
      </w:pPr>
    </w:p>
    <w:p>
      <w:pPr>
        <w:ind w:right="40" w:firstLine="546"/>
        <w:spacing w:after="0" w:line="252"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 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93" w:lineRule="exact"/>
        <w:rPr>
          <w:sz w:val="20"/>
          <w:szCs w:val="20"/>
          <w:color w:val="auto"/>
        </w:rPr>
      </w:pPr>
    </w:p>
    <w:p>
      <w:pPr>
        <w:ind w:right="220" w:firstLine="546"/>
        <w:spacing w:after="0" w:line="252" w:lineRule="auto"/>
        <w:rPr>
          <w:sz w:val="20"/>
          <w:szCs w:val="20"/>
          <w:color w:val="auto"/>
        </w:rPr>
      </w:pPr>
      <w:r>
        <w:rPr>
          <w:rFonts w:ascii="Arial" w:cs="Arial" w:eastAsia="Arial" w:hAnsi="Arial"/>
          <w:sz w:val="18"/>
          <w:szCs w:val="18"/>
          <w:color w:val="auto"/>
        </w:rPr>
        <w:t>Fabry disease is an X-linked disorder, meaning the gene that is responsible is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2" w:lineRule="exact"/>
        <w:rPr>
          <w:sz w:val="20"/>
          <w:szCs w:val="20"/>
          <w:color w:val="auto"/>
        </w:rPr>
      </w:pPr>
    </w:p>
    <w:p>
      <w:pPr>
        <w:ind w:right="20" w:firstLine="546"/>
        <w:spacing w:after="0" w:line="267" w:lineRule="auto"/>
        <w:rPr>
          <w:sz w:val="20"/>
          <w:szCs w:val="20"/>
          <w:color w:val="auto"/>
        </w:rPr>
      </w:pPr>
      <w:r>
        <w:rPr>
          <w:rFonts w:ascii="Arial" w:cs="Arial" w:eastAsia="Arial" w:hAnsi="Arial"/>
          <w:sz w:val="17"/>
          <w:szCs w:val="17"/>
          <w:color w:val="auto"/>
        </w:rPr>
        <w:t>Fabry disease is primarily treated with periodic infusions of ERT consisting of AGA enzyme over the patient’s lifetime. The most commonly prescribed ERTs for Fabry disease are Fabrazyme, marketed by Sanofi Genzyme, and Replagal, marketed by Shire, which was acquired by Takeda Pharmaceutical Company Ltd. In 2019, Fabrazyme and Replagal generated worldwide net sales of approximately €813 million euros and ¥50 billion Japanese yen,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83" w:lineRule="exact"/>
        <w:rPr>
          <w:sz w:val="20"/>
          <w:szCs w:val="20"/>
          <w:color w:val="auto"/>
        </w:rPr>
      </w:pPr>
    </w:p>
    <w:p>
      <w:pPr>
        <w:ind w:firstLine="546"/>
        <w:spacing w:after="0" w:line="313" w:lineRule="auto"/>
        <w:rPr>
          <w:sz w:val="20"/>
          <w:szCs w:val="20"/>
          <w:color w:val="auto"/>
        </w:rPr>
      </w:pPr>
      <w:r>
        <w:rPr>
          <w:rFonts w:ascii="Arial" w:cs="Arial" w:eastAsia="Arial" w:hAnsi="Arial"/>
          <w:sz w:val="15"/>
          <w:szCs w:val="15"/>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4" w:name="page15"/>
    <w:bookmarkEnd w:id="14"/>
    <w:p>
      <w:pPr>
        <w:ind w:right="40" w:firstLine="546"/>
        <w:spacing w:after="0" w:line="256" w:lineRule="auto"/>
        <w:rPr>
          <w:sz w:val="20"/>
          <w:szCs w:val="20"/>
          <w:color w:val="auto"/>
        </w:rPr>
      </w:pPr>
      <w:r>
        <w:rPr>
          <w:rFonts w:ascii="Arial" w:cs="Arial" w:eastAsia="Arial" w:hAnsi="Arial"/>
          <w:sz w:val="18"/>
          <w:szCs w:val="18"/>
          <w:color w:val="auto"/>
        </w:rPr>
        <w:t>Alternatives to ERT for patients with Fabry disease are limited. Galafold (migalastat), an oral therapy marketed by Amicus, was approved by the European Medicines Agency, or EMA, in May 2016, and by the FDA in August 2018. Amicus reports that only 35% to 50% of the gene mutations associated with Fabry disease are amenable to migalastat.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18" w:lineRule="exact"/>
        <w:rPr>
          <w:sz w:val="20"/>
          <w:szCs w:val="20"/>
          <w:color w:val="auto"/>
        </w:rPr>
      </w:pPr>
    </w:p>
    <w:p>
      <w:pPr>
        <w:ind w:right="420" w:firstLine="546"/>
        <w:spacing w:after="0" w:line="331" w:lineRule="auto"/>
        <w:rPr>
          <w:sz w:val="20"/>
          <w:szCs w:val="20"/>
          <w:color w:val="auto"/>
        </w:rPr>
      </w:pPr>
      <w:r>
        <w:rPr>
          <w:rFonts w:ascii="Arial" w:cs="Arial" w:eastAsia="Arial" w:hAnsi="Arial"/>
          <w:sz w:val="15"/>
          <w:szCs w:val="15"/>
          <w:color w:val="auto"/>
        </w:rPr>
        <w:t xml:space="preserve">We are developing AVR-RD-01 to halt or reverse disease progression and potentially cure patients with Fabry disease with a single dose of the patient’s own hematopoietic stem cells modified in an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12" w:lineRule="exact"/>
        <w:rPr>
          <w:sz w:val="20"/>
          <w:szCs w:val="20"/>
          <w:color w:val="auto"/>
        </w:rPr>
      </w:pPr>
    </w:p>
    <w:p>
      <w:pPr>
        <w:ind w:left="940" w:right="200" w:hanging="389"/>
        <w:spacing w:after="0" w:line="265"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delivery of active enzyme throughout the body after a single dose.</w:t>
      </w:r>
    </w:p>
    <w:p>
      <w:pPr>
        <w:spacing w:after="0" w:line="74" w:lineRule="exact"/>
        <w:rPr>
          <w:rFonts w:ascii="Arial" w:cs="Arial" w:eastAsia="Arial" w:hAnsi="Arial"/>
          <w:sz w:val="18"/>
          <w:szCs w:val="18"/>
          <w:color w:val="auto"/>
        </w:rPr>
      </w:pPr>
    </w:p>
    <w:p>
      <w:pPr>
        <w:ind w:left="940" w:right="60" w:hanging="389"/>
        <w:spacing w:after="0" w:line="256"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outcomes. Increased AGA enzyme activity is able to reduce Gb3 levels in multiple cells and tissues supporting the ability of AGA in the plasma to enter lysosomes and degrade Gb3 in a process referred to as cross correction.</w:t>
      </w:r>
    </w:p>
    <w:p>
      <w:pPr>
        <w:spacing w:after="0" w:line="81" w:lineRule="exact"/>
        <w:rPr>
          <w:rFonts w:ascii="Arial" w:cs="Arial" w:eastAsia="Arial" w:hAnsi="Arial"/>
          <w:sz w:val="18"/>
          <w:szCs w:val="18"/>
          <w:color w:val="auto"/>
        </w:rPr>
      </w:pPr>
    </w:p>
    <w:p>
      <w:pPr>
        <w:ind w:left="940" w:right="20" w:hanging="389"/>
        <w:spacing w:after="0" w:line="331"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Wide Therapeutic Window. </w:t>
      </w:r>
      <w:r>
        <w:rPr>
          <w:rFonts w:ascii="Arial" w:cs="Arial" w:eastAsia="Arial" w:hAnsi="Arial"/>
          <w:sz w:val="15"/>
          <w:szCs w:val="15"/>
          <w:color w:val="auto"/>
        </w:rPr>
        <w:t>We believe that even partial enzyme activity, if continuous, has the potential to provide long-term therapeutic benefit.</w:t>
      </w:r>
      <w:r>
        <w:rPr>
          <w:rFonts w:ascii="Arial" w:cs="Arial" w:eastAsia="Arial" w:hAnsi="Arial"/>
          <w:sz w:val="15"/>
          <w:szCs w:val="15"/>
          <w:i w:val="1"/>
          <w:iCs w:val="1"/>
          <w:color w:val="auto"/>
        </w:rPr>
        <w:t xml:space="preserve"> </w:t>
      </w:r>
      <w:r>
        <w:rPr>
          <w:rFonts w:ascii="Arial" w:cs="Arial" w:eastAsia="Arial" w:hAnsi="Arial"/>
          <w:sz w:val="15"/>
          <w:szCs w:val="15"/>
          <w:color w:val="auto"/>
        </w:rPr>
        <w:t>A wide range of levels of plasma AGA activity has been demonstrated to be both safe and effective in preclinical studies, reducing the need for precise regulation of enzyme expression levels and reinforcing that overexpression of AGA is not associated with increased safety risks.</w:t>
      </w:r>
    </w:p>
    <w:p>
      <w:pPr>
        <w:spacing w:after="0" w:line="30" w:lineRule="exact"/>
        <w:rPr>
          <w:rFonts w:ascii="Arial" w:cs="Arial" w:eastAsia="Arial" w:hAnsi="Arial"/>
          <w:sz w:val="15"/>
          <w:szCs w:val="15"/>
          <w:color w:val="auto"/>
        </w:rPr>
      </w:pPr>
    </w:p>
    <w:p>
      <w:pPr>
        <w:ind w:left="940" w:right="380" w:hanging="389"/>
        <w:spacing w:after="0" w:line="265"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and leukocyte AGA levels in a patient’s cells, regardless of which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1,000 specific mutations underlie the patient’s disease.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Multicenter Investigator-Sponsored Clinical Trial</w:t>
      </w:r>
    </w:p>
    <w:p>
      <w:pPr>
        <w:spacing w:after="0" w:line="112" w:lineRule="exact"/>
        <w:rPr>
          <w:sz w:val="20"/>
          <w:szCs w:val="20"/>
          <w:color w:val="auto"/>
        </w:rPr>
      </w:pPr>
    </w:p>
    <w:p>
      <w:pPr>
        <w:ind w:right="120" w:firstLine="546"/>
        <w:spacing w:after="0" w:line="298" w:lineRule="auto"/>
        <w:rPr>
          <w:sz w:val="20"/>
          <w:szCs w:val="20"/>
          <w:color w:val="auto"/>
        </w:rPr>
      </w:pPr>
      <w:r>
        <w:rPr>
          <w:rFonts w:ascii="Arial" w:cs="Arial" w:eastAsia="Arial" w:hAnsi="Arial"/>
          <w:sz w:val="15"/>
          <w:szCs w:val="15"/>
          <w:color w:val="auto"/>
        </w:rPr>
        <w:t>In an ongoing Phase 1 clinical trial of AVR-RD-01 being conducted by the University Health Network, or UHN, and sponsored by Fabry Disease Clinical Research and Therapeutics, or FACTs, at three centers in Canada, a total of five patients with Fabry disease who have been treated with ERT for at least six months have been enrolled, and enrollment is complete. The protocol for this clinical trial originally provided that ERT for these patients would be suspended one month prior to receiving AVR-RD-01 and then resumed one month after the AVR-RD-01 treatment and continued at bi-weekly intervals. The trial protocol was subsequently amended to allow the investigator team, at their discretion, to discontinue ERT six months after treatment with AVR-RD-</w:t>
      </w:r>
    </w:p>
    <w:p>
      <w:pPr>
        <w:spacing w:after="0" w:line="3" w:lineRule="exact"/>
        <w:rPr>
          <w:sz w:val="20"/>
          <w:szCs w:val="20"/>
          <w:color w:val="auto"/>
        </w:rPr>
      </w:pPr>
    </w:p>
    <w:p>
      <w:pPr>
        <w:ind w:right="260" w:firstLine="6"/>
        <w:spacing w:after="0" w:line="252" w:lineRule="auto"/>
        <w:tabs>
          <w:tab w:leader="none" w:pos="3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of the five patients in the clinical trial have discontinued the regular bi-weekly treatments with ERT and all three remain off ERT as of March 6, 2020.</w:t>
      </w:r>
    </w:p>
    <w:p>
      <w:pPr>
        <w:spacing w:after="0" w:line="192" w:lineRule="exact"/>
        <w:rPr>
          <w:sz w:val="20"/>
          <w:szCs w:val="20"/>
          <w:color w:val="auto"/>
        </w:rPr>
      </w:pPr>
    </w:p>
    <w:p>
      <w:pPr>
        <w:ind w:right="20" w:firstLine="546"/>
        <w:spacing w:after="0" w:line="256"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or severity of clinically notable abnormal vital signs and laboratory values and the frequency or severity of treatment-related adverse events. The safety of our initial, academic-based conditioning regimen is also being assessed in this clinical trial.</w:t>
      </w:r>
    </w:p>
    <w:p>
      <w:pPr>
        <w:spacing w:after="0" w:line="188" w:lineRule="exact"/>
        <w:rPr>
          <w:sz w:val="20"/>
          <w:szCs w:val="20"/>
          <w:color w:val="auto"/>
        </w:rPr>
      </w:pPr>
    </w:p>
    <w:p>
      <w:pPr>
        <w:ind w:right="120" w:firstLine="546"/>
        <w:spacing w:after="0" w:line="251" w:lineRule="auto"/>
        <w:rPr>
          <w:sz w:val="20"/>
          <w:szCs w:val="20"/>
          <w:color w:val="auto"/>
        </w:rPr>
      </w:pPr>
      <w:r>
        <w:rPr>
          <w:rFonts w:ascii="Arial" w:cs="Arial" w:eastAsia="Arial" w:hAnsi="Arial"/>
          <w:sz w:val="18"/>
          <w:szCs w:val="18"/>
          <w:color w:val="auto"/>
        </w:rPr>
        <w:t>A secondary objective for this clinical trial is to obtain preliminary efficacy signals of AVR-RD-01 therapy as assessed by AGA enzyme activity. Plasma and leukocyte AGA enzyme activity derived from administration of ERT decreases rapidly after administration with no residual plasma or leukocyte activity remaining approximately one day after treatment. To evaluate the ability of AVR-RD-01 to increase enzyme activity, the level of AGA activity was assessed in a patient immediately prior to the administration of the patient’s next dose of ERT, when limited or no plasma or leukocyte AGA activity from previously-administered ERT dose would be expected.</w:t>
      </w:r>
    </w:p>
    <w:p>
      <w:pPr>
        <w:spacing w:after="0" w:line="193"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All five patients in this clinical trial have been dosed. To date, the treatment was generally well-tolerated with no serious adverse events, or SAEs, related to the study drug. In addition, in all five patients, all of whom are males with classic Fabry disease, the level of plasma and leukocyte AGA enzyme activity began to rise after infusion. In each of the patients for whom data is available up to 12 months or later, plasma and leukocyte AGA enzyme activity was observed to increase from nearly undetectable levels before treatment to a peak within six months after treatment, followed by a decline and trending to stabilize to levels above the range for males with classical Fabry disease, defined as less than 1 nmol/hr/ml. We believe that the steep initial increase reflects AGA enzyme activity from the early progeny of the transduced stem cells, while the subsequent decline and stabilization in AGA enzyme levels reflect a shift from short term progenitor cells towards the gradual secretion of AGA enzyme by long-term engraftment cells that become more predominant over time.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5" w:name="page16"/>
    <w:bookmarkEnd w:id="15"/>
    <w:p>
      <w:pPr>
        <w:ind w:left="560"/>
        <w:spacing w:after="0"/>
        <w:rPr>
          <w:sz w:val="20"/>
          <w:szCs w:val="20"/>
          <w:color w:val="auto"/>
        </w:rPr>
      </w:pPr>
      <w:r>
        <w:rPr>
          <w:rFonts w:ascii="Arial" w:cs="Arial" w:eastAsia="Arial" w:hAnsi="Arial"/>
          <w:sz w:val="18"/>
          <w:szCs w:val="18"/>
          <w:i w:val="1"/>
          <w:iCs w:val="1"/>
          <w:color w:val="auto"/>
        </w:rPr>
        <w:t>AGA Enzyme Activity</w:t>
      </w:r>
    </w:p>
    <w:p>
      <w:pPr>
        <w:spacing w:after="0" w:line="112" w:lineRule="exact"/>
        <w:rPr>
          <w:sz w:val="20"/>
          <w:szCs w:val="20"/>
          <w:color w:val="auto"/>
        </w:rPr>
      </w:pPr>
    </w:p>
    <w:p>
      <w:pPr>
        <w:ind w:right="20" w:firstLine="546"/>
        <w:spacing w:after="0" w:line="265" w:lineRule="auto"/>
        <w:rPr>
          <w:sz w:val="20"/>
          <w:szCs w:val="20"/>
          <w:color w:val="auto"/>
        </w:rPr>
      </w:pPr>
      <w:r>
        <w:rPr>
          <w:rFonts w:ascii="Arial" w:cs="Arial" w:eastAsia="Arial" w:hAnsi="Arial"/>
          <w:sz w:val="17"/>
          <w:szCs w:val="17"/>
          <w:color w:val="auto"/>
        </w:rPr>
        <w:t>As of 32 months after receiving AVR-RD-01, the first patient’s plasma and leukocyte AGA enzyme activity levels continued to be above the range for males with classical Fabry disease. Based on the level of endogenously produced enzyme activity, at the 18-month follow-up visit for this patient, the investigator team for the trial made a clinical decision to discontinue the bi-weekly ERT and the patient remains off ERT as of 32 months post-treatment with AVR-RD-01. Additionally, the third and fourth patients in this clinical trial discontinued ERT one month prior to receiving AVR-RD-01 and voluntarily elected not to resume ERT. These patients remain off ERT as of 15 and 12 months post-treatment with AVR-RD-01, respectively. The second and fifth patients have elected to continue receiving concurrent ERT. Plasma and leukocyte AGA enzyme activity levels in all five patients remained above the range for males with classical Fabry disease, defined as less than 1 nmol/hr/ml, as of 32 months, 24 months, 15 months, 12 months and six months after treatment, respectively. We believe these results, particularly from the patients in the trial with longer-term AGA data points reported, support the potential of AVR-RD-01 to drive functional enzyme production for long durations.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graphs present the plasma and leukocyte AGA activity data following AVR-RD-01 treatment in all five patients over various points 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Phase 1: Leukocyte and Plasma AGA activity*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15240</wp:posOffset>
            </wp:positionV>
            <wp:extent cx="5726430" cy="2184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643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5680" w:hanging="34"/>
        <w:spacing w:after="0" w:line="285" w:lineRule="auto"/>
        <w:tabs>
          <w:tab w:leader="none" w:pos="5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For patients on ERT, enzyme activity is measured at trough, where applicable. </w:t>
      </w:r>
      <w:r>
        <w:rPr>
          <w:rFonts w:ascii="Arial" w:cs="Arial" w:eastAsia="Arial" w:hAnsi="Arial"/>
          <w:sz w:val="16"/>
          <w:szCs w:val="16"/>
          <w:b w:val="1"/>
          <w:bCs w:val="1"/>
          <w:i w:val="1"/>
          <w:iCs w:val="1"/>
          <w:color w:val="auto"/>
        </w:rPr>
        <w:t xml:space="preserve">Note: </w:t>
      </w:r>
      <w:r>
        <w:rPr>
          <w:rFonts w:ascii="Arial" w:cs="Arial" w:eastAsia="Arial" w:hAnsi="Arial"/>
          <w:sz w:val="16"/>
          <w:szCs w:val="16"/>
          <w:color w:val="auto"/>
        </w:rPr>
        <w:t>Dotted line illustrative only.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Lyso-Gb3 Levels</w:t>
      </w:r>
    </w:p>
    <w:p>
      <w:pPr>
        <w:spacing w:after="0" w:line="112"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The substrate, Gb3, and its toxic metabolite, known as lyso-Gb3, are considered surrogate markers for disease activity and treatment response for Fabry disease. In the case of ERT-naïve patients and patients who have discontinued ERT, we believe that reductions in Gb3 levels following treatment with gene therapy are likely driven by the therapeutic effect of gene therapy. In four of the five patients in the Phase 1 clinical trial of AVR-RD-01,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Based on the latest available efficacy data, these four Phase 1 patients exhibited reductions in plasma lyso-Gb3 levels ranging between 26% and 47% compared to their baseline ERT levels. With respect to the fourth patient, who discontinued ERT six months following administration of AVR-RD-01, we observed an initial decline in plasma lyso-Gb3 levels through six months post-treatment compared to baseline ERT, and a 23% increase in plasma lyso-Gb3 levels at twelve months post-treatment compared to baseline ERT. This patient’s plasma lyso-Gb3 levels remain within the range for the Fabry disease patients on ERT observed in this Phase 1 clinical trial.</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16" w:name="page17"/>
    <w:bookmarkEnd w:id="16"/>
    <w:p>
      <w:pPr>
        <w:ind w:right="300" w:firstLine="546"/>
        <w:spacing w:after="0" w:line="265" w:lineRule="auto"/>
        <w:rPr>
          <w:sz w:val="20"/>
          <w:szCs w:val="20"/>
          <w:color w:val="auto"/>
        </w:rPr>
      </w:pPr>
      <w:r>
        <w:rPr>
          <w:rFonts w:ascii="Arial" w:cs="Arial" w:eastAsia="Arial" w:hAnsi="Arial"/>
          <w:sz w:val="18"/>
          <w:szCs w:val="18"/>
          <w:color w:val="auto"/>
        </w:rPr>
        <w:t>The following graphs present the plasma lyso-Gb3 data following AVR-RD-01 treatment in all five patients over various points in time, as well as each patient’s ERT status and the change in plasma lyso-Gb3 levels from baseline.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Phase 1: Plasma lyso-Gb3 levels and ERT status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167005</wp:posOffset>
            </wp:positionV>
            <wp:extent cx="5667375" cy="2108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7375" cy="210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2" w:lineRule="exact"/>
        <w:rPr>
          <w:sz w:val="20"/>
          <w:szCs w:val="20"/>
          <w:color w:val="auto"/>
        </w:rPr>
      </w:pPr>
    </w:p>
    <w:p>
      <w:pPr>
        <w:ind w:right="80" w:firstLine="546"/>
        <w:spacing w:after="0" w:line="250" w:lineRule="auto"/>
        <w:rPr>
          <w:sz w:val="20"/>
          <w:szCs w:val="20"/>
          <w:color w:val="auto"/>
        </w:rPr>
      </w:pPr>
      <w:r>
        <w:rPr>
          <w:rFonts w:ascii="Arial" w:cs="Arial" w:eastAsia="Arial" w:hAnsi="Arial"/>
          <w:sz w:val="18"/>
          <w:szCs w:val="18"/>
          <w:color w:val="auto"/>
        </w:rPr>
        <w:t>VCN, which is expressed as VCN per diploid genome, refers to the average number of 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AVR-RD-01.</w:t>
      </w:r>
    </w:p>
    <w:p>
      <w:pPr>
        <w:spacing w:after="0" w:line="194" w:lineRule="exact"/>
        <w:rPr>
          <w:sz w:val="20"/>
          <w:szCs w:val="20"/>
          <w:color w:val="auto"/>
        </w:rPr>
      </w:pPr>
    </w:p>
    <w:p>
      <w:pPr>
        <w:ind w:firstLine="546"/>
        <w:spacing w:after="0" w:line="265" w:lineRule="auto"/>
        <w:rPr>
          <w:sz w:val="20"/>
          <w:szCs w:val="20"/>
          <w:color w:val="auto"/>
        </w:rPr>
      </w:pPr>
      <w:r>
        <w:rPr>
          <w:rFonts w:ascii="Arial" w:cs="Arial" w:eastAsia="Arial" w:hAnsi="Arial"/>
          <w:sz w:val="18"/>
          <w:szCs w:val="18"/>
          <w:color w:val="auto"/>
        </w:rPr>
        <w:t>The following graph presents the VCN data following AVR-RD-01 treatment in all five patients over various points in time, as well as the VCN of the drug product produced for each patient.</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Phase 1: Average VCN* in Nucleated Blood Cells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149860</wp:posOffset>
            </wp:positionV>
            <wp:extent cx="5557520" cy="2108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7520" cy="210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0" w:hanging="554"/>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VCN refers to the average number of copies of the lentiviral-vector inserted gene that are integrated into the genome of a cell, for a given cell population.</w:t>
      </w:r>
    </w:p>
    <w:p>
      <w:pPr>
        <w:spacing w:after="0" w:line="248"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17" w:name="page18"/>
    <w:bookmarkEnd w:id="17"/>
    <w:p>
      <w:pPr>
        <w:ind w:left="560"/>
        <w:spacing w:after="0"/>
        <w:rPr>
          <w:sz w:val="20"/>
          <w:szCs w:val="20"/>
          <w:color w:val="auto"/>
        </w:rPr>
      </w:pPr>
      <w:r>
        <w:rPr>
          <w:rFonts w:ascii="Arial" w:cs="Arial" w:eastAsia="Arial" w:hAnsi="Arial"/>
          <w:sz w:val="18"/>
          <w:szCs w:val="18"/>
          <w:i w:val="1"/>
          <w:iCs w:val="1"/>
          <w:color w:val="auto"/>
        </w:rPr>
        <w:t>Safety</w:t>
      </w:r>
    </w:p>
    <w:p>
      <w:pPr>
        <w:spacing w:after="0" w:line="112" w:lineRule="exact"/>
        <w:rPr>
          <w:sz w:val="20"/>
          <w:szCs w:val="20"/>
          <w:color w:val="auto"/>
        </w:rPr>
      </w:pPr>
    </w:p>
    <w:p>
      <w:pPr>
        <w:ind w:firstLine="546"/>
        <w:spacing w:after="0" w:line="302" w:lineRule="auto"/>
        <w:rPr>
          <w:sz w:val="20"/>
          <w:szCs w:val="20"/>
          <w:color w:val="auto"/>
        </w:rPr>
      </w:pPr>
      <w:r>
        <w:rPr>
          <w:rFonts w:ascii="Arial" w:cs="Arial" w:eastAsia="Arial" w:hAnsi="Arial"/>
          <w:sz w:val="15"/>
          <w:szCs w:val="15"/>
          <w:color w:val="auto"/>
        </w:rPr>
        <w:t>Preliminary safety data indicate AVR-RD-01 was generally well-tolerated with no SAEs related to the study drug. Adverse events, or AEs, were consistent with expectations for the melphalan conditioning regimen prescribed by the study protocol. As of the most recent safety cut-off date of November 26, 2019, there were 130 AEs reported, 115 of which were assessed by the investigator as being possibly, probably or definitely related to protocol treatment or procedures (which includes apheresis, stem cell transplant procedure, blood draws, insertion of central catheters, drugs used for mobilization of stem cells and/or conditioning, and the drug product). Two SAEs were reported through the safety data cut-off date of November 26, 2019, which included one report of Grade 3 febrile neutropenia and one report of Grade 2 thrombophlebitis, each occurring following the conditioning regimen and treatment with AVR-RD-01. Both SAEs have subsequently resolved. One event, the development of a left thigh mass, was originally reported as an SAE but has now been considered by the study investigator as not serious and has resolved in the patient. No new AEs have been reported for the first patient since January 17, 2018, the second patient since May 9, 2018, the third patient since August 6, 2018, the fourth patient since August 6, 2018 or the fifth patient since August 2019. In addition, investigators observed a temporary suppression of absolute neutrophil counts and platelets, which is an expected consequence of the conditioning regimen. These decreases were transient and not associated with any negative long-term impact on the patients. Neutrophil and platelet counts recovered after dosing. Because this clinical trial is ongoing, safety data are preliminary and subject to change. Subsequent to November 26, 2019, we have not been notified by the investigators in this clinical trial of any suspected SAEs related to the study drug.</w:t>
      </w:r>
    </w:p>
    <w:p>
      <w:pPr>
        <w:spacing w:after="0" w:line="37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Pre-existing low anti-AGA antibody titers have been detected in four patients in the Phase 1 trial. We believe none of these are of clinical relevance.</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Phase 2 Multinational Clinical Trial</w:t>
      </w:r>
    </w:p>
    <w:p>
      <w:pPr>
        <w:spacing w:after="0" w:line="112" w:lineRule="exact"/>
        <w:rPr>
          <w:sz w:val="20"/>
          <w:szCs w:val="20"/>
          <w:color w:val="auto"/>
        </w:rPr>
      </w:pPr>
    </w:p>
    <w:p>
      <w:pPr>
        <w:ind w:right="20" w:firstLine="546"/>
        <w:spacing w:after="0" w:line="307" w:lineRule="auto"/>
        <w:rPr>
          <w:sz w:val="20"/>
          <w:szCs w:val="20"/>
          <w:color w:val="auto"/>
        </w:rPr>
      </w:pPr>
      <w:r>
        <w:rPr>
          <w:rFonts w:ascii="Arial" w:cs="Arial" w:eastAsia="Arial" w:hAnsi="Arial"/>
          <w:sz w:val="15"/>
          <w:szCs w:val="15"/>
          <w:color w:val="auto"/>
        </w:rPr>
        <w:t>We are sponsoring an open label, multinational Phase 2 clinical trial of AVR-RD-01. This study was initiated in June 2018 in Australia and enrollment in this Phase 2 clinical trial is ongoing. Eight to 12 treatment-naïve males, 16 to 50 years old, with Fabry disease are expected to be enrolled in this trial. Our objectives for this trial are to assess safety and efficacy as measured by multiple indicators, such as AGA enzyme activity, Gb3 and lyso-Gb3 levels in blood and various tissues, kidney and cardiac function, gastrointestinal symptoms, and pain and quality of life scores. All enrolled patients will receive a single treatment with AVR-RD-01 and will be followed for 48 weeks to measure safety and efficacy. We have opened two U.S. sites for our ongoing Phase 2 clinical trial and are actively recruiting potential patients for our sites in Australia, Canada and the United States. We are also engaged in discussions with the Pharmaceuticals and Medical Devices Agency, or PMDA, regarding potential future clinical development of AVR-RD-01 in Japan.</w:t>
      </w:r>
    </w:p>
    <w:p>
      <w:pPr>
        <w:spacing w:after="0" w:line="155" w:lineRule="exact"/>
        <w:rPr>
          <w:sz w:val="20"/>
          <w:szCs w:val="20"/>
          <w:color w:val="auto"/>
        </w:rPr>
      </w:pPr>
    </w:p>
    <w:p>
      <w:pPr>
        <w:ind w:right="20" w:firstLine="546"/>
        <w:spacing w:after="0" w:line="251" w:lineRule="auto"/>
        <w:rPr>
          <w:sz w:val="20"/>
          <w:szCs w:val="20"/>
          <w:color w:val="auto"/>
        </w:rPr>
      </w:pPr>
      <w:r>
        <w:rPr>
          <w:rFonts w:ascii="Arial" w:cs="Arial" w:eastAsia="Arial" w:hAnsi="Arial"/>
          <w:sz w:val="18"/>
          <w:szCs w:val="18"/>
          <w:color w:val="auto"/>
        </w:rPr>
        <w:t xml:space="preserve">As of March 6, 2020, four patients have been dosed in the Phase 2 clinical trial. For the fourth patient, we transitioned the lentiviral vector from LV1 to our optimized proprietary LV2 from our plato platform. All future patients in this clinical trial will be dosed using the plato platform, which we believe will further improve the efficacy and further enhance the safety of our lentiviral-based gene therapy. Because the transition to LV2 only impacts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transduction process, and not the actual AGA enzyme that is produced by the transduced cells, or drug product, we believe this transition will 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Kidney Biopsy</w:t>
      </w:r>
    </w:p>
    <w:p>
      <w:pPr>
        <w:spacing w:after="0" w:line="112" w:lineRule="exact"/>
        <w:rPr>
          <w:sz w:val="20"/>
          <w:szCs w:val="20"/>
          <w:color w:val="auto"/>
        </w:rPr>
      </w:pPr>
    </w:p>
    <w:p>
      <w:pPr>
        <w:ind w:right="80" w:firstLine="546"/>
        <w:spacing w:after="0" w:line="249" w:lineRule="auto"/>
        <w:rPr>
          <w:sz w:val="20"/>
          <w:szCs w:val="20"/>
          <w:color w:val="auto"/>
        </w:rPr>
      </w:pPr>
      <w:r>
        <w:rPr>
          <w:rFonts w:ascii="Arial" w:cs="Arial" w:eastAsia="Arial" w:hAnsi="Arial"/>
          <w:sz w:val="18"/>
          <w:szCs w:val="18"/>
          <w:color w:val="auto"/>
        </w:rPr>
        <w:t>The primary efficacy endpoint of our Phase 2 clinical trial is the change from baseline in the average number of Gb3 inclusions per peritubular capillary, or PTC, as measured in a patient kidney biopsy one year (48 weeks) after treatment with AVR-RD-01.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 In July 2019, we announced that 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Phase 2: Patient 1 exhibited 87% substrate reduction in kidney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149860</wp:posOffset>
            </wp:positionV>
            <wp:extent cx="3904615" cy="2015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0461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last available, non-missing observation prior to AVR-RD-01 infusion</w:t>
      </w: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With respect to Fabry disease clinical trials, Gb3 inclusions per PTC is interchangeable with GL-3 inclusions per KIC</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Lyso-Gb3 Levels</w:t>
      </w:r>
    </w:p>
    <w:p>
      <w:pPr>
        <w:spacing w:after="0" w:line="112"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The first patient in our Phase 2 trial had an 87% reduction in plasma lyso-Gb3 levels as of eighteen months post-treatment with AVR-RD-01, and the third patient had a plasma lyso-Gb3 reduction of 52% as of six months post-treatment with AVR-RD-01. Plasma lyso-Gb3 data are also available for the second patient in the Phase 2 trial, up to twelve months post-treatment with AVR-RD-01. This patient has an N215S genotype, which is associated with a late-onset cardiac variant phenotype and does not typically result in Gb3 accumulation in the kidney or skin. Accordingly, this patient’s skin and kidney biopsy had low levels of plasma Gb3 and lyso-Gb3 at all measurements, including at baseline. Although we expect that data obtained from this patient will not provide meaningful insight on the efficacy endpoints in our Phase 2 clinical trial, including kidney and skin biopsies, there may be other important insights derived from data collected from this patient in the Phase 2 clinical trial.</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the plasma lyso-Gb3 data following AVR-RD-01 treatment in the first and third patients of the Phase 2 trial.</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2: Patient 1 Plasma lyso-Gb3 reductions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149860</wp:posOffset>
            </wp:positionV>
            <wp:extent cx="3761105" cy="1534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6110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480"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Phase 2: Patient 3 Plasma lyso-Gb3 reductions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149860</wp:posOffset>
            </wp:positionV>
            <wp:extent cx="3660140" cy="1560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6014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AGA Enzyme Activity</w:t>
      </w:r>
    </w:p>
    <w:p>
      <w:pPr>
        <w:spacing w:after="0" w:line="112"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In the first two patients in our Phase 2 clinical trial, for whom data is available out to 18 and 12 months, respectively, plasma and leukocyte AGA enzyme activity was observed to increase from nearly undetectable levels before treatment to a peak within three months after treatment, followed by a decline and trending to stabilize to levels above the range for males with Fabry disease, defined as less than 1 nmol/hr/ml. The third patient in the Phase 2 trial exhibited a rapid increase in plasma and leukocyte AGA enzyme activity from nearly undetectable levels before treatment to a peak within the first seven days after treatment in the case of plasma enzyme activity and within the first 14 days after treatment in the case of leukocyte enzyme activity, followed by a decline and subsequent increase observed at month six. Similar to the results observed in the investigator-led Phase 1 trial of AVR-RD-01, we believe that the steep initial increase reflects AGA enzyme activity from the early progeny of the transduced stem cells, while the subsequent decline and stabilization in AGA enzyme levels reflect a shift from short term progenitor cells towards the gradual secretion of AGA enzyme by long-term engraftment cells that become more predominant over time.</w:t>
      </w:r>
    </w:p>
    <w:p>
      <w:pPr>
        <w:spacing w:after="0" w:line="182" w:lineRule="exact"/>
        <w:rPr>
          <w:sz w:val="20"/>
          <w:szCs w:val="20"/>
          <w:color w:val="auto"/>
        </w:rPr>
      </w:pPr>
    </w:p>
    <w:p>
      <w:pPr>
        <w:ind w:right="240" w:firstLine="546"/>
        <w:spacing w:after="0" w:line="265" w:lineRule="auto"/>
        <w:rPr>
          <w:sz w:val="20"/>
          <w:szCs w:val="20"/>
          <w:color w:val="auto"/>
        </w:rPr>
      </w:pPr>
      <w:r>
        <w:rPr>
          <w:rFonts w:ascii="Arial" w:cs="Arial" w:eastAsia="Arial" w:hAnsi="Arial"/>
          <w:sz w:val="18"/>
          <w:szCs w:val="18"/>
          <w:color w:val="auto"/>
        </w:rPr>
        <w:t>The following graphs present the plasma and leukocyte AGA activity data following AVR-RD-01 treatment in the first, second and third patients of the Phase 2 trial.</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Patient 1 Leukocyte and Plasma AGA activity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149860</wp:posOffset>
            </wp:positionV>
            <wp:extent cx="3660140" cy="1509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6014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Phase 2: Patient 2 Leukocyte and Plasma AGA activity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149860</wp:posOffset>
            </wp:positionV>
            <wp:extent cx="3727450" cy="1551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2745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2: Patient 3 Leukocyte and Plasma AGA activity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149860</wp:posOffset>
            </wp:positionV>
            <wp:extent cx="3896360" cy="1610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96360" cy="161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Skin Biopsy</w:t>
      </w:r>
    </w:p>
    <w:p>
      <w:pPr>
        <w:spacing w:after="0" w:line="112"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Skin biopsies have been performed on the first three patients in the Phase 2 trial and evaluated by two independent blinded readers using a standard scoring system for Gb3 accumulation and clearance. The scoring system has a range of zero to 3, with a score of zero representing none or trace accumulation, and a score of 3 representing severe accumulation. At six and 12 months post-treatment with AVR-RD-01, skin biopsy assessment revealed that the first patient achieved a substantial reduction in substrate inclusions in capillary endothelium of the skin. This patient scored a 3 at baseline, a 2 at six months after treatment with AVR-RD-01 and a one at 12 months post-treatment with AVR-RD-01. The second patient in the Phase 2 trial, whose cardiac variant phenotype does not typically result in Gb3 accumulation in the kidney and skin, scored a zero at baseline and at six months post-treatment with AVR-RD-01. The third patient in the Phase 2 trial scored a 2 at baseline and a 2 at six months post-treatment with AVR-RD-01.</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2" w:lineRule="exact"/>
        <w:rPr>
          <w:sz w:val="20"/>
          <w:szCs w:val="20"/>
          <w:color w:val="auto"/>
        </w:rPr>
      </w:pPr>
    </w:p>
    <w:p>
      <w:pPr>
        <w:jc w:val="both"/>
        <w:ind w:right="100" w:firstLine="546"/>
        <w:spacing w:after="0" w:line="252" w:lineRule="auto"/>
        <w:rPr>
          <w:sz w:val="20"/>
          <w:szCs w:val="20"/>
          <w:color w:val="auto"/>
        </w:rPr>
      </w:pPr>
      <w:r>
        <w:rPr>
          <w:rFonts w:ascii="Arial" w:cs="Arial" w:eastAsia="Arial" w:hAnsi="Arial"/>
          <w:sz w:val="18"/>
          <w:szCs w:val="18"/>
          <w:color w:val="auto"/>
        </w:rPr>
        <w:t>The first three patients in our Phase 2 clinical trial have exhibited consistent VCN trends following administration of AVR-RD-01. The graph below presents the VCN data in the first three patients of our Phase 2 clinical trial following dosing and at subsequent measurement points. For the fourth patient in our Phase 2 clinical trial of AVR-RD-01, who was dosed in December 2019 with our plato platform, nucleated blood cell VCN is not yet available. However, the VCN measurement of the drug product produced for this patient was 1.6.</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1" w:name="page22"/>
    <w:bookmarkEnd w:id="21"/>
    <w:p>
      <w:pPr>
        <w:ind w:left="2354"/>
        <w:spacing w:after="0"/>
        <w:rPr>
          <w:sz w:val="20"/>
          <w:szCs w:val="20"/>
          <w:color w:val="auto"/>
        </w:rPr>
      </w:pPr>
      <w:r>
        <w:rPr>
          <w:rFonts w:ascii="Arial" w:cs="Arial" w:eastAsia="Arial" w:hAnsi="Arial"/>
          <w:sz w:val="18"/>
          <w:szCs w:val="18"/>
          <w:b w:val="1"/>
          <w:bCs w:val="1"/>
          <w:color w:val="auto"/>
        </w:rPr>
        <w:t>Phase 2: Patient 1 Average VCN* in Nucleated Blood Cells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149860</wp:posOffset>
            </wp:positionV>
            <wp:extent cx="3769360" cy="1459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69360" cy="145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354"/>
        <w:spacing w:after="0"/>
        <w:rPr>
          <w:sz w:val="20"/>
          <w:szCs w:val="20"/>
          <w:color w:val="auto"/>
        </w:rPr>
      </w:pPr>
      <w:r>
        <w:rPr>
          <w:rFonts w:ascii="Arial" w:cs="Arial" w:eastAsia="Arial" w:hAnsi="Arial"/>
          <w:sz w:val="18"/>
          <w:szCs w:val="18"/>
          <w:b w:val="1"/>
          <w:bCs w:val="1"/>
          <w:color w:val="auto"/>
        </w:rPr>
        <w:t>Phase 2: Patient 2 Average VCN* in Nucleated Blood Cells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149860</wp:posOffset>
            </wp:positionV>
            <wp:extent cx="3727450" cy="1442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27450"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54"/>
        <w:spacing w:after="0"/>
        <w:rPr>
          <w:sz w:val="20"/>
          <w:szCs w:val="20"/>
          <w:color w:val="auto"/>
        </w:rPr>
      </w:pPr>
      <w:r>
        <w:rPr>
          <w:rFonts w:ascii="Arial" w:cs="Arial" w:eastAsia="Arial" w:hAnsi="Arial"/>
          <w:sz w:val="18"/>
          <w:szCs w:val="18"/>
          <w:b w:val="1"/>
          <w:bCs w:val="1"/>
          <w:color w:val="auto"/>
        </w:rPr>
        <w:t>Phase 2: Patient 3 Average VCN* in Nucleated Blood Cells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149860</wp:posOffset>
            </wp:positionV>
            <wp:extent cx="3744595" cy="1518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44595" cy="151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 w:hanging="554"/>
        <w:spacing w:after="0"/>
        <w:tabs>
          <w:tab w:leader="none" w:pos="554"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Average VCN refers to the average number of copies of the lentiviral-vector inserted gene that are integrated into the genome of a cell, for a given cell population.</w:t>
      </w:r>
    </w:p>
    <w:p>
      <w:pPr>
        <w:spacing w:after="0" w:line="200" w:lineRule="exact"/>
        <w:rPr>
          <w:rFonts w:ascii="Arial" w:cs="Arial" w:eastAsia="Arial" w:hAnsi="Arial"/>
          <w:sz w:val="14"/>
          <w:szCs w:val="14"/>
          <w:color w:val="auto"/>
        </w:rPr>
      </w:pPr>
    </w:p>
    <w:p>
      <w:pPr>
        <w:spacing w:after="0" w:line="260" w:lineRule="exact"/>
        <w:rPr>
          <w:rFonts w:ascii="Arial" w:cs="Arial" w:eastAsia="Arial" w:hAnsi="Arial"/>
          <w:sz w:val="14"/>
          <w:szCs w:val="14"/>
          <w:color w:val="auto"/>
        </w:rPr>
      </w:pPr>
    </w:p>
    <w:p>
      <w:pPr>
        <w:ind w:left="5534"/>
        <w:spacing w:after="0"/>
        <w:rPr>
          <w:rFonts w:ascii="Arial" w:cs="Arial" w:eastAsia="Arial" w:hAnsi="Arial"/>
          <w:sz w:val="14"/>
          <w:szCs w:val="14"/>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67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894"/>
          </w:cols>
          <w:pgMar w:left="326" w:top="652" w:right="679" w:bottom="1440" w:gutter="0" w:footer="0" w:header="0"/>
        </w:sectPr>
      </w:pPr>
    </w:p>
    <w:bookmarkStart w:id="22" w:name="page23"/>
    <w:bookmarkEnd w:id="22"/>
    <w:p>
      <w:pPr>
        <w:ind w:left="560"/>
        <w:spacing w:after="0"/>
        <w:rPr>
          <w:sz w:val="20"/>
          <w:szCs w:val="20"/>
          <w:color w:val="auto"/>
        </w:rPr>
      </w:pPr>
      <w:r>
        <w:rPr>
          <w:rFonts w:ascii="Arial" w:cs="Arial" w:eastAsia="Arial" w:hAnsi="Arial"/>
          <w:sz w:val="18"/>
          <w:szCs w:val="18"/>
          <w:i w:val="1"/>
          <w:iCs w:val="1"/>
          <w:color w:val="auto"/>
        </w:rPr>
        <w:t>Kidney and Cardiac Function</w:t>
      </w:r>
    </w:p>
    <w:p>
      <w:pPr>
        <w:spacing w:after="0" w:line="112" w:lineRule="exact"/>
        <w:rPr>
          <w:sz w:val="20"/>
          <w:szCs w:val="20"/>
          <w:color w:val="auto"/>
        </w:rPr>
      </w:pPr>
    </w:p>
    <w:p>
      <w:pPr>
        <w:ind w:right="40" w:firstLine="546"/>
        <w:spacing w:after="0" w:line="264" w:lineRule="auto"/>
        <w:rPr>
          <w:sz w:val="20"/>
          <w:szCs w:val="20"/>
          <w:color w:val="auto"/>
        </w:rPr>
      </w:pPr>
      <w:r>
        <w:rPr>
          <w:rFonts w:ascii="Arial" w:cs="Arial" w:eastAsia="Arial" w:hAnsi="Arial"/>
          <w:sz w:val="17"/>
          <w:szCs w:val="17"/>
          <w:color w:val="auto"/>
        </w:rPr>
        <w:t>Secondary endpoints of our Phase 2 trial include measurements of kidney function, as measured by 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 The left ventricular mass, or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Improving patient outcomes by slowing or halting the progression of organ damage is a key mission of our Company and our investigational gene therapy programs. Interim data-to-date in the first two patients in our Phase 2 trial indicates kidney and cardiac functions have been stable and in the normal range at one year following administration of AVR-RD-01 investigational gene therapy. In the case of the first patient in our Phase 2 clinical trial, a 9.9% reduction in LVM was observed from baseline to one year post-treatment with AVR-RD-01. In the case of the second patient, a 1.7% increase in LVM was observed from baseline to one-year post-treatment.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Preliminary safety data from the ongoing Phase 2 study indicates that AVR-RD-01 was generally well-tolerated in all patients enrolled in the study.</w:t>
      </w:r>
    </w:p>
    <w:p>
      <w:pPr>
        <w:spacing w:after="0" w:line="253" w:lineRule="exact"/>
        <w:rPr>
          <w:sz w:val="20"/>
          <w:szCs w:val="20"/>
          <w:color w:val="auto"/>
        </w:rPr>
      </w:pPr>
    </w:p>
    <w:p>
      <w:pPr>
        <w:ind w:right="260" w:firstLine="546"/>
        <w:spacing w:after="0" w:line="366" w:lineRule="auto"/>
        <w:rPr>
          <w:sz w:val="20"/>
          <w:szCs w:val="20"/>
          <w:color w:val="auto"/>
        </w:rPr>
      </w:pPr>
      <w:r>
        <w:rPr>
          <w:rFonts w:ascii="Arial" w:cs="Arial" w:eastAsia="Arial" w:hAnsi="Arial"/>
          <w:sz w:val="15"/>
          <w:szCs w:val="15"/>
          <w:color w:val="auto"/>
        </w:rPr>
        <w:t>As of the safety cut-off date of November 26, 2019, there were 98 non-serious AEs reported, none of which were deemed by the investigator to be possibly, probably, or definitely related to drug product. AEs in this study can be assigned to more than one causality assessment.</w:t>
      </w:r>
    </w:p>
    <w:p>
      <w:pPr>
        <w:spacing w:after="0" w:line="111" w:lineRule="exact"/>
        <w:rPr>
          <w:sz w:val="20"/>
          <w:szCs w:val="20"/>
          <w:color w:val="auto"/>
        </w:rPr>
      </w:pPr>
    </w:p>
    <w:p>
      <w:pPr>
        <w:ind w:right="120" w:firstLine="546"/>
        <w:spacing w:after="0" w:line="295" w:lineRule="auto"/>
        <w:rPr>
          <w:sz w:val="20"/>
          <w:szCs w:val="20"/>
          <w:color w:val="auto"/>
        </w:rPr>
      </w:pPr>
      <w:r>
        <w:rPr>
          <w:rFonts w:ascii="Arial" w:cs="Arial" w:eastAsia="Arial" w:hAnsi="Arial"/>
          <w:sz w:val="17"/>
          <w:szCs w:val="17"/>
          <w:color w:val="auto"/>
        </w:rPr>
        <w:t>As of November 26, 2019, of the non-serious AEs, nine were related to study procedures, 50 were related to the medication used in the conditioning regimen, one was related to G-CSF/plerixafor, 16 were related to an underlying disease, and 22 were related to other causes.</w:t>
      </w:r>
    </w:p>
    <w:p>
      <w:pPr>
        <w:spacing w:after="0" w:line="157"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As of November 26, 2019, four SAEs were reported, one pre-treatment and three post-treatment. No events were related to AVR-RD-01, and two events were related to the conditioning regimen. A fifth SAE, which was not related to AVR-RD-01, was reported for the fourth patient in the Phase 2 clinical trial, who was dosed after the safety cut-off date of November 26, 2019. Because this clinical trial is ongoing, safety data are preliminary and subject to change.</w:t>
      </w:r>
    </w:p>
    <w:p>
      <w:pPr>
        <w:spacing w:after="0" w:line="193"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After beginning stem cell mobilization but prior to undergoing the conditioning regimen and treatment with AVR-RD-01, the first patient experienced a seizure, which is categorized as an SAE but unrelated to the study drug, conditioning regimen or stem cell mobilization. This event has resolved in the patient. In addition, during a scheduled protocol visit seven days after dosing, the same patient reported nausea and vomiting and was admitted to hospital for fluid hydration. Because the nausea and vomiting warranted hospital admission, the event was categorized as an SAE, possibly related to the conditioning regimen; nausea and vomiting have resolved in the patient. The treating physician decided to monitor the patient in hospital until the patient’s neutrophil count increased. Neutrophil and platelet counts recovered after dosing. On June 20, 2018, the patient was discharged from the hospital six days after admission and 13 days after transplant. Nausea, vomiting and dehydration resolved as of June 15, 2018. In the opinion of the investigator, the event was unrelated to the study drug or stem cell mobilization, but was deemed probably related to the conditioning regimen.</w:t>
      </w:r>
    </w:p>
    <w:p>
      <w:pPr>
        <w:spacing w:after="0" w:line="159"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The second patient experienced a post-treatment SAE of drug-induced dermatosis seven days post-dosing. The rash was described as small, raised red bumps and were not painful. The patient was treated with hydrocortisone cream, and the rash resolved as of December 26, 2018. The patient was discharged from the hospital in less than 24 hours. In the opinion of the investigator, the relationship of the SAE to the procedure was not applicable and the relationship to stem cell mobilization, conditioning regimen and AVR-RD-01 was unknown.</w:t>
      </w:r>
    </w:p>
    <w:p>
      <w:pPr>
        <w:spacing w:after="0" w:line="193"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An additional SAE of culture negative sepsis was reported in the second patient nine days after treatment on December 22, 2018. The patient was admitted to the hospital with a mild sore throat. His urine cultures were negative and his blood cultures were negative for both aerobic and anaerobic organisms. The patient was discharged from the hospital on the fourteenth day after transplant. In the opinion of the investigator, the relationship of the SAE to the conditioning regimen was definite and the relationship to stem cell mobilization and AVR-RD-01 was unrelated.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23" w:name="page24"/>
    <w:bookmarkEnd w:id="23"/>
    <w:p>
      <w:pPr>
        <w:ind w:right="100" w:firstLine="546"/>
        <w:spacing w:after="0" w:line="319" w:lineRule="auto"/>
        <w:rPr>
          <w:sz w:val="20"/>
          <w:szCs w:val="20"/>
          <w:color w:val="auto"/>
        </w:rPr>
      </w:pPr>
      <w:r>
        <w:rPr>
          <w:rFonts w:ascii="Arial" w:cs="Arial" w:eastAsia="Arial" w:hAnsi="Arial"/>
          <w:sz w:val="15"/>
          <w:szCs w:val="15"/>
          <w:color w:val="auto"/>
        </w:rPr>
        <w:t>The fourth patient experienced a post-treatment SAE of non-neutropenic fever on January 25, 2020, 17 days post-dosing. The patient was admitted to the hospital with a sore throat, erythematous tonsillar pillars with slight exudate, and a temperature of 38.0°C. The patient was seen at the clinical site with improvement of mucositis and a normal temperature on January 13, 2020, twenty-five days post-treatment. In the opinion of the investigator, the relationship of the SAE to the conditioning regimen was possible and the relationship to stem cell mobilization and AVR-RD-01 was unrelated.</w:t>
      </w:r>
    </w:p>
    <w:p>
      <w:pPr>
        <w:spacing w:after="0" w:line="145" w:lineRule="exact"/>
        <w:rPr>
          <w:sz w:val="20"/>
          <w:szCs w:val="20"/>
          <w:color w:val="auto"/>
        </w:rPr>
      </w:pPr>
    </w:p>
    <w:p>
      <w:pPr>
        <w:ind w:right="360" w:firstLine="546"/>
        <w:spacing w:after="0" w:line="265" w:lineRule="auto"/>
        <w:rPr>
          <w:sz w:val="20"/>
          <w:szCs w:val="20"/>
          <w:color w:val="auto"/>
        </w:rPr>
      </w:pPr>
      <w:r>
        <w:rPr>
          <w:rFonts w:ascii="Arial" w:cs="Arial" w:eastAsia="Arial" w:hAnsi="Arial"/>
          <w:sz w:val="18"/>
          <w:szCs w:val="18"/>
          <w:color w:val="auto"/>
        </w:rPr>
        <w:t>In addition to the above, each of the Phase 2 patients experienced a temporary suppression of absolute neutrophil counts and platelets, which is an expected consequence of the conditioning regimen.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18" w:lineRule="exact"/>
        <w:rPr>
          <w:sz w:val="20"/>
          <w:szCs w:val="20"/>
          <w:color w:val="auto"/>
        </w:rPr>
      </w:pPr>
    </w:p>
    <w:p>
      <w:pPr>
        <w:ind w:firstLine="546"/>
        <w:spacing w:after="0" w:line="319" w:lineRule="auto"/>
        <w:rPr>
          <w:sz w:val="20"/>
          <w:szCs w:val="20"/>
          <w:color w:val="auto"/>
        </w:rPr>
      </w:pPr>
      <w:r>
        <w:rPr>
          <w:rFonts w:ascii="Arial" w:cs="Arial" w:eastAsia="Arial" w:hAnsi="Arial"/>
          <w:sz w:val="15"/>
          <w:szCs w:val="15"/>
          <w:color w:val="auto"/>
        </w:rPr>
        <w:t>Together with UCSD, we are developing CTNS-RD-04, which we refer to as AVR-RD-04, for the treatment of patients with cystinosis. AVR-RD-04 is manufactured from hematopoietic stem cells that are first harvested from the patient, modified to add the gene that encodes for cystinosin, and then infused into the patient. AVR-RD-04 is currently being studied by our collaborators at UCSD in a Phase 1/2 investigator-sponsored clinical trial. In October 2019 we announced that the first patient had been dosed with AVR-RD-04, and in February 2020 we announced initial clinical data for that patient.</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2" w:lineRule="exact"/>
        <w:rPr>
          <w:sz w:val="20"/>
          <w:szCs w:val="20"/>
          <w:color w:val="auto"/>
        </w:rPr>
      </w:pPr>
    </w:p>
    <w:p>
      <w:pPr>
        <w:ind w:right="40" w:firstLine="546"/>
        <w:spacing w:after="0" w:line="250" w:lineRule="auto"/>
        <w:rPr>
          <w:sz w:val="20"/>
          <w:szCs w:val="20"/>
          <w:color w:val="auto"/>
        </w:rPr>
      </w:pPr>
      <w:r>
        <w:rPr>
          <w:rFonts w:ascii="Arial" w:cs="Arial" w:eastAsia="Arial" w:hAnsi="Arial"/>
          <w:sz w:val="18"/>
          <w:szCs w:val="18"/>
          <w:color w:val="auto"/>
        </w:rPr>
        <w:t>Cystinosis is a rare, genetic, autosomal recessive, lysosomal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4" w:lineRule="exact"/>
        <w:rPr>
          <w:sz w:val="20"/>
          <w:szCs w:val="20"/>
          <w:color w:val="auto"/>
        </w:rPr>
      </w:pPr>
    </w:p>
    <w:p>
      <w:pPr>
        <w:ind w:right="60" w:firstLine="546"/>
        <w:spacing w:after="0" w:line="307" w:lineRule="auto"/>
        <w:rPr>
          <w:sz w:val="20"/>
          <w:szCs w:val="20"/>
          <w:color w:val="auto"/>
        </w:rPr>
      </w:pPr>
      <w:r>
        <w:rPr>
          <w:rFonts w:ascii="Arial" w:cs="Arial" w:eastAsia="Arial" w:hAnsi="Arial"/>
          <w:sz w:val="15"/>
          <w:szCs w:val="15"/>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2" w:lineRule="exact"/>
        <w:rPr>
          <w:sz w:val="20"/>
          <w:szCs w:val="20"/>
          <w:color w:val="auto"/>
        </w:rPr>
      </w:pPr>
    </w:p>
    <w:p>
      <w:pPr>
        <w:ind w:right="80" w:firstLine="546"/>
        <w:spacing w:after="0" w:line="309" w:lineRule="auto"/>
        <w:rPr>
          <w:sz w:val="20"/>
          <w:szCs w:val="20"/>
          <w:color w:val="auto"/>
        </w:rPr>
      </w:pPr>
      <w:r>
        <w:rPr>
          <w:rFonts w:ascii="Arial" w:cs="Arial" w:eastAsia="Arial" w:hAnsi="Arial"/>
          <w:sz w:val="15"/>
          <w:szCs w:val="15"/>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and Recordati S.p.A. In 2019, Procysbi generated worldwide net sales of approximately $162 million. The annual average cost to the healthcare system per patient prescribed Procysbi in the United States is between approximately $625,000 and $750,000.</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 w:name="page25"/>
    <w:bookmarkEnd w:id="24"/>
    <w:p>
      <w:pPr>
        <w:ind w:right="60" w:firstLine="546"/>
        <w:spacing w:after="0" w:line="307" w:lineRule="auto"/>
        <w:rPr>
          <w:sz w:val="20"/>
          <w:szCs w:val="20"/>
          <w:color w:val="auto"/>
        </w:rPr>
      </w:pPr>
      <w:r>
        <w:rPr>
          <w:rFonts w:ascii="Arial" w:cs="Arial" w:eastAsia="Arial" w:hAnsi="Arial"/>
          <w:sz w:val="15"/>
          <w:szCs w:val="15"/>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18" w:lineRule="exact"/>
        <w:rPr>
          <w:sz w:val="20"/>
          <w:szCs w:val="20"/>
          <w:color w:val="auto"/>
        </w:rPr>
      </w:pPr>
    </w:p>
    <w:p>
      <w:pPr>
        <w:ind w:right="140" w:firstLine="546"/>
        <w:spacing w:after="0" w:line="256"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Phase 1/2 Clinical Trial</w:t>
      </w:r>
    </w:p>
    <w:p>
      <w:pPr>
        <w:spacing w:after="0" w:line="112" w:lineRule="exact"/>
        <w:rPr>
          <w:sz w:val="20"/>
          <w:szCs w:val="20"/>
          <w:color w:val="auto"/>
        </w:rPr>
      </w:pPr>
    </w:p>
    <w:p>
      <w:pPr>
        <w:ind w:firstLine="546"/>
        <w:spacing w:after="0" w:line="249" w:lineRule="auto"/>
        <w:rPr>
          <w:sz w:val="20"/>
          <w:szCs w:val="20"/>
          <w:color w:val="auto"/>
        </w:rPr>
      </w:pPr>
      <w:r>
        <w:rPr>
          <w:rFonts w:ascii="Arial" w:cs="Arial" w:eastAsia="Arial" w:hAnsi="Arial"/>
          <w:sz w:val="18"/>
          <w:szCs w:val="18"/>
          <w:color w:val="auto"/>
        </w:rPr>
        <w:t>In the Phase 1/2 clinical trial of AVR-RD-04 that is being conducted by our collaborators at UCSD, six patients with cystinosis who are currently being treated with cysteamine will be enrolled. The clinical trial’s primary endpoints are safety and tolerability, assessed for up to two years after treatment, as well as preliminary efficacy as measured by changes in cystine levels in granulocytes. Secondary endpoints to assess preliminary efficacy include change from baseline in cystine levels in rectal mucosa as well as cystine crystal counts in the cornea and skin. These secondary efficacy endpoints will also be evaluated through clinical tests of kidney function, ophthalmologic measures, muscle strength, pulmonary function and neurological and psychometric function, as well as through patient-reported outcomes and assessments of health-related quality of life. The study drug utilized in this trial will not be manufactured using our plato platform, and neither the automated, closed manufacturing system nor LV2 will be used in connection with this investigator-sponsored clinical trial.</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February 2020, we announced initial clinical data for the first patient in the clinical trial of AVR-RD-04.</w:t>
      </w: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 and Granulocyte Cystine Levels</w:t>
      </w:r>
    </w:p>
    <w:p>
      <w:pPr>
        <w:spacing w:after="0" w:line="112" w:lineRule="exact"/>
        <w:rPr>
          <w:sz w:val="20"/>
          <w:szCs w:val="20"/>
          <w:color w:val="auto"/>
        </w:rPr>
      </w:pPr>
    </w:p>
    <w:p>
      <w:pPr>
        <w:ind w:right="160" w:firstLine="546"/>
        <w:spacing w:after="0" w:line="319" w:lineRule="auto"/>
        <w:rPr>
          <w:sz w:val="20"/>
          <w:szCs w:val="20"/>
          <w:color w:val="auto"/>
        </w:rPr>
      </w:pPr>
      <w:r>
        <w:rPr>
          <w:rFonts w:ascii="Arial" w:cs="Arial" w:eastAsia="Arial" w:hAnsi="Arial"/>
          <w:sz w:val="15"/>
          <w:szCs w:val="15"/>
          <w:color w:val="auto"/>
        </w:rPr>
        <w:t>The first patient in the Phase 1/2 clinical trial exhibited a VCN of 2.0 three months post-treatment with AVR-RD-04. VCN, which is expressed as VCN per diploid genome, refers to the average number of 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w:t>
      </w:r>
    </w:p>
    <w:p>
      <w:pPr>
        <w:spacing w:after="0" w:line="145"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One of the primary endpoints of the Phase 1/2 clinical trial is the change in the average level of cystine in granulocytes from baseline to up to two years post-treatment with AVR-RD-04. The first patient in the Phase 1/2 clinical trial exhibited granulocyte cystine levels of 1.5 nmol half cystine per milligram three months post-treatment with AVR-RD-04 as compared to the baseline value of 7.8. The patient’s baseline value was measured two weeks after discontinuation of cysteamine treatment and prior to initiating mobilization. As the Phase 1/2 clinical trial progresses, we expect to identify clinically meaningful measures, such as renal function, polyuria and crystal levels in the cornea and photophobia.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Secondary Endpoints</w:t>
      </w:r>
    </w:p>
    <w:p>
      <w:pPr>
        <w:spacing w:after="0" w:line="112" w:lineRule="exact"/>
        <w:rPr>
          <w:sz w:val="20"/>
          <w:szCs w:val="20"/>
          <w:color w:val="auto"/>
        </w:rPr>
      </w:pPr>
    </w:p>
    <w:p>
      <w:pPr>
        <w:jc w:val="both"/>
        <w:ind w:right="80" w:firstLine="546"/>
        <w:spacing w:after="0" w:line="256" w:lineRule="auto"/>
        <w:rPr>
          <w:sz w:val="20"/>
          <w:szCs w:val="20"/>
          <w:color w:val="auto"/>
        </w:rPr>
      </w:pPr>
      <w:r>
        <w:rPr>
          <w:rFonts w:ascii="Arial" w:cs="Arial" w:eastAsia="Arial" w:hAnsi="Arial"/>
          <w:sz w:val="18"/>
          <w:szCs w:val="18"/>
          <w:color w:val="auto"/>
        </w:rPr>
        <w:t>Secondary endpoints of the Phase 1/2 clinical trial include measurements of kidney function and levels of cystine in the skin. These endpoints are not a comprehensive set of the secondary endpoints in the Phase 1/2 clinical trial and only reflect the data available to us as of three months following treatment with AVR-RD-04.</w:t>
      </w:r>
    </w:p>
    <w:p>
      <w:pPr>
        <w:spacing w:after="0" w:line="188"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Assessment of kidney function includes measurements of eGFR and serum creatinine, or sCR. eGFR is determined using the CKD-EPI formula and sCR is measured as part of the comprehensive metabolic panel. The first patient in the Phase 1/2 clinical trial exhibited an sCR value of 2.1 mg/dL three months post-treatment with AVR-RD-04 as compared to a baseline value of 2.2 mg/dL, and an eGFR value of 40 mL/min/1.73m</w:t>
      </w:r>
      <w:r>
        <w:rPr>
          <w:rFonts w:ascii="Arial" w:cs="Arial" w:eastAsia="Arial" w:hAnsi="Arial"/>
          <w:sz w:val="15"/>
          <w:szCs w:val="15"/>
          <w:color w:val="auto"/>
        </w:rPr>
        <w:t>2</w:t>
      </w:r>
      <w:r>
        <w:rPr>
          <w:rFonts w:ascii="Arial" w:cs="Arial" w:eastAsia="Arial" w:hAnsi="Arial"/>
          <w:sz w:val="18"/>
          <w:szCs w:val="18"/>
          <w:color w:val="auto"/>
        </w:rPr>
        <w:t xml:space="preserve"> three months post-treatment as compared to a baseline value of 38 mL/min/1.73m</w:t>
      </w:r>
      <w:r>
        <w:rPr>
          <w:rFonts w:ascii="Arial" w:cs="Arial" w:eastAsia="Arial" w:hAnsi="Arial"/>
          <w:sz w:val="15"/>
          <w:szCs w:val="15"/>
          <w:color w:val="auto"/>
        </w:rPr>
        <w:t>2</w:t>
      </w:r>
      <w:r>
        <w:rPr>
          <w:rFonts w:ascii="Arial" w:cs="Arial" w:eastAsia="Arial" w:hAnsi="Arial"/>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5" w:name="page26"/>
    <w:bookmarkEnd w:id="25"/>
    <w:p>
      <w:pPr>
        <w:ind w:right="20" w:firstLine="546"/>
        <w:spacing w:after="0" w:line="250" w:lineRule="auto"/>
        <w:rPr>
          <w:sz w:val="20"/>
          <w:szCs w:val="20"/>
          <w:color w:val="auto"/>
        </w:rPr>
      </w:pPr>
      <w:r>
        <w:rPr>
          <w:rFonts w:ascii="Arial" w:cs="Arial" w:eastAsia="Arial" w:hAnsi="Arial"/>
          <w:sz w:val="18"/>
          <w:szCs w:val="18"/>
          <w:color w:val="auto"/>
        </w:rPr>
        <w:t xml:space="preserve">Levels of cystine in the skin are measured with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confocal microscopy, or IVCM, on two separate areas of the skin: behind the ear and in a location determined by the treating physician. The two measurements are analyzed and quantified with 3D Image-Pro software and averaged. The first patient in the Phase 1/2 clinical trial exhibited a 32% reduction from baseline in skin cystine levels measured three months post-treatment with AVR-RD-04. The baseline measurement and three month data were obtained using IVCM. In addition, levels of cystine crystals in the skin will be measured using optical coherence tomography. These various skin measurements are considered experimental methodologies and will require additional study to determine their validity and significance.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Measurements</w:t>
      </w:r>
    </w:p>
    <w:p>
      <w:pPr>
        <w:spacing w:after="0" w:line="112" w:lineRule="exact"/>
        <w:rPr>
          <w:sz w:val="20"/>
          <w:szCs w:val="20"/>
          <w:color w:val="auto"/>
        </w:rPr>
      </w:pPr>
    </w:p>
    <w:p>
      <w:pPr>
        <w:ind w:right="240" w:firstLine="546"/>
        <w:spacing w:after="0" w:line="331" w:lineRule="auto"/>
        <w:rPr>
          <w:sz w:val="20"/>
          <w:szCs w:val="20"/>
          <w:color w:val="auto"/>
        </w:rPr>
      </w:pPr>
      <w:r>
        <w:rPr>
          <w:rFonts w:ascii="Arial" w:cs="Arial" w:eastAsia="Arial" w:hAnsi="Arial"/>
          <w:sz w:val="15"/>
          <w:szCs w:val="15"/>
          <w:color w:val="auto"/>
        </w:rPr>
        <w:t>24-hour urine volume is measured by the total volume of urine produced in a 24-hour period as compared to a baseline 24-hour measurement taken prior to administration of AVR-RD-04. We believe this measurement may be suggestive of change in kidney function. At three months post-treatment with AVR-RD-04, the first patient in the Phase 1/2 clinical trial exhibited a 37% reduction from baseline in 24-hour urine volume.</w:t>
      </w:r>
    </w:p>
    <w:p>
      <w:pPr>
        <w:spacing w:after="0" w:line="2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w:t>
      </w:r>
    </w:p>
    <w:p>
      <w:pPr>
        <w:spacing w:after="0" w:line="112" w:lineRule="exact"/>
        <w:rPr>
          <w:sz w:val="20"/>
          <w:szCs w:val="20"/>
          <w:color w:val="auto"/>
        </w:rPr>
      </w:pPr>
    </w:p>
    <w:p>
      <w:pPr>
        <w:ind w:right="120" w:firstLine="546"/>
        <w:spacing w:after="0" w:line="269" w:lineRule="auto"/>
        <w:rPr>
          <w:sz w:val="20"/>
          <w:szCs w:val="20"/>
          <w:color w:val="auto"/>
        </w:rPr>
      </w:pPr>
      <w:r>
        <w:rPr>
          <w:rFonts w:ascii="Arial" w:cs="Arial" w:eastAsia="Arial" w:hAnsi="Arial"/>
          <w:sz w:val="17"/>
          <w:szCs w:val="17"/>
          <w:color w:val="auto"/>
        </w:rPr>
        <w:t>As of the safety cut-off date of January 27, 2020, interim clinical data for the first patient dosed in the Phase 1/2 clinical trial appear to indicate that the AVR-RD-04 investigational gene therapy has been generally well tolerated with no unexpected safety events identified. No SAEs were reported as of the safety data cut-off date of January 27, 2020. A total of 22 AEs were reported as of the safety cut-off date of January 27, 2020, nine of which were moderate and 13 of which were mild. All reported AEs were consistent with expectations for the underlying disease and conditioning regimen prescribed by the study protocol. There have been no reports of safety events attributed to the AVR-RD-04 drug product.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18"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We are developing AVR-RD-02 for the treatment of Type 1 Gaucher disease. We plan to manufacture AVR-RD-02 from hematopoietic stem cells that are first harvested from the patient, modified to add the gene that encodes for glucocerebrosidase, or GCase, and then infused into the patient. Patient enrollment has commenced for the Phase 1/2 clinical trial of AVR-RD-02 in patients with Type 1 Gaucher disease, and we expect to dose the first patient in the second quarter of 2020. In January 2020, we announced that we received notice of clearance from the FDA regarding an IND application for AVR-RD-02. This announcement followed receipt of FDA orphan drug designation status for AVR-RD-02 and enables us to expand the Phase 1/2 clinical trial in Gaucher disease to the United States, supported by our plato platform. The Phase 1/2 clinical trial for AVR-RD-02 is actively recruiting in Australia and Canada, with additional sites planned in the United States.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2" w:lineRule="exact"/>
        <w:rPr>
          <w:sz w:val="20"/>
          <w:szCs w:val="20"/>
          <w:color w:val="auto"/>
        </w:rPr>
      </w:pPr>
    </w:p>
    <w:p>
      <w:pPr>
        <w:ind w:firstLine="546"/>
        <w:spacing w:after="0" w:line="319" w:lineRule="auto"/>
        <w:rPr>
          <w:sz w:val="20"/>
          <w:szCs w:val="20"/>
          <w:color w:val="auto"/>
        </w:rPr>
      </w:pPr>
      <w:r>
        <w:rPr>
          <w:rFonts w:ascii="Arial" w:cs="Arial" w:eastAsia="Arial" w:hAnsi="Arial"/>
          <w:sz w:val="15"/>
          <w:szCs w:val="15"/>
          <w:color w:val="auto"/>
        </w:rPr>
        <w:t>Gaucher disease is a rare, autosomal recessive, lysosomal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45" w:lineRule="exact"/>
        <w:rPr>
          <w:sz w:val="20"/>
          <w:szCs w:val="20"/>
          <w:color w:val="auto"/>
        </w:rPr>
      </w:pPr>
    </w:p>
    <w:p>
      <w:pPr>
        <w:ind w:right="20" w:firstLine="546"/>
        <w:spacing w:after="0" w:line="309" w:lineRule="auto"/>
        <w:rPr>
          <w:sz w:val="20"/>
          <w:szCs w:val="20"/>
          <w:color w:val="auto"/>
        </w:rPr>
      </w:pPr>
      <w:r>
        <w:rPr>
          <w:rFonts w:ascii="Arial" w:cs="Arial" w:eastAsia="Arial" w:hAnsi="Arial"/>
          <w:sz w:val="15"/>
          <w:szCs w:val="15"/>
          <w:color w:val="auto"/>
        </w:rPr>
        <w:t>Gaucher disease is one of the most common lysosomal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Compared with the general population, patients with Type 1 Gaucher disease have an approximately 20-fold increased risk of developing Parkinson’s disease. Type 1 Gaucher disease does not have manifestations of central nervous system symptoms.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2" w:lineRule="exact"/>
        <w:rPr>
          <w:sz w:val="20"/>
          <w:szCs w:val="20"/>
          <w:color w:val="auto"/>
        </w:rPr>
      </w:pPr>
    </w:p>
    <w:p>
      <w:pPr>
        <w:ind w:right="400" w:firstLine="546"/>
        <w:spacing w:after="0" w:line="295"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157" w:lineRule="exact"/>
        <w:rPr>
          <w:sz w:val="20"/>
          <w:szCs w:val="20"/>
          <w:color w:val="auto"/>
        </w:rPr>
      </w:pPr>
    </w:p>
    <w:p>
      <w:pPr>
        <w:ind w:right="160" w:firstLine="546"/>
        <w:spacing w:after="0" w:line="250"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one or more of these six target goals.</w:t>
      </w:r>
    </w:p>
    <w:p>
      <w:pPr>
        <w:spacing w:after="0" w:line="194" w:lineRule="exact"/>
        <w:rPr>
          <w:sz w:val="20"/>
          <w:szCs w:val="20"/>
          <w:color w:val="auto"/>
        </w:rPr>
      </w:pPr>
    </w:p>
    <w:p>
      <w:pPr>
        <w:ind w:right="80" w:firstLine="546"/>
        <w:spacing w:after="0" w:line="319" w:lineRule="auto"/>
        <w:rPr>
          <w:sz w:val="20"/>
          <w:szCs w:val="20"/>
          <w:color w:val="auto"/>
        </w:rPr>
      </w:pPr>
      <w:r>
        <w:rPr>
          <w:rFonts w:ascii="Arial" w:cs="Arial" w:eastAsia="Arial" w:hAnsi="Arial"/>
          <w:sz w:val="15"/>
          <w:szCs w:val="15"/>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45" w:lineRule="exact"/>
        <w:rPr>
          <w:sz w:val="20"/>
          <w:szCs w:val="20"/>
          <w:color w:val="auto"/>
        </w:rPr>
      </w:pPr>
    </w:p>
    <w:p>
      <w:pPr>
        <w:ind w:right="260" w:firstLine="546"/>
        <w:spacing w:after="0" w:line="319" w:lineRule="auto"/>
        <w:rPr>
          <w:sz w:val="20"/>
          <w:szCs w:val="20"/>
          <w:color w:val="auto"/>
        </w:rPr>
      </w:pPr>
      <w:r>
        <w:rPr>
          <w:rFonts w:ascii="Arial" w:cs="Arial" w:eastAsia="Arial" w:hAnsi="Arial"/>
          <w:sz w:val="15"/>
          <w:szCs w:val="15"/>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$262,500. In 2019, Sanofi Genzyme’s Cerezyme and Cerdelga together generated worldwide net sales of €914 million euros and Takeda’s VPRIV generated worldwide net sales of approximately ¥37.1 billion Japanese yen.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18" w:lineRule="exact"/>
        <w:rPr>
          <w:sz w:val="20"/>
          <w:szCs w:val="20"/>
          <w:color w:val="auto"/>
        </w:rPr>
      </w:pPr>
    </w:p>
    <w:p>
      <w:pPr>
        <w:ind w:right="220" w:firstLine="546"/>
        <w:spacing w:after="0" w:line="256" w:lineRule="auto"/>
        <w:rPr>
          <w:sz w:val="20"/>
          <w:szCs w:val="20"/>
          <w:color w:val="auto"/>
        </w:rPr>
      </w:pPr>
      <w:r>
        <w:rPr>
          <w:rFonts w:ascii="Arial" w:cs="Arial" w:eastAsia="Arial" w:hAnsi="Arial"/>
          <w:sz w:val="18"/>
          <w:szCs w:val="18"/>
          <w:color w:val="auto"/>
        </w:rPr>
        <w:t xml:space="preserve">We are developing AVR-RD-02 to potentially cure patients with Type 1 Gaucher disease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Phase 1/2 Clinical Trial</w:t>
      </w:r>
    </w:p>
    <w:p>
      <w:pPr>
        <w:spacing w:after="0" w:line="112"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We have initiated a Phase 1/2 clinical trial of AVR-RD-02 in patients with Type 1 Gaucher disease. Patient enrollment has commenced in the Phase 1/2 clinical trial, and we expect to dose the first patient in the second quarter of 2020. This clinical trial is actively recruiting in Australia and Canada, with additional sites planned in the United States. Our initial clinical trial will be an adaptive trial that will include both treatment-naïve patients and patients that are currently stable on ERT. We intend to enroll eight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We intend to utilize our plato platform for all patients enrolling in our Phase 1/2 clinical trial of AVR-RD-02.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2" w:lineRule="exact"/>
        <w:rPr>
          <w:sz w:val="20"/>
          <w:szCs w:val="20"/>
          <w:color w:val="auto"/>
        </w:rPr>
      </w:pPr>
    </w:p>
    <w:p>
      <w:pPr>
        <w:ind w:right="120" w:firstLine="546"/>
        <w:spacing w:after="0" w:line="256"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Molecular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Therapy </w:t>
      </w:r>
      <w:r>
        <w:rPr>
          <w:rFonts w:ascii="Arial" w:cs="Arial" w:eastAsia="Arial" w:hAnsi="Arial"/>
          <w:sz w:val="18"/>
          <w:szCs w:val="18"/>
          <w:color w:val="auto"/>
        </w:rPr>
        <w:t>which concluded that, in a Gaucher disease mouse model, a lentiviral-based gene therapy containing the gene for GCase could prevent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reverse clinically relevant signs of the disease.</w:t>
      </w:r>
    </w:p>
    <w:p>
      <w:pPr>
        <w:spacing w:after="0" w:line="188" w:lineRule="exact"/>
        <w:rPr>
          <w:sz w:val="20"/>
          <w:szCs w:val="20"/>
          <w:color w:val="auto"/>
        </w:rPr>
      </w:pPr>
    </w:p>
    <w:p>
      <w:pPr>
        <w:ind w:firstLine="546"/>
        <w:spacing w:after="0" w:line="309" w:lineRule="auto"/>
        <w:rPr>
          <w:sz w:val="20"/>
          <w:szCs w:val="20"/>
          <w:color w:val="auto"/>
        </w:rPr>
      </w:pPr>
      <w:r>
        <w:rPr>
          <w:rFonts w:ascii="Arial" w:cs="Arial" w:eastAsia="Arial" w:hAnsi="Arial"/>
          <w:sz w:val="15"/>
          <w:szCs w:val="15"/>
          <w:color w:val="auto"/>
        </w:rPr>
        <w:t xml:space="preserve">In preclinical studies, a mouse model of Type I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 infiltration, and spleen volume in the mouse model over 20 weeks following treatment with mouse bone marrow cells transduced with the clinical vector, which we refer to as mAVR-RD-02. The vector used in this preclinical study of mAVR-RD-02 was an academic vector of similar design to LV2, but also included a marker gene to enable tracking of the transduced cells </w:t>
      </w:r>
      <w:r>
        <w:rPr>
          <w:rFonts w:ascii="Arial" w:cs="Arial" w:eastAsia="Arial" w:hAnsi="Arial"/>
          <w:sz w:val="15"/>
          <w:szCs w:val="15"/>
          <w:i w:val="1"/>
          <w:iCs w:val="1"/>
          <w:color w:val="auto"/>
        </w:rPr>
        <w:t>in vivo</w:t>
      </w:r>
      <w:r>
        <w:rPr>
          <w:rFonts w:ascii="Arial" w:cs="Arial" w:eastAsia="Arial" w:hAnsi="Arial"/>
          <w:sz w:val="15"/>
          <w:szCs w:val="15"/>
          <w:color w:val="auto"/>
        </w:rPr>
        <w:t>. This marker gene was removed as it is not required in the clinic, and the transgene encoding functional glucocerebrosidase was inserted into the LV2 backbone.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27" w:name="page28"/>
    <w:bookmarkEnd w:id="27"/>
    <w:p>
      <w:pPr>
        <w:ind w:right="180" w:firstLine="546"/>
        <w:spacing w:after="0" w:line="319" w:lineRule="auto"/>
        <w:rPr>
          <w:sz w:val="20"/>
          <w:szCs w:val="20"/>
          <w:color w:val="auto"/>
        </w:rPr>
      </w:pPr>
      <w:r>
        <w:rPr>
          <w:rFonts w:ascii="Arial" w:cs="Arial" w:eastAsia="Arial" w:hAnsi="Arial"/>
          <w:sz w:val="15"/>
          <w:szCs w:val="15"/>
          <w:color w:val="auto"/>
        </w:rPr>
        <w:t>When mice with established disease were treated with mAVR-RD-02, glucocerebroside levels decreased and symptoms such as an enlarged spleen were reversed within 20 weeks. Over this period, increased enzyme levels were observed in the bone marrow, spleen and liver in the mouse model. In addition, the mice that were treated with mAVR-RD-02 prior to manifesting symptoms did not develop symptoms of the disease. We believe these data support the potential efficacy of AVR-RD-02 to prevent, as well as reverse, symptoms in patients with Gaucher disease.</w:t>
      </w: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mAVR-RD-02 Leads to a Significant Reduction in Glucocerebroside Levels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139065</wp:posOffset>
            </wp:positionV>
            <wp:extent cx="3744595" cy="2243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4459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139065</wp:posOffset>
            </wp:positionV>
            <wp:extent cx="2740660" cy="1788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0660"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18" w:lineRule="exact"/>
        <w:rPr>
          <w:sz w:val="20"/>
          <w:szCs w:val="20"/>
          <w:color w:val="auto"/>
        </w:rPr>
      </w:pPr>
    </w:p>
    <w:p>
      <w:pPr>
        <w:ind w:firstLine="546"/>
        <w:spacing w:after="0" w:line="250"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harvested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potent promoter to increase volume of system enzyme in circulation.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20"/>
          </w:cols>
          <w:pgMar w:left="320" w:top="552" w:right="459" w:bottom="1440" w:gutter="0" w:footer="0" w:header="0"/>
        </w:sectPr>
      </w:pPr>
    </w:p>
    <w:bookmarkStart w:id="28" w:name="page29"/>
    <w:bookmarkEnd w:id="28"/>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2" w:lineRule="exact"/>
        <w:rPr>
          <w:sz w:val="20"/>
          <w:szCs w:val="20"/>
          <w:color w:val="auto"/>
        </w:rPr>
      </w:pPr>
    </w:p>
    <w:p>
      <w:pPr>
        <w:ind w:right="160" w:firstLine="546"/>
        <w:spacing w:after="0" w:line="319" w:lineRule="auto"/>
        <w:rPr>
          <w:sz w:val="20"/>
          <w:szCs w:val="20"/>
          <w:color w:val="auto"/>
        </w:rPr>
      </w:pPr>
      <w:r>
        <w:rPr>
          <w:rFonts w:ascii="Arial" w:cs="Arial" w:eastAsia="Arial" w:hAnsi="Arial"/>
          <w:sz w:val="15"/>
          <w:szCs w:val="15"/>
          <w:color w:val="auto"/>
        </w:rPr>
        <w:t>Pompe disease is a rare, autosomal recessive lysosomal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45" w:lineRule="exact"/>
        <w:rPr>
          <w:sz w:val="20"/>
          <w:szCs w:val="20"/>
          <w:color w:val="auto"/>
        </w:rPr>
      </w:pPr>
    </w:p>
    <w:p>
      <w:pPr>
        <w:ind w:right="60" w:firstLine="546"/>
        <w:spacing w:after="0" w:line="256"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8" w:lineRule="exact"/>
        <w:rPr>
          <w:sz w:val="20"/>
          <w:szCs w:val="20"/>
          <w:color w:val="auto"/>
        </w:rPr>
      </w:pPr>
    </w:p>
    <w:p>
      <w:pPr>
        <w:ind w:right="40" w:firstLine="546"/>
        <w:spacing w:after="0" w:line="266" w:lineRule="auto"/>
        <w:rPr>
          <w:sz w:val="20"/>
          <w:szCs w:val="20"/>
          <w:color w:val="auto"/>
        </w:rPr>
      </w:pPr>
      <w:r>
        <w:rPr>
          <w:rFonts w:ascii="Arial" w:cs="Arial" w:eastAsia="Arial" w:hAnsi="Arial"/>
          <w:sz w:val="17"/>
          <w:szCs w:val="17"/>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and is associated with cardiomyopathy.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but are not at increased risk of developing cardiomyopathy. Late-onset patients experience progressive difficulty walking and respiratory decline. While life expectancy can vary, Pompe disease is a life-limiting disease that can result in death due to complications from respiratory failure.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2" w:lineRule="exact"/>
        <w:rPr>
          <w:sz w:val="20"/>
          <w:szCs w:val="20"/>
          <w:color w:val="auto"/>
        </w:rPr>
      </w:pPr>
    </w:p>
    <w:p>
      <w:pPr>
        <w:ind w:right="20" w:firstLine="546"/>
        <w:spacing w:after="0" w:line="278" w:lineRule="auto"/>
        <w:rPr>
          <w:sz w:val="20"/>
          <w:szCs w:val="20"/>
          <w:color w:val="auto"/>
        </w:rPr>
      </w:pPr>
      <w:r>
        <w:rPr>
          <w:rFonts w:ascii="Arial" w:cs="Arial" w:eastAsia="Arial" w:hAnsi="Arial"/>
          <w:sz w:val="17"/>
          <w:szCs w:val="17"/>
          <w:color w:val="auto"/>
        </w:rPr>
        <w:t>Pompe disease is currently treated with ERT delivered by bi-weekly intravenous infusion. The only approved therapy for Pompe disease is Lumizyme (known as Myozyme outside of the United States), marketed by Sanofi Genzyme, which generated worldwide net sales of €918 million euros in 2019. The annual average cost to the healthcare system per patient prescribed Lumizyme in the United States is approximately $500,000.</w:t>
      </w:r>
    </w:p>
    <w:p>
      <w:pPr>
        <w:spacing w:after="0" w:line="171" w:lineRule="exact"/>
        <w:rPr>
          <w:sz w:val="20"/>
          <w:szCs w:val="20"/>
          <w:color w:val="auto"/>
        </w:rPr>
      </w:pPr>
    </w:p>
    <w:p>
      <w:pPr>
        <w:ind w:right="120" w:firstLine="546"/>
        <w:spacing w:after="0" w:line="266"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18"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We are currently conducting IND-enabling preclinical studies of AVR-RD-03 to potentially cure patients with late-onset Pompe disease. We are developing AVR-RD-03 to be a gene therapy product containing a codon-optimized human gene for GAA attached to a GILT tag designed to increase uptake of GAA in muscle cells. AVR-RD-03 will target patients with late onset Pompe disease, which represent the majority of patients with this disease. In addition, we believe that the utilization of busulfan in our conditioning regimen may have the potential to allow AVR-RD-03 to cross the blood-brain barrier, a feature which may yield therapeutic benefit.</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2" w:lineRule="exact"/>
        <w:rPr>
          <w:sz w:val="20"/>
          <w:szCs w:val="20"/>
          <w:color w:val="auto"/>
        </w:rPr>
      </w:pPr>
    </w:p>
    <w:p>
      <w:pPr>
        <w:jc w:val="both"/>
        <w:ind w:right="20" w:firstLine="546"/>
        <w:spacing w:after="0" w:line="331" w:lineRule="auto"/>
        <w:rPr>
          <w:sz w:val="20"/>
          <w:szCs w:val="20"/>
          <w:color w:val="auto"/>
        </w:rPr>
      </w:pPr>
      <w:r>
        <w:rPr>
          <w:rFonts w:ascii="Arial" w:cs="Arial" w:eastAsia="Arial" w:hAnsi="Arial"/>
          <w:sz w:val="15"/>
          <w:szCs w:val="15"/>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36"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the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658" w:right="379" w:bottom="1440" w:gutter="0" w:footer="0" w:header="0"/>
        </w:sectPr>
      </w:pPr>
    </w:p>
    <w:bookmarkStart w:id="29" w:name="page30"/>
    <w:bookmarkEnd w:id="29"/>
    <w:p>
      <w:pPr>
        <w:ind w:right="160" w:firstLine="546"/>
        <w:spacing w:after="0" w:line="331" w:lineRule="auto"/>
        <w:rPr>
          <w:sz w:val="20"/>
          <w:szCs w:val="20"/>
          <w:color w:val="auto"/>
        </w:rPr>
      </w:pPr>
      <w:r>
        <w:rPr>
          <w:rFonts w:ascii="Arial" w:cs="Arial" w:eastAsia="Arial" w:hAnsi="Arial"/>
          <w:sz w:val="15"/>
          <w:szCs w:val="15"/>
          <w:color w:val="auto"/>
        </w:rPr>
        <w:t>We believe we can use a GILT tag to address the known challenges of skeletal muscle uptake in patients with Pompe disease. Attachment of a GILT tag to a particular protein can increase the effective uptake of that protein into target tissues. We are designing AVR-RD-03 to use a GILT tag to facilitate GAA uptake into cells and thereby reduce the therapeutically required amount of GAA produced by a patient’s cells following gene therapy treatment.</w:t>
      </w:r>
    </w:p>
    <w:p>
      <w:pPr>
        <w:spacing w:after="0" w:line="136" w:lineRule="exact"/>
        <w:rPr>
          <w:sz w:val="20"/>
          <w:szCs w:val="20"/>
          <w:color w:val="auto"/>
        </w:rPr>
      </w:pPr>
    </w:p>
    <w:p>
      <w:pPr>
        <w:jc w:val="both"/>
        <w:ind w:right="320" w:firstLine="546"/>
        <w:spacing w:after="0" w:line="331" w:lineRule="auto"/>
        <w:rPr>
          <w:sz w:val="20"/>
          <w:szCs w:val="20"/>
          <w:color w:val="auto"/>
        </w:rPr>
      </w:pPr>
      <w:r>
        <w:rPr>
          <w:rFonts w:ascii="Arial" w:cs="Arial" w:eastAsia="Arial" w:hAnsi="Arial"/>
          <w:sz w:val="15"/>
          <w:szCs w:val="15"/>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Compared to 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139065</wp:posOffset>
            </wp:positionV>
            <wp:extent cx="3500120" cy="1585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0012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2" w:lineRule="exact"/>
        <w:rPr>
          <w:sz w:val="20"/>
          <w:szCs w:val="20"/>
          <w:color w:val="auto"/>
        </w:rPr>
      </w:pPr>
    </w:p>
    <w:p>
      <w:pPr>
        <w:ind w:right="80" w:firstLine="546"/>
        <w:spacing w:after="0" w:line="313" w:lineRule="auto"/>
        <w:rPr>
          <w:sz w:val="20"/>
          <w:szCs w:val="20"/>
          <w:color w:val="auto"/>
        </w:rPr>
      </w:pPr>
      <w:r>
        <w:rPr>
          <w:rFonts w:ascii="Arial" w:cs="Arial" w:eastAsia="Arial" w:hAnsi="Arial"/>
          <w:sz w:val="15"/>
          <w:szCs w:val="15"/>
          <w:color w:val="auto"/>
        </w:rPr>
        <w:t>We are establishing global manufacturing relationships that we believe will provide us with drug product manufacturing capabilities to support all aspects of the development and eventual commercialization of our gene therapies. 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we expect will have capacity to generate sufficient quantities to meet our expected commercial needs.</w:t>
      </w:r>
    </w:p>
    <w:p>
      <w:pPr>
        <w:spacing w:after="0" w:line="150" w:lineRule="exact"/>
        <w:rPr>
          <w:sz w:val="20"/>
          <w:szCs w:val="20"/>
          <w:color w:val="auto"/>
        </w:rPr>
      </w:pPr>
    </w:p>
    <w:p>
      <w:pPr>
        <w:ind w:right="300" w:firstLine="546"/>
        <w:spacing w:after="0" w:line="252" w:lineRule="auto"/>
        <w:rPr>
          <w:sz w:val="20"/>
          <w:szCs w:val="20"/>
          <w:color w:val="auto"/>
        </w:rPr>
      </w:pPr>
      <w:r>
        <w:rPr>
          <w:rFonts w:ascii="Arial" w:cs="Arial" w:eastAsia="Arial" w:hAnsi="Arial"/>
          <w:sz w:val="18"/>
          <w:szCs w:val="18"/>
          <w:color w:val="auto"/>
        </w:rPr>
        <w:t>To optimize production of our gene therapies, we have moved our cell processing to an automated, closed system using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2"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 xml:space="preserve">We start the process to produce a patient’s gene therapy with the mobilization of a patient’s stem cells from the bone marrow to the blood stream and isolate them using a standard procedure used in stem cell transplants. We then treat these cells with a lentiviral vector to insert the equivalent of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 We believe cryopreservation will also enable us to supply our products globally, as well as significantly increase the convenience of infusion scheduling for clinicians and patients, compared to fresh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products that may have shelf-lives of only 24 hours.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30" w:name="page31"/>
    <w:bookmarkEnd w:id="30"/>
    <w:p>
      <w:pPr>
        <w:ind w:right="480" w:firstLine="546"/>
        <w:spacing w:after="0" w:line="272" w:lineRule="auto"/>
        <w:rPr>
          <w:sz w:val="20"/>
          <w:szCs w:val="20"/>
          <w:color w:val="auto"/>
        </w:rPr>
      </w:pPr>
      <w:r>
        <w:rPr>
          <w:rFonts w:ascii="Arial" w:cs="Arial" w:eastAsia="Arial" w:hAnsi="Arial"/>
          <w:sz w:val="17"/>
          <w:szCs w:val="17"/>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may be administered in either an inpatient or an outpatient treatment setting on a case-by-case basis as may be directed by the patient’s physician.</w:t>
      </w:r>
    </w:p>
    <w:p>
      <w:pPr>
        <w:spacing w:after="0" w:line="176" w:lineRule="exact"/>
        <w:rPr>
          <w:sz w:val="20"/>
          <w:szCs w:val="20"/>
          <w:color w:val="auto"/>
        </w:rPr>
      </w:pPr>
    </w:p>
    <w:p>
      <w:pPr>
        <w:ind w:right="220" w:firstLine="546"/>
        <w:spacing w:after="0" w:line="319" w:lineRule="auto"/>
        <w:rPr>
          <w:sz w:val="20"/>
          <w:szCs w:val="20"/>
          <w:color w:val="auto"/>
        </w:rPr>
      </w:pPr>
      <w:r>
        <w:rPr>
          <w:rFonts w:ascii="Arial" w:cs="Arial" w:eastAsia="Arial" w:hAnsi="Arial"/>
          <w:sz w:val="15"/>
          <w:szCs w:val="15"/>
          <w:color w:val="auto"/>
        </w:rPr>
        <w:t>After the conditioning regimen is complete, the lentivirally-modified stem cells are infused into the patient by intravenous administration in an outpatient setting. After infusion, these cells engraft into the bone marrow, replicate and differentiate into all the various types of blood cells that will distribute throughout the body. These widely distributed cells lead to sustained expression of the desired therapeutic enzyme or other protein. The sustained expression of the functional enzyme is a direct substitute for the protein currently delivered by ERTs, which require periodic infusions.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18" w:lineRule="exact"/>
        <w:rPr>
          <w:sz w:val="20"/>
          <w:szCs w:val="20"/>
          <w:color w:val="auto"/>
        </w:rPr>
      </w:pPr>
    </w:p>
    <w:p>
      <w:pPr>
        <w:ind w:right="40" w:firstLine="546"/>
        <w:spacing w:after="0" w:line="256" w:lineRule="auto"/>
        <w:rPr>
          <w:sz w:val="20"/>
          <w:szCs w:val="20"/>
          <w:color w:val="auto"/>
        </w:rPr>
      </w:pPr>
      <w:r>
        <w:rPr>
          <w:rFonts w:ascii="Arial" w:cs="Arial" w:eastAsia="Arial" w:hAnsi="Arial"/>
          <w:sz w:val="18"/>
          <w:szCs w:val="18"/>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81" w:lineRule="exact"/>
        <w:rPr>
          <w:sz w:val="20"/>
          <w:szCs w:val="20"/>
          <w:color w:val="auto"/>
        </w:rPr>
      </w:pPr>
    </w:p>
    <w:p>
      <w:pPr>
        <w:ind w:left="940" w:hanging="389"/>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11" w:lineRule="exact"/>
        <w:rPr>
          <w:rFonts w:ascii="Arial" w:cs="Arial" w:eastAsia="Arial" w:hAnsi="Arial"/>
          <w:sz w:val="18"/>
          <w:szCs w:val="18"/>
          <w:color w:val="auto"/>
        </w:rPr>
      </w:pPr>
    </w:p>
    <w:p>
      <w:pPr>
        <w:ind w:left="940" w:right="220" w:hanging="389"/>
        <w:spacing w:after="0" w:line="265"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4" w:lineRule="exact"/>
        <w:rPr>
          <w:rFonts w:ascii="Arial" w:cs="Arial" w:eastAsia="Arial" w:hAnsi="Arial"/>
          <w:sz w:val="18"/>
          <w:szCs w:val="18"/>
          <w:color w:val="auto"/>
        </w:rPr>
      </w:pPr>
    </w:p>
    <w:p>
      <w:pPr>
        <w:ind w:left="940" w:right="220" w:hanging="389"/>
        <w:spacing w:after="0" w:line="256"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with a closed, automated manufacturing system, all utilizing CGMP.</w:t>
      </w:r>
    </w:p>
    <w:p>
      <w:pPr>
        <w:spacing w:after="0" w:line="81" w:lineRule="exact"/>
        <w:rPr>
          <w:rFonts w:ascii="Arial" w:cs="Arial" w:eastAsia="Arial" w:hAnsi="Arial"/>
          <w:sz w:val="18"/>
          <w:szCs w:val="18"/>
          <w:color w:val="auto"/>
        </w:rPr>
      </w:pPr>
    </w:p>
    <w:p>
      <w:pPr>
        <w:ind w:left="940" w:right="40" w:hanging="389"/>
        <w:spacing w:after="0" w:line="278"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64" w:lineRule="exact"/>
        <w:rPr>
          <w:rFonts w:ascii="Arial" w:cs="Arial" w:eastAsia="Arial" w:hAnsi="Arial"/>
          <w:sz w:val="17"/>
          <w:szCs w:val="17"/>
          <w:color w:val="auto"/>
        </w:rPr>
      </w:pPr>
    </w:p>
    <w:p>
      <w:pPr>
        <w:ind w:left="940" w:right="320" w:hanging="389"/>
        <w:spacing w:after="0" w:line="269"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developing therapies to treat rare diseases and expect to pursue orphan-drug designation in the United States and similar protection outside of the United States. To date, we have received from the FDA orphan-drug designation for AVR-RD-01 for the treatment of Fabry disease, AVR-RD-04 for the treatment of cystinosis, and AVR-RD-02 for the treatment of Gaucher disease.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73" w:lineRule="exact"/>
        <w:rPr>
          <w:rFonts w:ascii="Arial" w:cs="Arial" w:eastAsia="Arial" w:hAnsi="Arial"/>
          <w:sz w:val="17"/>
          <w:szCs w:val="17"/>
          <w:color w:val="auto"/>
        </w:rPr>
      </w:pPr>
    </w:p>
    <w:p>
      <w:pPr>
        <w:ind w:left="940" w:hanging="38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0"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academic scientists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As of March 6, 2020, our in-licensed patent portfolio relating to certain of our gene therapies included the following:</w:t>
      </w:r>
    </w:p>
    <w:p>
      <w:pPr>
        <w:spacing w:after="0" w:line="112" w:lineRule="exact"/>
        <w:rPr>
          <w:sz w:val="20"/>
          <w:szCs w:val="20"/>
          <w:color w:val="auto"/>
        </w:rPr>
      </w:pPr>
    </w:p>
    <w:p>
      <w:pPr>
        <w:ind w:left="940" w:right="40" w:hanging="389"/>
        <w:spacing w:after="0" w:line="252"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AVR-RD-03</w:t>
      </w:r>
      <w:r>
        <w:rPr>
          <w:rFonts w:ascii="Arial" w:cs="Arial" w:eastAsia="Arial" w:hAnsi="Arial"/>
          <w:sz w:val="18"/>
          <w:szCs w:val="18"/>
          <w:color w:val="auto"/>
        </w:rPr>
        <w:t>: two U.S. patents, projected to expire in 2022 and 2023, and two U.S. patent applications, which if granted, would be projected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expire in 2022 and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86" w:lineRule="exact"/>
        <w:rPr>
          <w:rFonts w:ascii="Arial" w:cs="Arial" w:eastAsia="Arial" w:hAnsi="Arial"/>
          <w:sz w:val="18"/>
          <w:szCs w:val="18"/>
          <w:color w:val="auto"/>
        </w:rPr>
      </w:pPr>
    </w:p>
    <w:p>
      <w:pPr>
        <w:ind w:left="940" w:right="120" w:hanging="389"/>
        <w:spacing w:after="0" w:line="252"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U.S. patent application, which, if granted, would be projected to expire in 2038, as well as corresponding patents and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certain foreign jurisdictions, containing claims directed to hematopoietic stem cells expressing cystinosin and methods of using the same for the treatment of cystinosis. These patent applications are licensed to us by GenStem Therapeutics, and GenStem obtained its rights from the University of California, San Diego.</w:t>
      </w:r>
    </w:p>
    <w:p>
      <w:pPr>
        <w:spacing w:after="0" w:line="193" w:lineRule="exact"/>
        <w:rPr>
          <w:sz w:val="20"/>
          <w:szCs w:val="20"/>
          <w:color w:val="auto"/>
        </w:rPr>
      </w:pPr>
    </w:p>
    <w:p>
      <w:pPr>
        <w:ind w:right="60" w:firstLine="546"/>
        <w:spacing w:after="0" w:line="263"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2"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86" w:lineRule="exact"/>
        <w:rPr>
          <w:sz w:val="20"/>
          <w:szCs w:val="20"/>
          <w:color w:val="auto"/>
        </w:rPr>
      </w:pPr>
    </w:p>
    <w:p>
      <w:pPr>
        <w:ind w:right="80" w:firstLine="546"/>
        <w:spacing w:after="0" w:line="265" w:lineRule="auto"/>
        <w:rPr>
          <w:sz w:val="20"/>
          <w:szCs w:val="20"/>
          <w:color w:val="auto"/>
        </w:rPr>
      </w:pPr>
      <w:r>
        <w:rPr>
          <w:rFonts w:ascii="Arial" w:cs="Arial" w:eastAsia="Arial" w:hAnsi="Arial"/>
          <w:sz w:val="17"/>
          <w:szCs w:val="17"/>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86" w:lineRule="exact"/>
        <w:rPr>
          <w:sz w:val="20"/>
          <w:szCs w:val="20"/>
          <w:color w:val="auto"/>
        </w:rPr>
      </w:pPr>
    </w:p>
    <w:p>
      <w:pPr>
        <w:ind w:right="340" w:firstLine="546"/>
        <w:spacing w:after="0" w:line="256"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double-digit percentage of our royalty payments and regulatory milestone payments, up to a maximum amount of C$500,000 in any calendar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2" w:name="page33"/>
    <w:bookmarkEnd w:id="32"/>
    <w:p>
      <w:pPr>
        <w:ind w:right="20" w:firstLine="546"/>
        <w:spacing w:after="0" w:line="252"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2" w:lineRule="exact"/>
        <w:rPr>
          <w:sz w:val="20"/>
          <w:szCs w:val="20"/>
          <w:color w:val="auto"/>
        </w:rPr>
      </w:pPr>
    </w:p>
    <w:p>
      <w:pPr>
        <w:ind w:right="200" w:firstLine="546"/>
        <w:spacing w:after="0" w:line="251" w:lineRule="auto"/>
        <w:rPr>
          <w:sz w:val="20"/>
          <w:szCs w:val="20"/>
          <w:color w:val="auto"/>
        </w:rPr>
      </w:pPr>
      <w:r>
        <w:rPr>
          <w:rFonts w:ascii="Arial" w:cs="Arial" w:eastAsia="Arial" w:hAnsi="Arial"/>
          <w:sz w:val="18"/>
          <w:szCs w:val="18"/>
          <w:color w:val="auto"/>
        </w:rPr>
        <w:t>In January 2017, we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93" w:lineRule="exact"/>
        <w:rPr>
          <w:sz w:val="20"/>
          <w:szCs w:val="20"/>
          <w:color w:val="auto"/>
        </w:rPr>
      </w:pPr>
    </w:p>
    <w:p>
      <w:pPr>
        <w:ind w:right="240" w:firstLine="546"/>
        <w:spacing w:after="0" w:line="265"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80"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w:t>
      </w:r>
    </w:p>
    <w:p>
      <w:pPr>
        <w:spacing w:after="0" w:line="1" w:lineRule="exact"/>
        <w:rPr>
          <w:sz w:val="20"/>
          <w:szCs w:val="20"/>
          <w:color w:val="auto"/>
        </w:rPr>
      </w:pPr>
    </w:p>
    <w:p>
      <w:pPr>
        <w:ind w:right="160" w:firstLine="6"/>
        <w:spacing w:after="0" w:line="248" w:lineRule="auto"/>
        <w:tabs>
          <w:tab w:leader="none" w:pos="3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2" w:lineRule="exact"/>
        <w:rPr>
          <w:sz w:val="20"/>
          <w:szCs w:val="20"/>
          <w:color w:val="auto"/>
        </w:rPr>
      </w:pPr>
    </w:p>
    <w:p>
      <w:pPr>
        <w:ind w:right="60" w:firstLine="546"/>
        <w:spacing w:after="0" w:line="309" w:lineRule="auto"/>
        <w:rPr>
          <w:sz w:val="20"/>
          <w:szCs w:val="20"/>
          <w:color w:val="auto"/>
        </w:rPr>
      </w:pPr>
      <w:r>
        <w:rPr>
          <w:rFonts w:ascii="Arial" w:cs="Arial" w:eastAsia="Arial" w:hAnsi="Arial"/>
          <w:sz w:val="15"/>
          <w:szCs w:val="15"/>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us with certain materials related to the GILT tags technology.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5" w:lineRule="exact"/>
        <w:rPr>
          <w:sz w:val="20"/>
          <w:szCs w:val="20"/>
          <w:color w:val="auto"/>
        </w:rPr>
      </w:pPr>
    </w:p>
    <w:p>
      <w:pPr>
        <w:ind w:right="60" w:firstLine="546"/>
        <w:spacing w:after="0" w:line="309" w:lineRule="auto"/>
        <w:rPr>
          <w:sz w:val="20"/>
          <w:szCs w:val="20"/>
          <w:color w:val="auto"/>
        </w:rPr>
      </w:pPr>
      <w:r>
        <w:rPr>
          <w:rFonts w:ascii="Arial" w:cs="Arial" w:eastAsia="Arial" w:hAnsi="Arial"/>
          <w:sz w:val="15"/>
          <w:szCs w:val="15"/>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55"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552" w:right="39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2" w:lineRule="exact"/>
        <w:rPr>
          <w:sz w:val="20"/>
          <w:szCs w:val="20"/>
          <w:color w:val="auto"/>
        </w:rPr>
      </w:pPr>
    </w:p>
    <w:p>
      <w:pPr>
        <w:ind w:right="180" w:firstLine="546"/>
        <w:spacing w:after="0" w:line="249"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97" w:lineRule="exact"/>
        <w:rPr>
          <w:sz w:val="20"/>
          <w:szCs w:val="20"/>
          <w:color w:val="auto"/>
        </w:rPr>
      </w:pPr>
    </w:p>
    <w:p>
      <w:pPr>
        <w:ind w:right="80" w:firstLine="546"/>
        <w:spacing w:after="0" w:line="307" w:lineRule="auto"/>
        <w:rPr>
          <w:sz w:val="20"/>
          <w:szCs w:val="20"/>
          <w:color w:val="auto"/>
        </w:rPr>
      </w:pPr>
      <w:r>
        <w:rPr>
          <w:rFonts w:ascii="Arial" w:cs="Arial" w:eastAsia="Arial" w:hAnsi="Arial"/>
          <w:sz w:val="15"/>
          <w:szCs w:val="15"/>
          <w:color w:val="auto"/>
        </w:rPr>
        <w:t>As consideration for the license, we paid an initial license fee in the amount of $1 million and are required to make payments upon completion of certain development milestones up to an aggregate of $16 million. For example, in November 2019 we made a $2 million payment in connection with the dosing of the first patient in the investigator-sponsored Phase 1/2 clinical trial of AVR-RD-04 in cystinosis in the United States.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55" w:lineRule="exact"/>
        <w:rPr>
          <w:sz w:val="20"/>
          <w:szCs w:val="20"/>
          <w:color w:val="auto"/>
        </w:rPr>
      </w:pPr>
    </w:p>
    <w:p>
      <w:pPr>
        <w:jc w:val="both"/>
        <w:ind w:right="220" w:firstLine="546"/>
        <w:spacing w:after="0" w:line="278"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right="80" w:firstLine="546"/>
        <w:spacing w:after="0" w:line="252"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93" w:lineRule="exact"/>
        <w:rPr>
          <w:sz w:val="20"/>
          <w:szCs w:val="20"/>
          <w:color w:val="auto"/>
        </w:rPr>
      </w:pPr>
    </w:p>
    <w:p>
      <w:pPr>
        <w:ind w:right="140" w:firstLine="546"/>
        <w:spacing w:after="0" w:line="265" w:lineRule="auto"/>
        <w:rPr>
          <w:sz w:val="20"/>
          <w:szCs w:val="20"/>
          <w:color w:val="auto"/>
        </w:rPr>
      </w:pPr>
      <w:r>
        <w:rPr>
          <w:rFonts w:ascii="Arial" w:cs="Arial" w:eastAsia="Arial" w:hAnsi="Arial"/>
          <w:sz w:val="18"/>
          <w:szCs w:val="18"/>
          <w:color w:val="auto"/>
        </w:rPr>
        <w:t>The market for treatment of lysosomal diseases is especially large and competitive. The gene therapies we are currently developing, if approved, will face competition.</w:t>
      </w:r>
    </w:p>
    <w:p>
      <w:pPr>
        <w:spacing w:after="0" w:line="180" w:lineRule="exact"/>
        <w:rPr>
          <w:sz w:val="20"/>
          <w:szCs w:val="20"/>
          <w:color w:val="auto"/>
        </w:rPr>
      </w:pPr>
    </w:p>
    <w:p>
      <w:pPr>
        <w:ind w:right="80" w:firstLine="546"/>
        <w:spacing w:after="0" w:line="264"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 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Annual Report on Form 10-K for more information regarding competitors and competitive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8"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34" w:name="page35"/>
    <w:bookmarkEnd w:id="34"/>
    <w:p>
      <w:pPr>
        <w:ind w:firstLine="546"/>
        <w:spacing w:after="0" w:line="267"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83" w:lineRule="exact"/>
        <w:rPr>
          <w:sz w:val="20"/>
          <w:szCs w:val="20"/>
          <w:color w:val="auto"/>
        </w:rPr>
      </w:pPr>
    </w:p>
    <w:p>
      <w:pPr>
        <w:ind w:right="120" w:firstLine="546"/>
        <w:spacing w:after="0" w:line="267"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2" w:lineRule="exact"/>
        <w:rPr>
          <w:sz w:val="20"/>
          <w:szCs w:val="20"/>
          <w:color w:val="auto"/>
        </w:rPr>
      </w:pPr>
    </w:p>
    <w:p>
      <w:pPr>
        <w:ind w:left="940" w:right="200" w:hanging="389"/>
        <w:spacing w:after="0" w:line="265"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approval by an independent institutional review board, or IRB, or ethics committee at each clinical study site before each study may be initiated;</w:t>
      </w:r>
    </w:p>
    <w:p>
      <w:pPr>
        <w:spacing w:after="0" w:line="146" w:lineRule="exact"/>
        <w:rPr>
          <w:rFonts w:ascii="Arial" w:cs="Arial" w:eastAsia="Arial" w:hAnsi="Arial"/>
          <w:sz w:val="15"/>
          <w:szCs w:val="15"/>
          <w:color w:val="auto"/>
        </w:rPr>
      </w:pPr>
    </w:p>
    <w:p>
      <w:pPr>
        <w:jc w:val="both"/>
        <w:ind w:left="940" w:right="180" w:hanging="389"/>
        <w:spacing w:after="0" w:line="256"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1" w:lineRule="exact"/>
        <w:rPr>
          <w:rFonts w:ascii="Arial" w:cs="Arial" w:eastAsia="Arial" w:hAnsi="Arial"/>
          <w:sz w:val="18"/>
          <w:szCs w:val="18"/>
          <w:color w:val="auto"/>
        </w:rPr>
      </w:pPr>
    </w:p>
    <w:p>
      <w:pPr>
        <w:ind w:left="940" w:right="140" w:hanging="389"/>
        <w:spacing w:after="0" w:line="265"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74" w:lineRule="exact"/>
        <w:rPr>
          <w:rFonts w:ascii="Arial" w:cs="Arial" w:eastAsia="Arial" w:hAnsi="Arial"/>
          <w:sz w:val="18"/>
          <w:szCs w:val="18"/>
          <w:color w:val="auto"/>
        </w:rPr>
      </w:pPr>
    </w:p>
    <w:p>
      <w:pPr>
        <w:ind w:left="940" w:right="220" w:hanging="389"/>
        <w:spacing w:after="0" w:line="331" w:lineRule="auto"/>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30" w:lineRule="exact"/>
        <w:rPr>
          <w:rFonts w:ascii="Arial" w:cs="Arial" w:eastAsia="Arial" w:hAnsi="Arial"/>
          <w:sz w:val="15"/>
          <w:szCs w:val="15"/>
          <w:color w:val="auto"/>
        </w:rPr>
      </w:pPr>
    </w:p>
    <w:p>
      <w:pPr>
        <w:ind w:left="940" w:hanging="3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18" w:lineRule="exact"/>
        <w:rPr>
          <w:sz w:val="20"/>
          <w:szCs w:val="20"/>
          <w:color w:val="auto"/>
        </w:rPr>
      </w:pPr>
    </w:p>
    <w:p>
      <w:pPr>
        <w:ind w:right="100" w:firstLine="546"/>
        <w:spacing w:after="0" w:line="252"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93" w:lineRule="exact"/>
        <w:rPr>
          <w:sz w:val="20"/>
          <w:szCs w:val="20"/>
          <w:color w:val="auto"/>
        </w:rPr>
      </w:pPr>
    </w:p>
    <w:p>
      <w:pPr>
        <w:ind w:right="180" w:firstLine="546"/>
        <w:spacing w:after="0" w:line="266"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5" w:name="page36"/>
    <w:bookmarkEnd w:id="35"/>
    <w:p>
      <w:pPr>
        <w:spacing w:after="0" w:line="301" w:lineRule="auto"/>
        <w:rPr>
          <w:sz w:val="20"/>
          <w:szCs w:val="20"/>
          <w:color w:val="auto"/>
        </w:rPr>
      </w:pPr>
      <w:r>
        <w:rPr>
          <w:rFonts w:ascii="Arial" w:cs="Arial" w:eastAsia="Arial" w:hAnsi="Arial"/>
          <w:sz w:val="15"/>
          <w:szCs w:val="15"/>
          <w:color w:val="auto"/>
        </w:rPr>
        <w:t>nucleic acid molecules had historically been subject to review by the Recombinant DNA Advisory Committee, or RAC, of the National Institutes of Health, or NIH, Office of Biotechnology Activities, or the OBA, pursuant to the NIH Guidelines for Research Involving Recombinant DNA Molecules, or NIH Guidelines.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announced that it will no longer accept new human gene transfer protocols for review as a part of the protocol registration process or convene the RAC to review individual clinical protocols. In April 2019, NIH announced the updated guidelines, which reflect these proposed changes, and clarified that these trials will remain subject to the FDA’s oversight and other clinical trial regulations, and oversight at the local level will continue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375" w:lineRule="exact"/>
        <w:rPr>
          <w:sz w:val="20"/>
          <w:szCs w:val="20"/>
          <w:color w:val="auto"/>
        </w:rPr>
      </w:pPr>
    </w:p>
    <w:p>
      <w:pPr>
        <w:ind w:right="20" w:firstLine="546"/>
        <w:spacing w:after="0" w:line="263" w:lineRule="auto"/>
        <w:rPr>
          <w:sz w:val="20"/>
          <w:szCs w:val="20"/>
          <w:color w:val="auto"/>
        </w:rPr>
      </w:pPr>
      <w:r>
        <w:rPr>
          <w:rFonts w:ascii="Arial" w:cs="Arial" w:eastAsia="Arial" w:hAnsi="Arial"/>
          <w:sz w:val="17"/>
          <w:szCs w:val="17"/>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12" w:lineRule="exact"/>
        <w:rPr>
          <w:sz w:val="20"/>
          <w:szCs w:val="20"/>
          <w:color w:val="auto"/>
        </w:rPr>
      </w:pPr>
    </w:p>
    <w:p>
      <w:pPr>
        <w:ind w:left="940" w:right="100" w:hanging="389"/>
        <w:spacing w:after="0" w:line="256"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 severe</w:t>
      </w:r>
      <w:r>
        <w:rPr>
          <w:rFonts w:ascii="Arial" w:cs="Arial" w:eastAsia="Arial" w:hAnsi="Arial"/>
          <w:sz w:val="18"/>
          <w:szCs w:val="18"/>
          <w:i w:val="1"/>
          <w:iCs w:val="1"/>
          <w:color w:val="auto"/>
        </w:rPr>
        <w:t xml:space="preserve"> </w:t>
      </w:r>
      <w:r>
        <w:rPr>
          <w:rFonts w:ascii="Arial" w:cs="Arial" w:eastAsia="Arial" w:hAnsi="Arial"/>
          <w:sz w:val="18"/>
          <w:szCs w:val="18"/>
          <w:color w:val="auto"/>
        </w:rPr>
        <w:t>or life-threatening diseases, especially when the product may be too inherently toxic to ethically administer to healthy volunteers, the initial human testing is often conducted in patients.</w:t>
      </w:r>
    </w:p>
    <w:p>
      <w:pPr>
        <w:spacing w:after="0" w:line="81" w:lineRule="exact"/>
        <w:rPr>
          <w:rFonts w:ascii="Arial" w:cs="Arial" w:eastAsia="Arial" w:hAnsi="Arial"/>
          <w:sz w:val="18"/>
          <w:szCs w:val="18"/>
          <w:color w:val="auto"/>
        </w:rPr>
      </w:pPr>
    </w:p>
    <w:p>
      <w:pPr>
        <w:ind w:left="940" w:right="100" w:hanging="389"/>
        <w:spacing w:after="0" w:line="366" w:lineRule="auto"/>
        <w:tabs>
          <w:tab w:leader="none" w:pos="94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Phase 2</w:t>
      </w:r>
      <w:r>
        <w:rPr>
          <w:rFonts w:ascii="Arial" w:cs="Arial" w:eastAsia="Arial" w:hAnsi="Arial"/>
          <w:sz w:val="15"/>
          <w:szCs w:val="15"/>
          <w:color w:val="auto"/>
        </w:rPr>
        <w:t>. The biological product is evaluated in a limited patient population to identify possible adverse effects and safety risks, to preliminarily</w:t>
      </w:r>
      <w:r>
        <w:rPr>
          <w:rFonts w:ascii="Arial" w:cs="Arial" w:eastAsia="Arial" w:hAnsi="Arial"/>
          <w:sz w:val="15"/>
          <w:szCs w:val="15"/>
          <w:i w:val="1"/>
          <w:iCs w:val="1"/>
          <w:color w:val="auto"/>
        </w:rPr>
        <w:t xml:space="preserve"> </w:t>
      </w:r>
      <w:r>
        <w:rPr>
          <w:rFonts w:ascii="Arial" w:cs="Arial" w:eastAsia="Arial" w:hAnsi="Arial"/>
          <w:sz w:val="15"/>
          <w:szCs w:val="15"/>
          <w:color w:val="auto"/>
        </w:rPr>
        <w:t>evaluate the efficacy of the product for specific targeted diseases and to determine dosage tolerance, optimal dosage and dosing schedule.</w:t>
      </w:r>
    </w:p>
    <w:p>
      <w:pPr>
        <w:spacing w:after="0" w:line="5" w:lineRule="exact"/>
        <w:rPr>
          <w:rFonts w:ascii="Arial" w:cs="Arial" w:eastAsia="Arial" w:hAnsi="Arial"/>
          <w:sz w:val="15"/>
          <w:szCs w:val="15"/>
          <w:color w:val="auto"/>
        </w:rPr>
      </w:pPr>
    </w:p>
    <w:p>
      <w:pPr>
        <w:ind w:left="940" w:right="280" w:hanging="389"/>
        <w:spacing w:after="0" w:line="256"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studies are intended to establish the overall risk/benefit ratio of the product and provide an adequate basis for approval and product labeling.</w:t>
      </w:r>
    </w:p>
    <w:p>
      <w:pPr>
        <w:spacing w:after="0" w:line="188" w:lineRule="exact"/>
        <w:rPr>
          <w:sz w:val="20"/>
          <w:szCs w:val="20"/>
          <w:color w:val="auto"/>
        </w:rPr>
      </w:pPr>
    </w:p>
    <w:p>
      <w:pPr>
        <w:ind w:right="20" w:firstLine="546"/>
        <w:spacing w:after="0" w:line="319" w:lineRule="auto"/>
        <w:rPr>
          <w:sz w:val="20"/>
          <w:szCs w:val="20"/>
          <w:color w:val="auto"/>
        </w:rPr>
      </w:pPr>
      <w:r>
        <w:rPr>
          <w:rFonts w:ascii="Arial" w:cs="Arial" w:eastAsia="Arial" w:hAnsi="Arial"/>
          <w:sz w:val="15"/>
          <w:szCs w:val="15"/>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36" w:name="page37"/>
    <w:bookmarkEnd w:id="36"/>
    <w:p>
      <w:pPr>
        <w:ind w:firstLine="546"/>
        <w:spacing w:after="0" w:line="302"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62" w:lineRule="exact"/>
        <w:rPr>
          <w:sz w:val="20"/>
          <w:szCs w:val="20"/>
          <w:color w:val="auto"/>
        </w:rPr>
      </w:pPr>
    </w:p>
    <w:p>
      <w:pPr>
        <w:ind w:right="120" w:firstLine="546"/>
        <w:spacing w:after="0" w:line="313" w:lineRule="auto"/>
        <w:rPr>
          <w:sz w:val="20"/>
          <w:szCs w:val="20"/>
          <w:color w:val="auto"/>
        </w:rPr>
      </w:pPr>
      <w:r>
        <w:rPr>
          <w:rFonts w:ascii="Arial" w:cs="Arial" w:eastAsia="Arial" w:hAnsi="Arial"/>
          <w:sz w:val="15"/>
          <w:szCs w:val="15"/>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50" w:lineRule="exact"/>
        <w:rPr>
          <w:sz w:val="20"/>
          <w:szCs w:val="20"/>
          <w:color w:val="auto"/>
        </w:rPr>
      </w:pPr>
    </w:p>
    <w:p>
      <w:pPr>
        <w:ind w:right="140" w:firstLine="546"/>
        <w:spacing w:after="0" w:line="307" w:lineRule="auto"/>
        <w:rPr>
          <w:sz w:val="20"/>
          <w:szCs w:val="20"/>
          <w:color w:val="auto"/>
        </w:rPr>
      </w:pPr>
      <w:r>
        <w:rPr>
          <w:rFonts w:ascii="Arial" w:cs="Arial" w:eastAsia="Arial" w:hAnsi="Arial"/>
          <w:sz w:val="15"/>
          <w:szCs w:val="15"/>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2" w:lineRule="exact"/>
        <w:rPr>
          <w:sz w:val="20"/>
          <w:szCs w:val="20"/>
          <w:color w:val="auto"/>
        </w:rPr>
      </w:pPr>
    </w:p>
    <w:p>
      <w:pPr>
        <w:ind w:right="60" w:firstLine="546"/>
        <w:spacing w:after="0" w:line="319" w:lineRule="auto"/>
        <w:rPr>
          <w:sz w:val="20"/>
          <w:szCs w:val="20"/>
          <w:color w:val="auto"/>
        </w:rPr>
      </w:pPr>
      <w:r>
        <w:rPr>
          <w:rFonts w:ascii="Arial" w:cs="Arial" w:eastAsia="Arial" w:hAnsi="Arial"/>
          <w:sz w:val="15"/>
          <w:szCs w:val="15"/>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45" w:lineRule="exact"/>
        <w:rPr>
          <w:sz w:val="20"/>
          <w:szCs w:val="20"/>
          <w:color w:val="auto"/>
        </w:rPr>
      </w:pPr>
    </w:p>
    <w:p>
      <w:pPr>
        <w:ind w:right="260" w:firstLine="546"/>
        <w:spacing w:after="0" w:line="303" w:lineRule="auto"/>
        <w:rPr>
          <w:sz w:val="20"/>
          <w:szCs w:val="20"/>
          <w:color w:val="auto"/>
        </w:rPr>
      </w:pPr>
      <w:r>
        <w:rPr>
          <w:rFonts w:ascii="Arial" w:cs="Arial" w:eastAsia="Arial" w:hAnsi="Arial"/>
          <w:sz w:val="15"/>
          <w:szCs w:val="15"/>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7" w:name="page38"/>
    <w:bookmarkEnd w:id="37"/>
    <w:p>
      <w:pPr>
        <w:ind w:right="20" w:firstLine="546"/>
        <w:spacing w:after="0" w:line="265"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82" w:lineRule="exact"/>
        <w:rPr>
          <w:sz w:val="20"/>
          <w:szCs w:val="20"/>
          <w:color w:val="auto"/>
        </w:rPr>
      </w:pPr>
    </w:p>
    <w:p>
      <w:pPr>
        <w:ind w:right="100" w:firstLine="546"/>
        <w:spacing w:after="0" w:line="264"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5"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93" w:lineRule="exact"/>
        <w:rPr>
          <w:sz w:val="20"/>
          <w:szCs w:val="20"/>
          <w:color w:val="auto"/>
        </w:rPr>
      </w:pPr>
    </w:p>
    <w:p>
      <w:pPr>
        <w:ind w:right="80" w:firstLine="546"/>
        <w:spacing w:after="0" w:line="266"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3" w:lineRule="exact"/>
        <w:rPr>
          <w:sz w:val="20"/>
          <w:szCs w:val="20"/>
          <w:color w:val="auto"/>
        </w:rPr>
      </w:pPr>
    </w:p>
    <w:p>
      <w:pPr>
        <w:ind w:right="80" w:firstLine="546"/>
        <w:spacing w:after="0" w:line="250"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8" w:name="page39"/>
    <w:bookmarkEnd w:id="38"/>
    <w:p>
      <w:pPr>
        <w:ind w:left="5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2" w:lineRule="exact"/>
        <w:rPr>
          <w:sz w:val="20"/>
          <w:szCs w:val="20"/>
          <w:color w:val="auto"/>
        </w:rPr>
      </w:pPr>
    </w:p>
    <w:p>
      <w:pPr>
        <w:ind w:firstLine="546"/>
        <w:spacing w:after="0" w:line="309" w:lineRule="auto"/>
        <w:rPr>
          <w:sz w:val="20"/>
          <w:szCs w:val="20"/>
          <w:color w:val="auto"/>
        </w:rPr>
      </w:pPr>
      <w:r>
        <w:rPr>
          <w:rFonts w:ascii="Arial" w:cs="Arial" w:eastAsia="Arial" w:hAnsi="Arial"/>
          <w:sz w:val="15"/>
          <w:szCs w:val="15"/>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55"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00" w:lineRule="exact"/>
        <w:rPr>
          <w:sz w:val="20"/>
          <w:szCs w:val="20"/>
          <w:color w:val="auto"/>
        </w:rPr>
      </w:pP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2"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59"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76"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39" w:name="page40"/>
    <w:bookmarkEnd w:id="39"/>
    <w:p>
      <w:pPr>
        <w:ind w:right="60" w:firstLine="546"/>
        <w:spacing w:after="0" w:line="266" w:lineRule="auto"/>
        <w:rPr>
          <w:sz w:val="20"/>
          <w:szCs w:val="20"/>
          <w:color w:val="auto"/>
        </w:rPr>
      </w:pPr>
      <w:r>
        <w:rPr>
          <w:rFonts w:ascii="Arial" w:cs="Arial" w:eastAsia="Arial" w:hAnsi="Arial"/>
          <w:sz w:val="17"/>
          <w:szCs w:val="17"/>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2" w:lineRule="exact"/>
        <w:rPr>
          <w:sz w:val="20"/>
          <w:szCs w:val="20"/>
          <w:color w:val="auto"/>
        </w:rPr>
      </w:pPr>
    </w:p>
    <w:p>
      <w:pPr>
        <w:ind w:firstLine="546"/>
        <w:spacing w:after="0" w:line="300" w:lineRule="auto"/>
        <w:rPr>
          <w:sz w:val="20"/>
          <w:szCs w:val="20"/>
          <w:color w:val="auto"/>
        </w:rPr>
      </w:pPr>
      <w:r>
        <w:rPr>
          <w:rFonts w:ascii="Arial" w:cs="Arial" w:eastAsia="Arial" w:hAnsi="Arial"/>
          <w:sz w:val="15"/>
          <w:szCs w:val="15"/>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w:t>
      </w: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2" w:lineRule="exact"/>
        <w:rPr>
          <w:sz w:val="20"/>
          <w:szCs w:val="20"/>
          <w:color w:val="auto"/>
        </w:rPr>
      </w:pPr>
    </w:p>
    <w:p>
      <w:pPr>
        <w:ind w:right="60" w:firstLine="546"/>
        <w:spacing w:after="0" w:line="263"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40" w:name="page41"/>
    <w:bookmarkEnd w:id="40"/>
    <w:p>
      <w:pPr>
        <w:ind w:firstLine="546"/>
        <w:spacing w:after="0" w:line="264"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87"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2" w:lineRule="exact"/>
        <w:rPr>
          <w:sz w:val="20"/>
          <w:szCs w:val="20"/>
          <w:color w:val="auto"/>
        </w:rPr>
      </w:pPr>
    </w:p>
    <w:p>
      <w:pPr>
        <w:ind w:firstLine="546"/>
        <w:spacing w:after="0" w:line="264"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5" w:lineRule="exact"/>
        <w:rPr>
          <w:sz w:val="20"/>
          <w:szCs w:val="20"/>
          <w:color w:val="auto"/>
        </w:rPr>
      </w:pPr>
    </w:p>
    <w:p>
      <w:pPr>
        <w:ind w:right="400" w:firstLine="546"/>
        <w:spacing w:after="0" w:line="252"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93"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41" w:name="page42"/>
    <w:bookmarkEnd w:id="41"/>
    <w:p>
      <w:pPr>
        <w:ind w:right="80" w:firstLine="546"/>
        <w:spacing w:after="0" w:line="302" w:lineRule="auto"/>
        <w:rPr>
          <w:sz w:val="20"/>
          <w:szCs w:val="20"/>
          <w:color w:val="auto"/>
        </w:rPr>
      </w:pPr>
      <w:r>
        <w:rPr>
          <w:rFonts w:ascii="Arial" w:cs="Arial" w:eastAsia="Arial" w:hAnsi="Arial"/>
          <w:sz w:val="15"/>
          <w:szCs w:val="15"/>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2" w:lineRule="exact"/>
        <w:rPr>
          <w:sz w:val="20"/>
          <w:szCs w:val="20"/>
          <w:color w:val="auto"/>
        </w:rPr>
      </w:pPr>
    </w:p>
    <w:p>
      <w:pPr>
        <w:ind w:firstLine="546"/>
        <w:spacing w:after="0" w:line="309" w:lineRule="auto"/>
        <w:rPr>
          <w:sz w:val="20"/>
          <w:szCs w:val="20"/>
          <w:color w:val="auto"/>
        </w:rPr>
      </w:pPr>
      <w:r>
        <w:rPr>
          <w:rFonts w:ascii="Arial" w:cs="Arial" w:eastAsia="Arial" w:hAnsi="Arial"/>
          <w:sz w:val="15"/>
          <w:szCs w:val="15"/>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2" w:lineRule="exact"/>
        <w:rPr>
          <w:sz w:val="20"/>
          <w:szCs w:val="20"/>
          <w:color w:val="auto"/>
        </w:rPr>
      </w:pPr>
    </w:p>
    <w:p>
      <w:pPr>
        <w:ind w:right="20" w:firstLine="546"/>
        <w:spacing w:after="0" w:line="252"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2" w:lineRule="exact"/>
        <w:rPr>
          <w:sz w:val="20"/>
          <w:szCs w:val="20"/>
          <w:color w:val="auto"/>
        </w:rPr>
      </w:pPr>
    </w:p>
    <w:p>
      <w:pPr>
        <w:ind w:right="280" w:firstLine="546"/>
        <w:spacing w:after="0" w:line="256"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8" w:lineRule="exact"/>
        <w:rPr>
          <w:sz w:val="20"/>
          <w:szCs w:val="20"/>
          <w:color w:val="auto"/>
        </w:rPr>
      </w:pPr>
    </w:p>
    <w:p>
      <w:pPr>
        <w:ind w:right="60" w:firstLine="546"/>
        <w:spacing w:after="0" w:line="250"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4" w:lineRule="exact"/>
        <w:rPr>
          <w:sz w:val="20"/>
          <w:szCs w:val="20"/>
          <w:color w:val="auto"/>
        </w:rPr>
      </w:pPr>
    </w:p>
    <w:p>
      <w:pPr>
        <w:ind w:right="20" w:firstLine="546"/>
        <w:spacing w:after="0" w:line="256"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2" w:name="page43"/>
    <w:bookmarkEnd w:id="42"/>
    <w:p>
      <w:pPr>
        <w:ind w:right="60" w:firstLine="546"/>
        <w:spacing w:after="0" w:line="264"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2"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372" w:lineRule="exact"/>
        <w:rPr>
          <w:sz w:val="20"/>
          <w:szCs w:val="20"/>
          <w:color w:val="auto"/>
        </w:rPr>
      </w:pPr>
    </w:p>
    <w:p>
      <w:pPr>
        <w:ind w:right="60" w:firstLine="546"/>
        <w:spacing w:after="0" w:line="256"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1" w:lineRule="exact"/>
        <w:rPr>
          <w:sz w:val="20"/>
          <w:szCs w:val="20"/>
          <w:color w:val="auto"/>
        </w:rPr>
      </w:pPr>
    </w:p>
    <w:p>
      <w:pPr>
        <w:ind w:left="940" w:hanging="3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18" w:lineRule="exact"/>
        <w:rPr>
          <w:sz w:val="20"/>
          <w:szCs w:val="20"/>
          <w:color w:val="auto"/>
        </w:rPr>
      </w:pPr>
    </w:p>
    <w:p>
      <w:pPr>
        <w:ind w:right="60" w:firstLine="546"/>
        <w:spacing w:after="0" w:line="331"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w:t>
      </w:r>
    </w:p>
    <w:p>
      <w:pPr>
        <w:spacing w:after="0" w:line="136" w:lineRule="exact"/>
        <w:rPr>
          <w:sz w:val="20"/>
          <w:szCs w:val="20"/>
          <w:color w:val="auto"/>
        </w:rPr>
      </w:pPr>
    </w:p>
    <w:p>
      <w:pPr>
        <w:ind w:right="300" w:firstLine="546"/>
        <w:spacing w:after="0" w:line="265"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3" w:name="page44"/>
    <w:bookmarkEnd w:id="43"/>
    <w:p>
      <w:pPr>
        <w:ind w:left="5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2" w:lineRule="exact"/>
        <w:rPr>
          <w:sz w:val="20"/>
          <w:szCs w:val="20"/>
          <w:color w:val="auto"/>
        </w:rPr>
      </w:pPr>
    </w:p>
    <w:p>
      <w:pPr>
        <w:ind w:right="160" w:firstLine="546"/>
        <w:spacing w:after="0" w:line="272" w:lineRule="auto"/>
        <w:rPr>
          <w:sz w:val="20"/>
          <w:szCs w:val="20"/>
          <w:color w:val="auto"/>
        </w:rPr>
      </w:pPr>
      <w:r>
        <w:rPr>
          <w:rFonts w:ascii="Arial" w:cs="Arial" w:eastAsia="Arial" w:hAnsi="Arial"/>
          <w:sz w:val="17"/>
          <w:szCs w:val="17"/>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70" w:lineRule="exact"/>
        <w:rPr>
          <w:sz w:val="20"/>
          <w:szCs w:val="20"/>
          <w:color w:val="auto"/>
        </w:rPr>
      </w:pPr>
    </w:p>
    <w:p>
      <w:pPr>
        <w:ind w:left="940" w:right="40" w:hanging="389"/>
        <w:spacing w:after="0" w:line="265"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6" w:lineRule="exact"/>
        <w:rPr>
          <w:rFonts w:ascii="Arial" w:cs="Arial" w:eastAsia="Arial" w:hAnsi="Arial"/>
          <w:sz w:val="17"/>
          <w:szCs w:val="17"/>
          <w:color w:val="auto"/>
        </w:rPr>
      </w:pPr>
    </w:p>
    <w:p>
      <w:pPr>
        <w:ind w:left="940" w:hanging="389"/>
        <w:spacing w:after="0" w:line="265"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9" w:lineRule="exact"/>
        <w:rPr>
          <w:rFonts w:ascii="Arial" w:cs="Arial" w:eastAsia="Arial" w:hAnsi="Arial"/>
          <w:sz w:val="17"/>
          <w:szCs w:val="17"/>
          <w:color w:val="auto"/>
        </w:rPr>
      </w:pPr>
    </w:p>
    <w:p>
      <w:pPr>
        <w:ind w:left="940" w:right="180" w:hanging="389"/>
        <w:spacing w:after="0" w:line="252"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86" w:lineRule="exact"/>
        <w:rPr>
          <w:rFonts w:ascii="Arial" w:cs="Arial" w:eastAsia="Arial" w:hAnsi="Arial"/>
          <w:sz w:val="18"/>
          <w:szCs w:val="18"/>
          <w:color w:val="auto"/>
        </w:rPr>
      </w:pPr>
    </w:p>
    <w:p>
      <w:pPr>
        <w:ind w:left="940" w:right="20" w:hanging="389"/>
        <w:spacing w:after="0" w:line="307" w:lineRule="auto"/>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49" w:lineRule="exact"/>
        <w:rPr>
          <w:rFonts w:ascii="Arial" w:cs="Arial" w:eastAsia="Arial" w:hAnsi="Arial"/>
          <w:sz w:val="15"/>
          <w:szCs w:val="15"/>
          <w:color w:val="auto"/>
        </w:rPr>
      </w:pPr>
    </w:p>
    <w:p>
      <w:pPr>
        <w:ind w:left="940" w:right="160" w:hanging="389"/>
        <w:spacing w:after="0" w:line="319" w:lineRule="auto"/>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39" w:lineRule="exact"/>
        <w:rPr>
          <w:rFonts w:ascii="Arial" w:cs="Arial" w:eastAsia="Arial" w:hAnsi="Arial"/>
          <w:sz w:val="15"/>
          <w:szCs w:val="15"/>
          <w:color w:val="auto"/>
        </w:rPr>
      </w:pPr>
    </w:p>
    <w:p>
      <w:pPr>
        <w:ind w:left="940" w:right="60" w:hanging="389"/>
        <w:spacing w:after="0" w:line="266"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44" w:name="page45"/>
    <w:bookmarkEnd w:id="44"/>
    <w:p>
      <w:pPr>
        <w:ind w:left="940" w:right="220" w:hanging="389"/>
        <w:spacing w:after="0" w:line="265"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4" w:lineRule="exact"/>
        <w:rPr>
          <w:rFonts w:ascii="Arial" w:cs="Arial" w:eastAsia="Arial" w:hAnsi="Arial"/>
          <w:sz w:val="18"/>
          <w:szCs w:val="18"/>
          <w:color w:val="auto"/>
        </w:rPr>
      </w:pPr>
    </w:p>
    <w:p>
      <w:pPr>
        <w:ind w:left="940" w:right="460" w:hanging="389"/>
        <w:spacing w:after="0" w:line="265"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80" w:lineRule="exact"/>
        <w:rPr>
          <w:sz w:val="20"/>
          <w:szCs w:val="20"/>
          <w:color w:val="auto"/>
        </w:rPr>
      </w:pPr>
    </w:p>
    <w:p>
      <w:pPr>
        <w:ind w:right="20" w:firstLine="546"/>
        <w:spacing w:after="0" w:line="304" w:lineRule="auto"/>
        <w:rPr>
          <w:sz w:val="20"/>
          <w:szCs w:val="20"/>
          <w:color w:val="auto"/>
        </w:rPr>
      </w:pPr>
      <w:r>
        <w:rPr>
          <w:rFonts w:ascii="Arial" w:cs="Arial" w:eastAsia="Arial" w:hAnsi="Arial"/>
          <w:sz w:val="15"/>
          <w:szCs w:val="15"/>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59" w:lineRule="exact"/>
        <w:rPr>
          <w:sz w:val="20"/>
          <w:szCs w:val="20"/>
          <w:color w:val="auto"/>
        </w:rPr>
      </w:pPr>
    </w:p>
    <w:p>
      <w:pPr>
        <w:ind w:right="80" w:firstLine="546"/>
        <w:spacing w:after="0" w:line="26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80"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93" w:lineRule="exact"/>
        <w:rPr>
          <w:sz w:val="20"/>
          <w:szCs w:val="20"/>
          <w:color w:val="auto"/>
        </w:rPr>
      </w:pPr>
    </w:p>
    <w:p>
      <w:pPr>
        <w:ind w:right="60" w:firstLine="546"/>
        <w:spacing w:after="0" w:line="303" w:lineRule="auto"/>
        <w:rPr>
          <w:sz w:val="20"/>
          <w:szCs w:val="20"/>
          <w:color w:val="auto"/>
        </w:rPr>
      </w:pPr>
      <w:r>
        <w:rPr>
          <w:rFonts w:ascii="Arial" w:cs="Arial" w:eastAsia="Arial" w:hAnsi="Arial"/>
          <w:sz w:val="15"/>
          <w:szCs w:val="15"/>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372" w:lineRule="exact"/>
        <w:rPr>
          <w:sz w:val="20"/>
          <w:szCs w:val="20"/>
          <w:color w:val="auto"/>
        </w:rPr>
      </w:pPr>
    </w:p>
    <w:p>
      <w:pPr>
        <w:ind w:right="100" w:firstLine="546"/>
        <w:spacing w:after="0" w:line="256"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88" w:lineRule="exact"/>
        <w:rPr>
          <w:sz w:val="20"/>
          <w:szCs w:val="20"/>
          <w:color w:val="auto"/>
        </w:rPr>
      </w:pPr>
    </w:p>
    <w:p>
      <w:pPr>
        <w:ind w:right="160" w:firstLine="546"/>
        <w:spacing w:after="0" w:line="252" w:lineRule="auto"/>
        <w:rPr>
          <w:sz w:val="20"/>
          <w:szCs w:val="20"/>
          <w:color w:val="auto"/>
        </w:rPr>
      </w:pPr>
      <w:r>
        <w:rPr>
          <w:rFonts w:ascii="Arial" w:cs="Arial" w:eastAsia="Arial" w:hAnsi="Arial"/>
          <w:sz w:val="18"/>
          <w:szCs w:val="18"/>
          <w:color w:val="auto"/>
        </w:rPr>
        <w:t>Regulators globally are also imposing greater monetary fines for privacy violations. For example, in 2016, the European Union adopted a new regulation governing data practices and privacy called the General Data Protection Regulation, or GDPR, which became effective on May 25, 2018. Non-compliance with the GDPR may result in monetary penalties of up to €20 million or 4% of worldwide revenue, whichever is higher. Notably, on January 21, 2019, Google was fined almost $57 million by French regulators for violating GDPR.</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collection and use of personal health data in the European Union is governed by the provisions of the Data Protection Directive, and as of</w:t>
      </w:r>
    </w:p>
    <w:p>
      <w:pPr>
        <w:spacing w:after="0" w:line="2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May 25, 2018 the GDPR.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45" w:name="page46"/>
    <w:bookmarkEnd w:id="45"/>
    <w:p>
      <w:pPr>
        <w:ind w:right="60"/>
        <w:spacing w:after="0" w:line="252" w:lineRule="auto"/>
        <w:rPr>
          <w:sz w:val="20"/>
          <w:szCs w:val="20"/>
          <w:color w:val="auto"/>
        </w:rPr>
      </w:pPr>
      <w:r>
        <w:rPr>
          <w:rFonts w:ascii="Arial" w:cs="Arial" w:eastAsia="Arial" w:hAnsi="Arial"/>
          <w:sz w:val="18"/>
          <w:szCs w:val="18"/>
          <w:color w:val="auto"/>
        </w:rPr>
        <w:t>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2" w:lineRule="exact"/>
        <w:rPr>
          <w:sz w:val="20"/>
          <w:szCs w:val="20"/>
          <w:color w:val="auto"/>
        </w:rPr>
      </w:pPr>
    </w:p>
    <w:p>
      <w:pPr>
        <w:ind w:right="60" w:firstLine="546"/>
        <w:spacing w:after="0" w:line="303" w:lineRule="auto"/>
        <w:rPr>
          <w:sz w:val="20"/>
          <w:szCs w:val="20"/>
          <w:color w:val="auto"/>
        </w:rPr>
      </w:pPr>
      <w:r>
        <w:rPr>
          <w:rFonts w:ascii="Arial" w:cs="Arial" w:eastAsia="Arial" w:hAnsi="Arial"/>
          <w:sz w:val="15"/>
          <w:szCs w:val="15"/>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created a new Medicare Part D coverage gap discount program, in which manufacturers must agree to offer 70% (as of 2019) point-of-sale discounts off negotiated prices of applicable brand drugs to eligible beneficiaries during their coverage gap period, as a condition for manufacturers’ outpatient drugs coverage under Medicare Part D; subjects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w:t>
      </w:r>
    </w:p>
    <w:p>
      <w:pPr>
        <w:spacing w:after="0" w:line="372"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Fifth Circuit Court and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83" w:lineRule="exact"/>
        <w:rPr>
          <w:sz w:val="20"/>
          <w:szCs w:val="20"/>
          <w:color w:val="auto"/>
        </w:rPr>
      </w:pPr>
    </w:p>
    <w:p>
      <w:pPr>
        <w:ind w:right="20" w:firstLine="546"/>
        <w:spacing w:after="0" w:line="264"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proposing and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right="40" w:firstLine="546"/>
        <w:spacing w:after="0" w:line="313" w:lineRule="auto"/>
        <w:rPr>
          <w:sz w:val="20"/>
          <w:szCs w:val="20"/>
          <w:color w:val="auto"/>
        </w:rPr>
      </w:pPr>
      <w:r>
        <w:rPr>
          <w:rFonts w:ascii="Arial" w:cs="Arial" w:eastAsia="Arial" w:hAnsi="Arial"/>
          <w:sz w:val="15"/>
          <w:szCs w:val="15"/>
          <w:color w:val="auto"/>
        </w:rPr>
        <w:t>Finally,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50" w:lineRule="exact"/>
        <w:rPr>
          <w:sz w:val="20"/>
          <w:szCs w:val="20"/>
          <w:color w:val="auto"/>
        </w:rPr>
      </w:pPr>
    </w:p>
    <w:p>
      <w:pPr>
        <w:ind w:right="280" w:firstLine="546"/>
        <w:spacing w:after="0" w:line="256"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our products, if approved, or additional pricing pressures.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Coverage and Reimbursement</w:t>
      </w:r>
    </w:p>
    <w:p>
      <w:pPr>
        <w:spacing w:after="0" w:line="118" w:lineRule="exact"/>
        <w:rPr>
          <w:sz w:val="20"/>
          <w:szCs w:val="20"/>
          <w:color w:val="auto"/>
        </w:rPr>
      </w:pPr>
    </w:p>
    <w:p>
      <w:pPr>
        <w:ind w:firstLine="546"/>
        <w:spacing w:after="0" w:line="264" w:lineRule="auto"/>
        <w:rPr>
          <w:sz w:val="20"/>
          <w:szCs w:val="20"/>
          <w:color w:val="auto"/>
        </w:rPr>
      </w:pPr>
      <w:r>
        <w:rPr>
          <w:rFonts w:ascii="Arial" w:cs="Arial" w:eastAsia="Arial" w:hAnsi="Arial"/>
          <w:sz w:val="17"/>
          <w:szCs w:val="17"/>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our gene therapies could reduce physician utilization of our products once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ind w:right="80" w:firstLine="546"/>
        <w:spacing w:after="0" w:line="256" w:lineRule="auto"/>
        <w:rPr>
          <w:sz w:val="20"/>
          <w:szCs w:val="20"/>
          <w:color w:val="auto"/>
        </w:rPr>
      </w:pPr>
      <w:r>
        <w:rPr>
          <w:rFonts w:ascii="Arial" w:cs="Arial" w:eastAsia="Arial" w:hAnsi="Arial"/>
          <w:sz w:val="18"/>
          <w:szCs w:val="18"/>
          <w:color w:val="auto"/>
        </w:rPr>
        <w:t>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88" w:lineRule="exact"/>
        <w:rPr>
          <w:sz w:val="20"/>
          <w:szCs w:val="20"/>
          <w:color w:val="auto"/>
        </w:rPr>
      </w:pPr>
    </w:p>
    <w:p>
      <w:pPr>
        <w:ind w:right="460" w:firstLine="546"/>
        <w:spacing w:after="0" w:line="265"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payor separately and will be a time-consuming process.</w:t>
      </w:r>
    </w:p>
    <w:p>
      <w:pPr>
        <w:spacing w:after="0" w:line="180" w:lineRule="exact"/>
        <w:rPr>
          <w:sz w:val="20"/>
          <w:szCs w:val="20"/>
          <w:color w:val="auto"/>
        </w:rPr>
      </w:pPr>
    </w:p>
    <w:p>
      <w:pPr>
        <w:ind w:right="20" w:firstLine="546"/>
        <w:spacing w:after="0" w:line="313" w:lineRule="auto"/>
        <w:rPr>
          <w:sz w:val="20"/>
          <w:szCs w:val="20"/>
          <w:color w:val="auto"/>
        </w:rPr>
      </w:pPr>
      <w:r>
        <w:rPr>
          <w:rFonts w:ascii="Arial" w:cs="Arial" w:eastAsia="Arial" w:hAnsi="Arial"/>
          <w:sz w:val="15"/>
          <w:szCs w:val="15"/>
          <w:color w:val="auto"/>
        </w:rPr>
        <w:t>Third-party 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0" w:lineRule="exact"/>
        <w:rPr>
          <w:sz w:val="20"/>
          <w:szCs w:val="20"/>
          <w:color w:val="auto"/>
        </w:rPr>
      </w:pPr>
    </w:p>
    <w:p>
      <w:pPr>
        <w:ind w:right="40" w:firstLine="546"/>
        <w:spacing w:after="0" w:line="309" w:lineRule="auto"/>
        <w:rPr>
          <w:sz w:val="20"/>
          <w:szCs w:val="20"/>
          <w:color w:val="auto"/>
        </w:rPr>
      </w:pPr>
      <w:r>
        <w:rPr>
          <w:rFonts w:ascii="Arial" w:cs="Arial" w:eastAsia="Arial" w:hAnsi="Arial"/>
          <w:sz w:val="15"/>
          <w:szCs w:val="15"/>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As of December 31, 2019, we had 85 full-time employees, 28 of whom have Ph.D. or M.D. degrees. Of these full-time employees, 60 employees are engaged in research and development activities and 25 employees are engaged in finance, legal, human resources, facilities and general management. We have no collective bargaining agreements with our employees and we have not experienced any work stoppages. We consider our relationship with our employees to be good.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18"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We are subject to the informational requirements of the Exchange Act and are required to file annual, quarterly and current reports, proxy statements and other information with the SEC. You can read our SEC filings at the SEC’s website at www.sec.gov. We also maintain a website at www.avrobio.com.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following risks and uncertainties, together with all other information in this Annual Report on Form 10-K,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Annual Report on Form 10-K.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18" w:lineRule="exact"/>
        <w:rPr>
          <w:sz w:val="20"/>
          <w:szCs w:val="20"/>
          <w:color w:val="auto"/>
        </w:rPr>
      </w:pPr>
    </w:p>
    <w:p>
      <w:pPr>
        <w:ind w:left="560" w:right="820"/>
        <w:spacing w:after="0" w:line="265"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74"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Since inception, we have incurred net losses. We incurred net losses of $73.0 million and $46.4 million for the years ended December 31, 2019 and 2018, respectively. We historically financed our operations primarily through private placements of our preferred stock and, more recently, our initial public offering and follow-on public offerings of our common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76" w:lineRule="exact"/>
        <w:rPr>
          <w:sz w:val="20"/>
          <w:szCs w:val="20"/>
          <w:color w:val="auto"/>
        </w:rPr>
      </w:pPr>
    </w:p>
    <w:p>
      <w:pPr>
        <w:ind w:left="940" w:right="140" w:hanging="389"/>
        <w:spacing w:after="0" w:line="265"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investigator-sponsored Phase 1/2 clinical trial for AVR-RD-04 and our Phase 1/2 clinical trial for AVR-RD-02;</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1" w:lineRule="exact"/>
        <w:rPr>
          <w:rFonts w:ascii="Arial" w:cs="Arial" w:eastAsia="Arial" w:hAnsi="Arial"/>
          <w:sz w:val="18"/>
          <w:szCs w:val="18"/>
          <w:color w:val="auto"/>
        </w:rPr>
      </w:pPr>
    </w:p>
    <w:p>
      <w:pPr>
        <w:ind w:left="940" w:right="660" w:hanging="389"/>
        <w:spacing w:after="0" w:line="265"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4" w:lineRule="exact"/>
        <w:rPr>
          <w:rFonts w:ascii="Arial" w:cs="Arial" w:eastAsia="Arial" w:hAnsi="Arial"/>
          <w:sz w:val="18"/>
          <w:szCs w:val="18"/>
          <w:color w:val="auto"/>
        </w:rPr>
      </w:pPr>
    </w:p>
    <w:p>
      <w:pPr>
        <w:ind w:left="940" w:right="60" w:hanging="389"/>
        <w:spacing w:after="0" w:line="265"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1" w:lineRule="exact"/>
        <w:rPr>
          <w:rFonts w:ascii="Arial" w:cs="Arial" w:eastAsia="Arial" w:hAnsi="Arial"/>
          <w:sz w:val="18"/>
          <w:szCs w:val="18"/>
          <w:color w:val="auto"/>
        </w:rPr>
      </w:pPr>
    </w:p>
    <w:p>
      <w:pPr>
        <w:ind w:left="940" w:right="360" w:hanging="389"/>
        <w:spacing w:after="0" w:line="265"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18" w:lineRule="exact"/>
        <w:rPr>
          <w:sz w:val="20"/>
          <w:szCs w:val="20"/>
          <w:color w:val="auto"/>
        </w:rPr>
      </w:pPr>
    </w:p>
    <w:p>
      <w:pPr>
        <w:ind w:right="60" w:firstLine="546"/>
        <w:spacing w:after="0" w:line="265"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8" w:name="page49"/>
    <w:bookmarkEnd w:id="48"/>
    <w:p>
      <w:pPr>
        <w:ind w:left="5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2"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87" w:lineRule="exact"/>
        <w:rPr>
          <w:sz w:val="20"/>
          <w:szCs w:val="20"/>
          <w:color w:val="auto"/>
        </w:rPr>
      </w:pPr>
    </w:p>
    <w:p>
      <w:pPr>
        <w:ind w:left="940" w:right="540" w:hanging="389"/>
        <w:spacing w:after="0" w:line="265"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1" w:lineRule="exact"/>
        <w:rPr>
          <w:rFonts w:ascii="Arial" w:cs="Arial" w:eastAsia="Arial" w:hAnsi="Arial"/>
          <w:sz w:val="18"/>
          <w:szCs w:val="18"/>
          <w:color w:val="auto"/>
        </w:rPr>
      </w:pPr>
    </w:p>
    <w:p>
      <w:pPr>
        <w:ind w:left="940" w:right="640" w:hanging="389"/>
        <w:spacing w:after="0" w:line="265"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1" w:lineRule="exact"/>
        <w:rPr>
          <w:rFonts w:ascii="Arial" w:cs="Arial" w:eastAsia="Arial" w:hAnsi="Arial"/>
          <w:sz w:val="18"/>
          <w:szCs w:val="18"/>
          <w:color w:val="auto"/>
        </w:rPr>
      </w:pPr>
    </w:p>
    <w:p>
      <w:pPr>
        <w:ind w:left="940" w:right="120" w:hanging="389"/>
        <w:spacing w:after="0" w:line="366" w:lineRule="auto"/>
        <w:tabs>
          <w:tab w:leader="none" w:pos="9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5" w:lineRule="exact"/>
        <w:rPr>
          <w:rFonts w:ascii="Arial" w:cs="Arial" w:eastAsia="Arial" w:hAnsi="Arial"/>
          <w:sz w:val="15"/>
          <w:szCs w:val="15"/>
          <w:color w:val="auto"/>
        </w:rPr>
      </w:pPr>
    </w:p>
    <w:p>
      <w:pPr>
        <w:ind w:left="940" w:hanging="3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1" w:lineRule="exact"/>
        <w:rPr>
          <w:rFonts w:ascii="Arial" w:cs="Arial" w:eastAsia="Arial" w:hAnsi="Arial"/>
          <w:sz w:val="18"/>
          <w:szCs w:val="18"/>
          <w:color w:val="auto"/>
        </w:rPr>
      </w:pPr>
    </w:p>
    <w:p>
      <w:pPr>
        <w:ind w:left="940" w:right="60" w:hanging="389"/>
        <w:spacing w:after="0" w:line="265"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8" w:lineRule="exact"/>
        <w:rPr>
          <w:sz w:val="20"/>
          <w:szCs w:val="20"/>
          <w:color w:val="auto"/>
        </w:rPr>
      </w:pPr>
    </w:p>
    <w:p>
      <w:pPr>
        <w:ind w:right="120" w:firstLine="546"/>
        <w:spacing w:after="0" w:line="319" w:lineRule="auto"/>
        <w:rPr>
          <w:sz w:val="20"/>
          <w:szCs w:val="20"/>
          <w:color w:val="auto"/>
        </w:rPr>
      </w:pPr>
      <w:r>
        <w:rPr>
          <w:rFonts w:ascii="Arial" w:cs="Arial" w:eastAsia="Arial" w:hAnsi="Arial"/>
          <w:sz w:val="15"/>
          <w:szCs w:val="15"/>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52" w:lineRule="exact"/>
        <w:rPr>
          <w:sz w:val="20"/>
          <w:szCs w:val="20"/>
          <w:color w:val="auto"/>
        </w:rPr>
      </w:pPr>
    </w:p>
    <w:p>
      <w:pPr>
        <w:ind w:left="560" w:right="220"/>
        <w:spacing w:after="0" w:line="265"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4" w:lineRule="exact"/>
        <w:rPr>
          <w:sz w:val="20"/>
          <w:szCs w:val="20"/>
          <w:color w:val="auto"/>
        </w:rPr>
      </w:pPr>
    </w:p>
    <w:p>
      <w:pPr>
        <w:ind w:firstLine="546"/>
        <w:spacing w:after="0" w:line="250" w:lineRule="auto"/>
        <w:rPr>
          <w:sz w:val="20"/>
          <w:szCs w:val="20"/>
          <w:color w:val="auto"/>
        </w:rPr>
      </w:pPr>
      <w:r>
        <w:rPr>
          <w:rFonts w:ascii="Arial" w:cs="Arial" w:eastAsia="Arial" w:hAnsi="Arial"/>
          <w:sz w:val="18"/>
          <w:szCs w:val="18"/>
          <w:color w:val="auto"/>
        </w:rPr>
        <w:t>As of December 31, 2019, we had cash and cash equivalents of $187.0 million. We believe that our existing cash and cash equivalents as of December 31, 2019, together with the estimated net proceeds of $93.5 million from the follow-on offering of common stock we completed in February 2020, will enable us to fund our operating expenses and capital expenditure requirements into the second quarter of 2022.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94" w:lineRule="exact"/>
        <w:rPr>
          <w:sz w:val="20"/>
          <w:szCs w:val="20"/>
          <w:color w:val="auto"/>
        </w:rPr>
      </w:pPr>
    </w:p>
    <w:p>
      <w:pPr>
        <w:ind w:right="280" w:firstLine="546"/>
        <w:spacing w:after="0" w:line="266"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77" w:lineRule="exact"/>
        <w:rPr>
          <w:sz w:val="20"/>
          <w:szCs w:val="20"/>
          <w:color w:val="auto"/>
        </w:rPr>
      </w:pPr>
    </w:p>
    <w:p>
      <w:pPr>
        <w:ind w:left="940" w:right="500" w:hanging="389"/>
        <w:spacing w:after="0" w:line="265"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49" w:name="page50"/>
    <w:bookmarkEnd w:id="49"/>
    <w:p>
      <w:pPr>
        <w:ind w:left="940" w:right="720" w:hanging="389"/>
        <w:spacing w:after="0" w:line="265"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1" w:lineRule="exact"/>
        <w:rPr>
          <w:rFonts w:ascii="Arial" w:cs="Arial" w:eastAsia="Arial" w:hAnsi="Arial"/>
          <w:sz w:val="18"/>
          <w:szCs w:val="18"/>
          <w:color w:val="auto"/>
        </w:rPr>
      </w:pPr>
    </w:p>
    <w:p>
      <w:pPr>
        <w:ind w:left="940" w:right="540" w:hanging="389"/>
        <w:spacing w:after="0" w:line="265"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18"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Raising additional capital may cause dilution to our existing stockholders, restrict our operations or cause us to relinquish valuable rights.</w:t>
      </w:r>
    </w:p>
    <w:p>
      <w:pPr>
        <w:spacing w:after="0" w:line="146" w:lineRule="exact"/>
        <w:rPr>
          <w:sz w:val="20"/>
          <w:szCs w:val="20"/>
          <w:color w:val="auto"/>
        </w:rPr>
      </w:pPr>
    </w:p>
    <w:p>
      <w:pPr>
        <w:ind w:firstLine="546"/>
        <w:spacing w:after="0" w:line="264"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46" w:lineRule="exact"/>
        <w:rPr>
          <w:sz w:val="20"/>
          <w:szCs w:val="20"/>
          <w:color w:val="auto"/>
        </w:rPr>
      </w:pPr>
    </w:p>
    <w:p>
      <w:pPr>
        <w:ind w:right="80" w:firstLine="546"/>
        <w:spacing w:after="0" w:line="265" w:lineRule="auto"/>
        <w:rPr>
          <w:sz w:val="20"/>
          <w:szCs w:val="20"/>
          <w:color w:val="auto"/>
        </w:rPr>
      </w:pPr>
      <w:r>
        <w:rPr>
          <w:rFonts w:ascii="Arial" w:cs="Arial" w:eastAsia="Arial" w:hAnsi="Arial"/>
          <w:sz w:val="17"/>
          <w:szCs w:val="17"/>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the first patient in the ongoing investigator-sponsored clinical trial of AVR-RD-04 was dosed in October 2019, and patient enrollment has commenced for our ongoing Phase 1/2 clinical trial of AVR-RD-02,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18" w:lineRule="exact"/>
        <w:rPr>
          <w:sz w:val="20"/>
          <w:szCs w:val="20"/>
          <w:color w:val="auto"/>
        </w:rPr>
      </w:pPr>
    </w:p>
    <w:p>
      <w:pPr>
        <w:ind w:left="560" w:right="440"/>
        <w:spacing w:after="0" w:line="265"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4" w:lineRule="exact"/>
        <w:rPr>
          <w:sz w:val="20"/>
          <w:szCs w:val="20"/>
          <w:color w:val="auto"/>
        </w:rPr>
      </w:pPr>
    </w:p>
    <w:p>
      <w:pPr>
        <w:ind w:right="100" w:firstLine="546"/>
        <w:spacing w:after="0" w:line="301" w:lineRule="auto"/>
        <w:rPr>
          <w:sz w:val="20"/>
          <w:szCs w:val="20"/>
          <w:color w:val="auto"/>
        </w:rPr>
      </w:pPr>
      <w:r>
        <w:rPr>
          <w:rFonts w:ascii="Arial" w:cs="Arial" w:eastAsia="Arial" w:hAnsi="Arial"/>
          <w:sz w:val="15"/>
          <w:szCs w:val="15"/>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the implementation of our plato platform and upgrades, including our transition to TDM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March 6, 2020 we have only dosed one patient using our plato platform, which we plan to utilize for the majority of patients in our ongoing Phase 2 clinical trial for AVR-RD-01 and all patients in the Phase 1/2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in the Phase 1 and Phase 2 clinical trials of AVR-RD-01.</w:t>
      </w:r>
    </w:p>
    <w:p>
      <w:pPr>
        <w:spacing w:after="0" w:line="375"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55" w:lineRule="exact"/>
        <w:rPr>
          <w:sz w:val="20"/>
          <w:szCs w:val="20"/>
          <w:color w:val="auto"/>
        </w:rPr>
      </w:pPr>
    </w:p>
    <w:p>
      <w:pPr>
        <w:ind w:right="40" w:firstLine="546"/>
        <w:spacing w:after="0" w:line="302" w:lineRule="auto"/>
        <w:rPr>
          <w:sz w:val="20"/>
          <w:szCs w:val="20"/>
          <w:color w:val="auto"/>
        </w:rPr>
      </w:pPr>
      <w:r>
        <w:rPr>
          <w:rFonts w:ascii="Arial" w:cs="Arial" w:eastAsia="Arial" w:hAnsi="Arial"/>
          <w:sz w:val="15"/>
          <w:szCs w:val="15"/>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375" w:lineRule="exact"/>
        <w:rPr>
          <w:sz w:val="20"/>
          <w:szCs w:val="20"/>
          <w:color w:val="auto"/>
        </w:rPr>
      </w:pPr>
    </w:p>
    <w:p>
      <w:pPr>
        <w:ind w:right="200" w:firstLine="546"/>
        <w:spacing w:after="0" w:line="319" w:lineRule="auto"/>
        <w:rPr>
          <w:sz w:val="20"/>
          <w:szCs w:val="20"/>
          <w:color w:val="auto"/>
        </w:rPr>
      </w:pPr>
      <w:r>
        <w:rPr>
          <w:rFonts w:ascii="Arial" w:cs="Arial" w:eastAsia="Arial" w:hAnsi="Arial"/>
          <w:sz w:val="15"/>
          <w:szCs w:val="15"/>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45" w:lineRule="exact"/>
        <w:rPr>
          <w:sz w:val="20"/>
          <w:szCs w:val="20"/>
          <w:color w:val="auto"/>
        </w:rPr>
      </w:pPr>
    </w:p>
    <w:p>
      <w:pPr>
        <w:ind w:right="40" w:firstLine="546"/>
        <w:spacing w:after="0" w:line="265"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1" w:name="page52"/>
    <w:bookmarkEnd w:id="51"/>
    <w:p>
      <w:pPr>
        <w:ind w:right="80" w:firstLine="546"/>
        <w:spacing w:after="0" w:line="272"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guidance documents relating to, among other topics,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283" w:lineRule="exact"/>
        <w:rPr>
          <w:sz w:val="20"/>
          <w:szCs w:val="20"/>
          <w:color w:val="auto"/>
        </w:rPr>
      </w:pPr>
    </w:p>
    <w:p>
      <w:pPr>
        <w:ind w:left="560" w:right="80"/>
        <w:spacing w:after="0" w:line="256"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1" w:lineRule="exact"/>
        <w:rPr>
          <w:sz w:val="20"/>
          <w:szCs w:val="20"/>
          <w:color w:val="auto"/>
        </w:rPr>
      </w:pPr>
    </w:p>
    <w:p>
      <w:pPr>
        <w:ind w:right="60" w:firstLine="546"/>
        <w:spacing w:after="0" w:line="264"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AVR-RD-04, AVR-RD-02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any of our product candidates have side effects or causes serious or life-threatening side effects, the development of the product candidate may fail or be delayed, or, if the product candidate has received regulatory approval, such approval may be revoked or limited.</w:t>
      </w:r>
    </w:p>
    <w:p>
      <w:pPr>
        <w:spacing w:after="0" w:line="187"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59" w:lineRule="exact"/>
        <w:rPr>
          <w:sz w:val="20"/>
          <w:szCs w:val="20"/>
          <w:color w:val="auto"/>
        </w:rPr>
      </w:pPr>
    </w:p>
    <w:p>
      <w:pPr>
        <w:ind w:right="40" w:firstLine="546"/>
        <w:spacing w:after="0" w:line="251"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93" w:lineRule="exact"/>
        <w:rPr>
          <w:sz w:val="20"/>
          <w:szCs w:val="20"/>
          <w:color w:val="auto"/>
        </w:rPr>
      </w:pPr>
    </w:p>
    <w:p>
      <w:pPr>
        <w:ind w:firstLine="546"/>
        <w:spacing w:after="0" w:line="263"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therapeutic drug monitoring, or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our ongoing company-sponsored Phase 2 clinical trial of AVR-RD-01, as well as the investigator-sponsored Phase 1/2 clinical trial of AVR-RD-04,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In addition, although in the future we may implement new procedures to screen for certain pre-cancerous genetic mutations prior to commencement of the conditioning regimen as an additional risk reduction measure, there can be no guarantees that these procedures, if implemented, would be successful. Even if we are able to demonstrate that adverse events are not product-related, such occurrences could adversely affect patient recruitment or the ability of enrolled patients to complete the clinical trial.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2" w:name="page53"/>
    <w:bookmarkEnd w:id="52"/>
    <w:p>
      <w:pPr>
        <w:ind w:firstLine="546"/>
        <w:spacing w:after="0" w:line="269"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AVR-RD-04, AVR-RD-02 or our other product candidates, several potentially significant negative consequences could result, including:</w:t>
      </w:r>
    </w:p>
    <w:p>
      <w:pPr>
        <w:spacing w:after="0" w:line="73" w:lineRule="exact"/>
        <w:rPr>
          <w:sz w:val="20"/>
          <w:szCs w:val="20"/>
          <w:color w:val="auto"/>
        </w:rPr>
      </w:pPr>
    </w:p>
    <w:p>
      <w:pPr>
        <w:ind w:left="940" w:hanging="389"/>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8" w:lineRule="exact"/>
        <w:rPr>
          <w:sz w:val="20"/>
          <w:szCs w:val="20"/>
          <w:color w:val="auto"/>
        </w:rPr>
      </w:pPr>
    </w:p>
    <w:p>
      <w:pPr>
        <w:ind w:right="320" w:firstLine="546"/>
        <w:spacing w:after="0" w:line="26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87" w:lineRule="exact"/>
        <w:rPr>
          <w:sz w:val="20"/>
          <w:szCs w:val="20"/>
          <w:color w:val="auto"/>
        </w:rPr>
      </w:pPr>
    </w:p>
    <w:p>
      <w:pPr>
        <w:ind w:left="560" w:right="240"/>
        <w:spacing w:after="0" w:line="265" w:lineRule="auto"/>
        <w:rPr>
          <w:sz w:val="20"/>
          <w:szCs w:val="20"/>
          <w:color w:val="auto"/>
        </w:rPr>
      </w:pPr>
      <w:r>
        <w:rPr>
          <w:rFonts w:ascii="Arial" w:cs="Arial" w:eastAsia="Arial" w:hAnsi="Arial"/>
          <w:sz w:val="18"/>
          <w:szCs w:val="18"/>
          <w:b w:val="1"/>
          <w:bCs w:val="1"/>
          <w:i w:val="1"/>
          <w:iCs w:val="1"/>
          <w:color w:val="auto"/>
        </w:rPr>
        <w:t>We have never completed a pivotal clinical trial, and may be unable to do so for any product candidates we may develop, including AVR-RD-01, AVR-RD-04 and AVR-RD-02.</w:t>
      </w:r>
    </w:p>
    <w:p>
      <w:pPr>
        <w:spacing w:after="0" w:line="74" w:lineRule="exact"/>
        <w:rPr>
          <w:sz w:val="20"/>
          <w:szCs w:val="20"/>
          <w:color w:val="auto"/>
        </w:rPr>
      </w:pPr>
    </w:p>
    <w:p>
      <w:pPr>
        <w:jc w:val="both"/>
        <w:ind w:right="60" w:firstLine="546"/>
        <w:spacing w:after="0" w:line="300" w:lineRule="auto"/>
        <w:rPr>
          <w:sz w:val="20"/>
          <w:szCs w:val="20"/>
          <w:color w:val="auto"/>
        </w:rPr>
      </w:pPr>
      <w:r>
        <w:rPr>
          <w:rFonts w:ascii="Arial" w:cs="Arial" w:eastAsia="Arial" w:hAnsi="Arial"/>
          <w:sz w:val="15"/>
          <w:szCs w:val="15"/>
          <w:color w:val="auto"/>
        </w:rPr>
        <w:t>We are at an early stage of development for all of our product candidates including AVR-RD-01, AVR-RD-04 and AVR-RD-02. As of March 6, 2020, our product candidate AVR-RD-01 has been administered to only five patients in an ongoing investigator-sponsored Phase 1 clinical trial and to four patients in our ongoing Phase 2 clinical trial, and AVR-RD-04 has been administered to only one patient in the ongoing investigator-sponsored Phase 1/2</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clinical. Although patient enrollment has commenced for our Phase 1/2 clinical trial of AVR-RD-02, we do not expect to dose the first patient until the second quarter of 2020. These ongoing clinical trials must be completed, as well as potentially additional pivotal clinical trials in order to obtain FDA approval to market these product candidates. We have limited experience in preparing, submitting and prosecuting regulatory filings, and have not previously submitted a biologics license application, or BLA, for any product candidate.</w:t>
      </w:r>
    </w:p>
    <w:p>
      <w:pPr>
        <w:spacing w:after="0" w:line="196" w:lineRule="exact"/>
        <w:rPr>
          <w:sz w:val="20"/>
          <w:szCs w:val="20"/>
          <w:color w:val="auto"/>
        </w:rPr>
      </w:pPr>
    </w:p>
    <w:p>
      <w:pPr>
        <w:ind w:right="20" w:firstLine="546"/>
        <w:spacing w:after="0" w:line="266" w:lineRule="auto"/>
        <w:rPr>
          <w:sz w:val="20"/>
          <w:szCs w:val="20"/>
          <w:color w:val="auto"/>
        </w:rPr>
      </w:pPr>
      <w:r>
        <w:rPr>
          <w:rFonts w:ascii="Arial" w:cs="Arial" w:eastAsia="Arial" w:hAnsi="Arial"/>
          <w:sz w:val="17"/>
          <w:szCs w:val="17"/>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is the change, from baseline to one year post-treatment with AVR-RD-01, in the average number of Gb3 inclusions per PTC, as measured in a patient kidney biopsy. The second patient in the Phase 2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183" w:lineRule="exact"/>
        <w:rPr>
          <w:sz w:val="20"/>
          <w:szCs w:val="20"/>
          <w:color w:val="auto"/>
        </w:rPr>
      </w:pPr>
    </w:p>
    <w:p>
      <w:pPr>
        <w:ind w:firstLine="546"/>
        <w:spacing w:after="0" w:line="302" w:lineRule="auto"/>
        <w:rPr>
          <w:sz w:val="20"/>
          <w:szCs w:val="20"/>
          <w:color w:val="auto"/>
        </w:rPr>
      </w:pPr>
      <w:r>
        <w:rPr>
          <w:rFonts w:ascii="Arial" w:cs="Arial" w:eastAsia="Arial" w:hAnsi="Arial"/>
          <w:sz w:val="15"/>
          <w:szCs w:val="15"/>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AVR-RD-04, AVR-RD-02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 AVR-RD-04, AVR-RD-02 or any of our other product candidates.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3" w:name="page54"/>
    <w:bookmarkEnd w:id="53"/>
    <w:p>
      <w:pPr>
        <w:ind w:right="60" w:firstLine="546"/>
        <w:spacing w:after="0" w:line="264"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ongoing Phase 1/2 clinical trial of AVR-RD-04 is also an investigator-sponsored clinical trial, which is being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2" w:lineRule="exact"/>
        <w:rPr>
          <w:sz w:val="20"/>
          <w:szCs w:val="20"/>
          <w:color w:val="auto"/>
        </w:rPr>
      </w:pPr>
    </w:p>
    <w:p>
      <w:pPr>
        <w:ind w:firstLine="546"/>
        <w:spacing w:after="0" w:line="298" w:lineRule="auto"/>
        <w:rPr>
          <w:sz w:val="20"/>
          <w:szCs w:val="20"/>
          <w:color w:val="auto"/>
        </w:rPr>
      </w:pPr>
      <w:r>
        <w:rPr>
          <w:rFonts w:ascii="Arial" w:cs="Arial" w:eastAsia="Arial" w:hAnsi="Arial"/>
          <w:sz w:val="15"/>
          <w:szCs w:val="15"/>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AGA in patients treated with AVR-RD-01 will be maintained over time. In addition, while the first, third and fifth patients from the ongoing investigator-sponsored Phase 1 clinical trial of AVR-RD-01 discontinued ERT, there can be no assurance that these patients, or others who in the future may discontinue ERT, will remain off ERT. The initial results from the investigator-sponsored clinical trial of AVR-RD-04 only represent three months of clinical data from one patient, and there is no assurance that future clinical data from this patient or other patients will produce similar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AVR-RD-04 and AVR-RD-02. While we are aware that the FDA utilized an efficacy endpoint based on patients’ kidney biopsy in the recent approval of Migalastat for Fabry disease, for which we are also measuring as our primary efficacy endpoint in our ongoing Phase 2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Although patient enrollment has commenced for our Phase 1/2 clinical trial of AVR-RD-02, we have not dosed any patients, and our AVR-RD-03 product candidate is in preclinical development and has not yet been tested in humans. Any of our other current or future product candidates may fail to show the desired safety and efficacy in clinical development despite positive results in preclinical studies. Any such failure would cause us to abandon the product candidate.</w:t>
      </w:r>
    </w:p>
    <w:p>
      <w:pPr>
        <w:spacing w:after="0" w:line="200" w:lineRule="exact"/>
        <w:rPr>
          <w:sz w:val="20"/>
          <w:szCs w:val="20"/>
          <w:color w:val="auto"/>
        </w:rPr>
      </w:pPr>
    </w:p>
    <w:p>
      <w:pPr>
        <w:spacing w:after="0" w:line="399" w:lineRule="exact"/>
        <w:rPr>
          <w:sz w:val="20"/>
          <w:szCs w:val="20"/>
          <w:color w:val="auto"/>
        </w:rPr>
      </w:pPr>
    </w:p>
    <w:p>
      <w:pPr>
        <w:ind w:right="80" w:firstLine="546"/>
        <w:spacing w:after="0" w:line="304" w:lineRule="auto"/>
        <w:rPr>
          <w:sz w:val="20"/>
          <w:szCs w:val="20"/>
          <w:color w:val="auto"/>
        </w:rPr>
      </w:pPr>
      <w:r>
        <w:rPr>
          <w:rFonts w:ascii="Arial" w:cs="Arial" w:eastAsia="Arial" w:hAnsi="Arial"/>
          <w:sz w:val="15"/>
          <w:szCs w:val="15"/>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4" w:name="page55"/>
    <w:bookmarkEnd w:id="54"/>
    <w:p>
      <w:pPr>
        <w:ind w:left="560" w:right="120"/>
        <w:spacing w:after="0" w:line="265"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74"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86" w:lineRule="exact"/>
        <w:rPr>
          <w:sz w:val="20"/>
          <w:szCs w:val="20"/>
          <w:color w:val="auto"/>
        </w:rPr>
      </w:pPr>
    </w:p>
    <w:p>
      <w:pPr>
        <w:ind w:right="20" w:firstLine="546"/>
        <w:spacing w:after="0" w:line="313" w:lineRule="auto"/>
        <w:rPr>
          <w:sz w:val="20"/>
          <w:szCs w:val="20"/>
          <w:color w:val="auto"/>
        </w:rPr>
      </w:pPr>
      <w:r>
        <w:rPr>
          <w:rFonts w:ascii="Arial" w:cs="Arial" w:eastAsia="Arial" w:hAnsi="Arial"/>
          <w:sz w:val="15"/>
          <w:szCs w:val="15"/>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patients had been identified for the Phase 1/2 clinical trial, we encountered patient pre-screening failures that impacted the commencement of enrollment.</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2" w:lineRule="exact"/>
        <w:rPr>
          <w:sz w:val="20"/>
          <w:szCs w:val="20"/>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1" w:lineRule="exact"/>
        <w:rPr>
          <w:rFonts w:ascii="Arial" w:cs="Arial" w:eastAsia="Arial" w:hAnsi="Arial"/>
          <w:sz w:val="18"/>
          <w:szCs w:val="18"/>
          <w:color w:val="auto"/>
        </w:rPr>
      </w:pPr>
    </w:p>
    <w:p>
      <w:pPr>
        <w:ind w:left="940" w:right="580" w:hanging="389"/>
        <w:spacing w:after="0" w:line="265"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18" w:lineRule="exact"/>
        <w:rPr>
          <w:sz w:val="20"/>
          <w:szCs w:val="20"/>
          <w:color w:val="auto"/>
        </w:rPr>
      </w:pPr>
    </w:p>
    <w:p>
      <w:pPr>
        <w:ind w:right="40" w:firstLine="546"/>
        <w:spacing w:after="0" w:line="309" w:lineRule="auto"/>
        <w:rPr>
          <w:sz w:val="20"/>
          <w:szCs w:val="20"/>
          <w:color w:val="auto"/>
        </w:rPr>
      </w:pPr>
      <w:r>
        <w:rPr>
          <w:rFonts w:ascii="Arial" w:cs="Arial" w:eastAsia="Arial" w:hAnsi="Arial"/>
          <w:sz w:val="15"/>
          <w:szCs w:val="15"/>
          <w:color w:val="auto"/>
        </w:rPr>
        <w:t>We anticipate expanding our patient enrollment activities to include patients who reside in a country other than the country where the applicable clinical site is located, and who would be required to travel for some or all of the clinical testing and procedures required for patients in the applicable clinical trial. We may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55" w:name="page56"/>
    <w:bookmarkEnd w:id="55"/>
    <w:p>
      <w:pPr>
        <w:jc w:val="both"/>
        <w:ind w:right="140" w:firstLine="546"/>
        <w:spacing w:after="0" w:line="319" w:lineRule="auto"/>
        <w:rPr>
          <w:sz w:val="20"/>
          <w:szCs w:val="20"/>
          <w:color w:val="auto"/>
        </w:rPr>
      </w:pPr>
      <w:r>
        <w:rPr>
          <w:rFonts w:ascii="Arial" w:cs="Arial" w:eastAsia="Arial" w:hAnsi="Arial"/>
          <w:sz w:val="15"/>
          <w:szCs w:val="15"/>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39" w:lineRule="exact"/>
        <w:rPr>
          <w:sz w:val="20"/>
          <w:szCs w:val="20"/>
          <w:color w:val="auto"/>
        </w:rPr>
      </w:pPr>
    </w:p>
    <w:p>
      <w:pPr>
        <w:ind w:left="940" w:hanging="389"/>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1" w:lineRule="exact"/>
        <w:rPr>
          <w:rFonts w:ascii="Arial" w:cs="Arial" w:eastAsia="Arial" w:hAnsi="Arial"/>
          <w:sz w:val="18"/>
          <w:szCs w:val="18"/>
          <w:color w:val="auto"/>
        </w:rPr>
      </w:pPr>
    </w:p>
    <w:p>
      <w:pPr>
        <w:ind w:left="940" w:right="340" w:hanging="389"/>
        <w:spacing w:after="0" w:line="265" w:lineRule="auto"/>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80" w:lineRule="exact"/>
        <w:rPr>
          <w:sz w:val="20"/>
          <w:szCs w:val="20"/>
          <w:color w:val="auto"/>
        </w:rPr>
      </w:pPr>
    </w:p>
    <w:p>
      <w:pPr>
        <w:jc w:val="both"/>
        <w:ind w:right="540" w:firstLine="546"/>
        <w:spacing w:after="0" w:line="366" w:lineRule="auto"/>
        <w:rPr>
          <w:sz w:val="20"/>
          <w:szCs w:val="20"/>
          <w:color w:val="auto"/>
        </w:rPr>
      </w:pPr>
      <w:r>
        <w:rPr>
          <w:rFonts w:ascii="Arial" w:cs="Arial" w:eastAsia="Arial" w:hAnsi="Arial"/>
          <w:sz w:val="15"/>
          <w:szCs w:val="15"/>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18" w:lineRule="exact"/>
        <w:rPr>
          <w:sz w:val="20"/>
          <w:szCs w:val="20"/>
          <w:color w:val="auto"/>
        </w:rPr>
      </w:pPr>
    </w:p>
    <w:p>
      <w:pPr>
        <w:ind w:left="560"/>
        <w:spacing w:after="0" w:line="265" w:lineRule="auto"/>
        <w:rPr>
          <w:sz w:val="20"/>
          <w:szCs w:val="20"/>
          <w:color w:val="auto"/>
        </w:rPr>
      </w:pPr>
      <w:r>
        <w:rPr>
          <w:rFonts w:ascii="Arial" w:cs="Arial" w:eastAsia="Arial" w:hAnsi="Arial"/>
          <w:sz w:val="18"/>
          <w:szCs w:val="18"/>
          <w:b w:val="1"/>
          <w:bCs w:val="1"/>
          <w:i w:val="1"/>
          <w:iCs w:val="1"/>
          <w:color w:val="auto"/>
        </w:rPr>
        <w:t>Business interruptions resulting from the coronavirus disease (COVID-19) outbreak or similar public health crises could cause a disruption of the development of our product candidates and adversely impact our business.</w:t>
      </w:r>
    </w:p>
    <w:p>
      <w:pPr>
        <w:spacing w:after="0" w:line="74"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Public health crises such as pandemics or similar outbreaks could adversely impact our business. In December 2019, a novel strain of a virus named SARS-CoV-2 (severe acute respiratory syndrome coronavirus 2), or coronavirus, which causes coronavirus disease, or COVID-19, was reported to have surfaced in Wuhan, China and has reached multiple other regions and countries, including Cambridge, Massachusetts where our primary office and laboratory space is located. The coronavirus pandemic is evolving, and to date has led to the implementation of various responses, including government-imposed quarantines, travel restrictions and other public health safety measures. The extent to which the coronavirus impacts our operations or those of our third party partners will depend on future developments, which are highly uncertain and cannot be predicted with confidence, including the duration of the outbreak, new information that may emerge concerning the severity of the coronavirus and the actions to contain the coronavirus or treat its impact, among others.</w:t>
      </w:r>
    </w:p>
    <w:p>
      <w:pPr>
        <w:spacing w:after="0" w:line="155"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Additionally, timely enrollment in our clinical trials is dependent upon global clinical trial sites which may be adversely affected by global health matters, such as pandemics. We are currently conducting clinical trials for our product candidates in the United States, Canada and Australia, and plan to expand to other geographies including Japan, Europe and Israel, and many of these regions are currently being affected by the coronavirus. Some factors from the coronavirus outbreak that may delay or otherwise adversely affect enrollment in the clinical trials of our product candidates, as well as our business generally, include:</w:t>
      </w:r>
    </w:p>
    <w:p>
      <w:pPr>
        <w:spacing w:after="0" w:line="86" w:lineRule="exact"/>
        <w:rPr>
          <w:sz w:val="20"/>
          <w:szCs w:val="20"/>
          <w:color w:val="auto"/>
        </w:rPr>
      </w:pPr>
    </w:p>
    <w:p>
      <w:pPr>
        <w:ind w:left="940" w:right="60" w:hanging="389"/>
        <w:spacing w:after="0" w:line="256"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81" w:lineRule="exact"/>
        <w:rPr>
          <w:rFonts w:ascii="Arial" w:cs="Arial" w:eastAsia="Arial" w:hAnsi="Arial"/>
          <w:sz w:val="18"/>
          <w:szCs w:val="18"/>
          <w:color w:val="auto"/>
        </w:rPr>
      </w:pPr>
    </w:p>
    <w:p>
      <w:pPr>
        <w:ind w:left="940" w:right="20" w:hanging="389"/>
        <w:spacing w:after="0" w:line="272"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70" w:lineRule="exact"/>
        <w:rPr>
          <w:rFonts w:ascii="Arial" w:cs="Arial" w:eastAsia="Arial" w:hAnsi="Arial"/>
          <w:sz w:val="17"/>
          <w:szCs w:val="17"/>
          <w:color w:val="auto"/>
        </w:rPr>
      </w:pPr>
    </w:p>
    <w:p>
      <w:pPr>
        <w:ind w:left="940" w:right="580" w:hanging="389"/>
        <w:spacing w:after="0" w:line="265"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74" w:lineRule="exact"/>
        <w:rPr>
          <w:rFonts w:ascii="Arial" w:cs="Arial" w:eastAsia="Arial" w:hAnsi="Arial"/>
          <w:sz w:val="18"/>
          <w:szCs w:val="18"/>
          <w:color w:val="auto"/>
        </w:rPr>
      </w:pPr>
    </w:p>
    <w:p>
      <w:pPr>
        <w:ind w:left="940" w:right="80" w:hanging="389"/>
        <w:spacing w:after="0" w:line="252"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56" w:name="page57"/>
    <w:bookmarkEnd w:id="56"/>
    <w:p>
      <w:pPr>
        <w:ind w:right="120" w:firstLine="546"/>
        <w:spacing w:after="0" w:line="256" w:lineRule="auto"/>
        <w:rPr>
          <w:sz w:val="20"/>
          <w:szCs w:val="20"/>
          <w:color w:val="auto"/>
        </w:rPr>
      </w:pPr>
      <w:r>
        <w:rPr>
          <w:rFonts w:ascii="Arial" w:cs="Arial" w:eastAsia="Arial" w:hAnsi="Arial"/>
          <w:sz w:val="18"/>
          <w:szCs w:val="18"/>
          <w:color w:val="auto"/>
        </w:rPr>
        <w:t>These and other factors arising from the coronavirus could worsen in countries that are already afflicted with the coronavirus or could continue to spread to additional countries, each of which could further adversely impact our ability to conduct clinical trials and our business generally, and could have a material adverse impact on our operations and financial condition and results.</w:t>
      </w:r>
    </w:p>
    <w:p>
      <w:pPr>
        <w:spacing w:after="0" w:line="294" w:lineRule="exact"/>
        <w:rPr>
          <w:sz w:val="20"/>
          <w:szCs w:val="20"/>
          <w:color w:val="auto"/>
        </w:rPr>
      </w:pPr>
    </w:p>
    <w:p>
      <w:pPr>
        <w:ind w:left="560" w:right="580"/>
        <w:spacing w:after="0" w:line="265"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74" w:lineRule="exact"/>
        <w:rPr>
          <w:sz w:val="20"/>
          <w:szCs w:val="20"/>
          <w:color w:val="auto"/>
        </w:rPr>
      </w:pPr>
    </w:p>
    <w:p>
      <w:pPr>
        <w:ind w:right="140" w:firstLine="546"/>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0" w:lineRule="exact"/>
        <w:rPr>
          <w:sz w:val="20"/>
          <w:szCs w:val="20"/>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8" w:lineRule="exact"/>
        <w:rPr>
          <w:sz w:val="20"/>
          <w:szCs w:val="20"/>
          <w:color w:val="auto"/>
        </w:rPr>
      </w:pPr>
    </w:p>
    <w:p>
      <w:pPr>
        <w:ind w:firstLine="546"/>
        <w:spacing w:after="0" w:line="299" w:lineRule="auto"/>
        <w:rPr>
          <w:sz w:val="20"/>
          <w:szCs w:val="20"/>
          <w:color w:val="auto"/>
        </w:rPr>
      </w:pPr>
      <w:r>
        <w:rPr>
          <w:rFonts w:ascii="Arial" w:cs="Arial" w:eastAsia="Arial" w:hAnsi="Arial"/>
          <w:sz w:val="15"/>
          <w:szCs w:val="15"/>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Phase 2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the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7" w:name="page58"/>
    <w:bookmarkEnd w:id="57"/>
    <w:p>
      <w:pPr>
        <w:ind w:left="560"/>
        <w:spacing w:after="0"/>
        <w:rPr>
          <w:sz w:val="20"/>
          <w:szCs w:val="20"/>
          <w:color w:val="auto"/>
        </w:rPr>
      </w:pPr>
      <w:r>
        <w:rPr>
          <w:rFonts w:ascii="Arial" w:cs="Arial" w:eastAsia="Arial" w:hAnsi="Arial"/>
          <w:sz w:val="15"/>
          <w:szCs w:val="15"/>
          <w:color w:val="auto"/>
        </w:rPr>
        <w:t>If the results of our clinical studies are inconclusive or if there are safety concerns or adverse events associated with our product candidates, we may:</w:t>
      </w:r>
    </w:p>
    <w:p>
      <w:pPr>
        <w:spacing w:after="0" w:line="146" w:lineRule="exact"/>
        <w:rPr>
          <w:sz w:val="20"/>
          <w:szCs w:val="20"/>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8" w:lineRule="exact"/>
        <w:rPr>
          <w:sz w:val="20"/>
          <w:szCs w:val="20"/>
          <w:color w:val="auto"/>
        </w:rPr>
      </w:pPr>
    </w:p>
    <w:p>
      <w:pPr>
        <w:ind w:right="880" w:firstLine="546"/>
        <w:spacing w:after="0" w:line="26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87" w:lineRule="exact"/>
        <w:rPr>
          <w:sz w:val="20"/>
          <w:szCs w:val="20"/>
          <w:color w:val="auto"/>
        </w:rPr>
      </w:pPr>
    </w:p>
    <w:p>
      <w:pPr>
        <w:ind w:left="560" w:right="1020"/>
        <w:spacing w:after="0" w:line="366" w:lineRule="auto"/>
        <w:rPr>
          <w:sz w:val="20"/>
          <w:szCs w:val="20"/>
          <w:color w:val="auto"/>
        </w:rPr>
      </w:pPr>
      <w:r>
        <w:rPr>
          <w:rFonts w:ascii="Arial" w:cs="Arial" w:eastAsia="Arial" w:hAnsi="Arial"/>
          <w:sz w:val="15"/>
          <w:szCs w:val="15"/>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5" w:lineRule="exact"/>
        <w:rPr>
          <w:sz w:val="20"/>
          <w:szCs w:val="20"/>
          <w:color w:val="auto"/>
        </w:rPr>
      </w:pPr>
    </w:p>
    <w:p>
      <w:pPr>
        <w:ind w:right="40" w:firstLine="546"/>
        <w:spacing w:after="0" w:line="265"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left="560"/>
        <w:spacing w:after="0" w:line="307" w:lineRule="auto"/>
        <w:rPr>
          <w:sz w:val="20"/>
          <w:szCs w:val="20"/>
          <w:color w:val="auto"/>
        </w:rPr>
      </w:pPr>
      <w:r>
        <w:rPr>
          <w:rFonts w:ascii="Arial" w:cs="Arial" w:eastAsia="Arial" w:hAnsi="Arial"/>
          <w:sz w:val="15"/>
          <w:szCs w:val="15"/>
          <w:b w:val="1"/>
          <w:bCs w:val="1"/>
          <w:i w:val="1"/>
          <w:iCs w:val="1"/>
          <w:color w:val="auto"/>
        </w:rPr>
        <w:t>Certain of our clinical trials, including the ongoing investigator-sponsored clinical trial of AVR-RD-01, a portion of our company-sponsored clinical trial of AVR-RD-01, and the investigator-sponsored clinical trial of AVR-RD-04, do not utilize our commercial-scale plato platform. 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49" w:lineRule="exact"/>
        <w:rPr>
          <w:sz w:val="20"/>
          <w:szCs w:val="20"/>
          <w:color w:val="auto"/>
        </w:rPr>
      </w:pPr>
    </w:p>
    <w:p>
      <w:pPr>
        <w:ind w:right="60" w:firstLine="546"/>
        <w:spacing w:after="0" w:line="264" w:lineRule="auto"/>
        <w:rPr>
          <w:sz w:val="20"/>
          <w:szCs w:val="20"/>
          <w:color w:val="auto"/>
        </w:rPr>
      </w:pPr>
      <w:r>
        <w:rPr>
          <w:rFonts w:ascii="Arial" w:cs="Arial" w:eastAsia="Arial" w:hAnsi="Arial"/>
          <w:sz w:val="17"/>
          <w:szCs w:val="17"/>
          <w:color w:val="auto"/>
        </w:rPr>
        <w:t>We intend to continue implementing our commercial-scale plato platform, including heightened vector efficiency, our closed, automated manufacturing system and utilization of a TDM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where the investigator-sponsored clinical trial will not utilize the plato platform. For example, we have transitioned our AVR-RD-01 lentiviral vectors to an LV2 version, and the fourth patient in our Phase 2 trial of AVR-RD-01 was dosed in 2019 using the plato platform. While LV2 is intended to confer improvements in transduction efficiency in viral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58" w:name="page59"/>
    <w:bookmarkEnd w:id="58"/>
    <w:p>
      <w:pPr>
        <w:ind w:right="20"/>
        <w:spacing w:after="0" w:line="264" w:lineRule="auto"/>
        <w:rPr>
          <w:sz w:val="20"/>
          <w:szCs w:val="20"/>
          <w:color w:val="auto"/>
        </w:rPr>
      </w:pPr>
      <w:r>
        <w:rPr>
          <w:rFonts w:ascii="Arial" w:cs="Arial" w:eastAsia="Arial" w:hAnsi="Arial"/>
          <w:sz w:val="17"/>
          <w:szCs w:val="17"/>
          <w:color w:val="auto"/>
        </w:rPr>
        <w:t>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which are elements of our plato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88" w:lineRule="exact"/>
        <w:rPr>
          <w:sz w:val="20"/>
          <w:szCs w:val="20"/>
          <w:color w:val="auto"/>
        </w:rPr>
      </w:pPr>
    </w:p>
    <w:p>
      <w:pPr>
        <w:ind w:left="560" w:right="100"/>
        <w:spacing w:after="0" w:line="272"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0"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3" w:lineRule="exact"/>
        <w:rPr>
          <w:sz w:val="20"/>
          <w:szCs w:val="20"/>
          <w:color w:val="auto"/>
        </w:rPr>
      </w:pPr>
    </w:p>
    <w:p>
      <w:pPr>
        <w:ind w:right="80" w:firstLine="546"/>
        <w:spacing w:after="0" w:line="302" w:lineRule="auto"/>
        <w:rPr>
          <w:sz w:val="20"/>
          <w:szCs w:val="20"/>
          <w:color w:val="auto"/>
        </w:rPr>
      </w:pPr>
      <w:r>
        <w:rPr>
          <w:rFonts w:ascii="Arial" w:cs="Arial" w:eastAsia="Arial" w:hAnsi="Arial"/>
          <w:sz w:val="15"/>
          <w:szCs w:val="15"/>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62" w:lineRule="exact"/>
        <w:rPr>
          <w:sz w:val="20"/>
          <w:szCs w:val="20"/>
          <w:color w:val="auto"/>
        </w:rPr>
      </w:pPr>
    </w:p>
    <w:p>
      <w:pPr>
        <w:ind w:right="140" w:firstLine="546"/>
        <w:spacing w:after="0" w:line="266"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59" w:name="page60"/>
    <w:bookmarkEnd w:id="59"/>
    <w:p>
      <w:pPr>
        <w:ind w:right="20" w:firstLine="546"/>
        <w:spacing w:after="0" w:line="301" w:lineRule="auto"/>
        <w:rPr>
          <w:sz w:val="20"/>
          <w:szCs w:val="20"/>
          <w:color w:val="auto"/>
        </w:rPr>
      </w:pPr>
      <w:r>
        <w:rPr>
          <w:rFonts w:ascii="Arial" w:cs="Arial" w:eastAsia="Arial" w:hAnsi="Arial"/>
          <w:sz w:val="15"/>
          <w:szCs w:val="15"/>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371" w:lineRule="exact"/>
        <w:rPr>
          <w:sz w:val="20"/>
          <w:szCs w:val="20"/>
          <w:color w:val="auto"/>
        </w:rPr>
      </w:pPr>
    </w:p>
    <w:p>
      <w:pPr>
        <w:ind w:right="20" w:firstLine="546"/>
        <w:spacing w:after="0" w:line="250"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left="560" w:right="260"/>
        <w:spacing w:after="0" w:line="366" w:lineRule="auto"/>
        <w:rPr>
          <w:sz w:val="20"/>
          <w:szCs w:val="20"/>
          <w:color w:val="auto"/>
        </w:rPr>
      </w:pPr>
      <w:r>
        <w:rPr>
          <w:rFonts w:ascii="Arial" w:cs="Arial" w:eastAsia="Arial" w:hAnsi="Arial"/>
          <w:sz w:val="15"/>
          <w:szCs w:val="15"/>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5"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59" w:lineRule="exact"/>
        <w:rPr>
          <w:sz w:val="20"/>
          <w:szCs w:val="20"/>
          <w:color w:val="auto"/>
        </w:rPr>
      </w:pPr>
    </w:p>
    <w:p>
      <w:pPr>
        <w:ind w:right="60" w:firstLine="546"/>
        <w:spacing w:after="0" w:line="307" w:lineRule="auto"/>
        <w:rPr>
          <w:sz w:val="20"/>
          <w:szCs w:val="20"/>
          <w:color w:val="auto"/>
        </w:rPr>
      </w:pPr>
      <w:r>
        <w:rPr>
          <w:rFonts w:ascii="Arial" w:cs="Arial" w:eastAsia="Arial" w:hAnsi="Arial"/>
          <w:sz w:val="15"/>
          <w:szCs w:val="15"/>
          <w:color w:val="auto"/>
        </w:rPr>
        <w:t>In December 2018, October 2019 and March 2020, the FDA granted our requests for orphan drug designation for AVR-RD-01 for the treatment of Fabry disease, AVR-RD-02 for the treatment of Gaucher disease and AVR-RD-04 for the treatment of cystinosis, respectively. To date, we have not requested orphan drug designation (or the foreign equivalent) for any other product candidates, and even if we do in the future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0" w:name="page61"/>
    <w:bookmarkEnd w:id="60"/>
    <w:p>
      <w:pPr>
        <w:ind w:right="280" w:firstLine="546"/>
        <w:spacing w:after="0" w:line="265"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2" w:lineRule="exact"/>
        <w:rPr>
          <w:sz w:val="20"/>
          <w:szCs w:val="20"/>
          <w:color w:val="auto"/>
        </w:rPr>
      </w:pPr>
    </w:p>
    <w:p>
      <w:pPr>
        <w:ind w:right="60" w:firstLine="546"/>
        <w:spacing w:after="0" w:line="251"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6" w:lineRule="exact"/>
        <w:rPr>
          <w:sz w:val="20"/>
          <w:szCs w:val="20"/>
          <w:color w:val="auto"/>
        </w:rPr>
      </w:pPr>
    </w:p>
    <w:p>
      <w:pPr>
        <w:ind w:left="940" w:right="700" w:hanging="389"/>
        <w:spacing w:after="0" w:line="265"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4" w:lineRule="exact"/>
        <w:rPr>
          <w:rFonts w:ascii="Arial" w:cs="Arial" w:eastAsia="Arial" w:hAnsi="Arial"/>
          <w:sz w:val="18"/>
          <w:szCs w:val="18"/>
          <w:color w:val="auto"/>
        </w:rPr>
      </w:pPr>
    </w:p>
    <w:p>
      <w:pPr>
        <w:ind w:left="940" w:right="180" w:hanging="389"/>
        <w:spacing w:after="0" w:line="265"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4" w:lineRule="exact"/>
        <w:rPr>
          <w:rFonts w:ascii="Arial" w:cs="Arial" w:eastAsia="Arial" w:hAnsi="Arial"/>
          <w:sz w:val="18"/>
          <w:szCs w:val="18"/>
          <w:color w:val="auto"/>
        </w:rPr>
      </w:pPr>
    </w:p>
    <w:p>
      <w:pPr>
        <w:ind w:left="940" w:right="480" w:hanging="389"/>
        <w:spacing w:after="0" w:line="265"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2"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59"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23" w:lineRule="exact"/>
        <w:rPr>
          <w:sz w:val="20"/>
          <w:szCs w:val="20"/>
          <w:color w:val="auto"/>
        </w:rPr>
      </w:pPr>
    </w:p>
    <w:p>
      <w:pPr>
        <w:ind w:left="940" w:hanging="3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1" w:lineRule="exact"/>
        <w:rPr>
          <w:rFonts w:ascii="Arial" w:cs="Arial" w:eastAsia="Arial" w:hAnsi="Arial"/>
          <w:sz w:val="18"/>
          <w:szCs w:val="18"/>
          <w:color w:val="auto"/>
        </w:rPr>
      </w:pPr>
    </w:p>
    <w:p>
      <w:pPr>
        <w:ind w:left="940" w:right="360" w:hanging="389"/>
        <w:spacing w:after="0" w:line="265"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1" w:name="page62"/>
    <w:bookmarkEnd w:id="61"/>
    <w:p>
      <w:pPr>
        <w:ind w:left="940" w:hanging="3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8" w:lineRule="exact"/>
        <w:rPr>
          <w:sz w:val="20"/>
          <w:szCs w:val="20"/>
          <w:color w:val="auto"/>
        </w:rPr>
      </w:pPr>
    </w:p>
    <w:p>
      <w:pPr>
        <w:ind w:right="200" w:firstLine="546"/>
        <w:spacing w:after="0" w:line="25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8"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9" w:lineRule="exact"/>
        <w:rPr>
          <w:sz w:val="20"/>
          <w:szCs w:val="20"/>
          <w:color w:val="auto"/>
        </w:rPr>
      </w:pPr>
    </w:p>
    <w:p>
      <w:pPr>
        <w:ind w:left="560"/>
        <w:spacing w:after="0" w:line="331"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30" w:lineRule="exact"/>
        <w:rPr>
          <w:sz w:val="20"/>
          <w:szCs w:val="20"/>
          <w:color w:val="auto"/>
        </w:rPr>
      </w:pPr>
    </w:p>
    <w:p>
      <w:pPr>
        <w:ind w:right="160" w:firstLine="546"/>
        <w:spacing w:after="0" w:line="313" w:lineRule="auto"/>
        <w:rPr>
          <w:sz w:val="20"/>
          <w:szCs w:val="20"/>
          <w:color w:val="auto"/>
        </w:rPr>
      </w:pPr>
      <w:r>
        <w:rPr>
          <w:rFonts w:ascii="Arial" w:cs="Arial" w:eastAsia="Arial" w:hAnsi="Arial"/>
          <w:sz w:val="15"/>
          <w:szCs w:val="15"/>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50" w:lineRule="exact"/>
        <w:rPr>
          <w:sz w:val="20"/>
          <w:szCs w:val="20"/>
          <w:color w:val="auto"/>
        </w:rPr>
      </w:pPr>
    </w:p>
    <w:p>
      <w:pPr>
        <w:ind w:firstLine="546"/>
        <w:spacing w:after="0" w:line="302" w:lineRule="auto"/>
        <w:rPr>
          <w:sz w:val="20"/>
          <w:szCs w:val="20"/>
          <w:color w:val="auto"/>
        </w:rPr>
      </w:pPr>
      <w:r>
        <w:rPr>
          <w:rFonts w:ascii="Arial" w:cs="Arial" w:eastAsia="Arial" w:hAnsi="Arial"/>
          <w:sz w:val="15"/>
          <w:szCs w:val="15"/>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Amicus has secured regulatory approval in the United States and Europe for Migalastat,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Chiesi, Recordati and Sigma Tau Pharmaceuticals, and Eloxx Pharmaceuticals has been advancing a new treatment in clinical trials, though in March 2020 it announced that its Phase 2 study of the new treatment has been discontinued. In addition, we may compete with other gene therapy companies in our industry such as bluebird bio and Spark Therapeutics (which was acquired by Roche in the fourth quarter of 2019).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JCR Pharmaceuticals, Sangamo and uniQure which have announced gene therapy programs for Fabry disease; Freeline and Prevail which have announced gene therapy programs for Gaucher disease; and Abeona, Actus, Amicus, Audentes, Sarepta and Spark Therapeutics which have announced gene therapy programs for Pompe disease.</w:t>
      </w:r>
    </w:p>
    <w:p>
      <w:pPr>
        <w:spacing w:after="0" w:line="158" w:lineRule="exact"/>
        <w:rPr>
          <w:sz w:val="20"/>
          <w:szCs w:val="20"/>
          <w:color w:val="auto"/>
        </w:rPr>
      </w:pPr>
    </w:p>
    <w:p>
      <w:pPr>
        <w:jc w:val="both"/>
        <w:ind w:right="280" w:firstLine="546"/>
        <w:spacing w:after="0" w:line="300" w:lineRule="auto"/>
        <w:rPr>
          <w:sz w:val="20"/>
          <w:szCs w:val="20"/>
          <w:color w:val="auto"/>
        </w:rPr>
      </w:pPr>
      <w:r>
        <w:rPr>
          <w:rFonts w:ascii="Arial" w:cs="Arial" w:eastAsia="Arial" w:hAnsi="Arial"/>
          <w:sz w:val="15"/>
          <w:szCs w:val="15"/>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446" w:right="379" w:bottom="1440" w:gutter="0" w:footer="0" w:header="0"/>
        </w:sectPr>
      </w:pPr>
    </w:p>
    <w:bookmarkStart w:id="62" w:name="page63"/>
    <w:bookmarkEnd w:id="62"/>
    <w:p>
      <w:pPr>
        <w:ind w:firstLine="546"/>
        <w:spacing w:after="0" w:line="272"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83" w:lineRule="exact"/>
        <w:rPr>
          <w:sz w:val="20"/>
          <w:szCs w:val="20"/>
          <w:color w:val="auto"/>
        </w:rPr>
      </w:pPr>
    </w:p>
    <w:p>
      <w:pPr>
        <w:ind w:left="560" w:right="180"/>
        <w:spacing w:after="0" w:line="265"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74" w:lineRule="exact"/>
        <w:rPr>
          <w:sz w:val="20"/>
          <w:szCs w:val="20"/>
          <w:color w:val="auto"/>
        </w:rPr>
      </w:pPr>
    </w:p>
    <w:p>
      <w:pPr>
        <w:ind w:right="180" w:firstLine="546"/>
        <w:spacing w:after="0" w:line="304" w:lineRule="auto"/>
        <w:rPr>
          <w:sz w:val="20"/>
          <w:szCs w:val="20"/>
          <w:color w:val="auto"/>
        </w:rPr>
      </w:pPr>
      <w:r>
        <w:rPr>
          <w:rFonts w:ascii="Arial" w:cs="Arial" w:eastAsia="Arial" w:hAnsi="Arial"/>
          <w:sz w:val="15"/>
          <w:szCs w:val="15"/>
          <w:color w:val="auto"/>
        </w:rPr>
        <w:t>As part of our growth strategy, we intend to identify, develop and market additional product candidates beyond our existing product candidates for Fabry disease, Gaucher disease, cystinosis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59" w:lineRule="exact"/>
        <w:rPr>
          <w:sz w:val="20"/>
          <w:szCs w:val="20"/>
          <w:color w:val="auto"/>
        </w:rPr>
      </w:pPr>
    </w:p>
    <w:p>
      <w:pPr>
        <w:ind w:right="60" w:firstLine="546"/>
        <w:spacing w:after="0" w:line="256"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8"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6" w:lineRule="exact"/>
        <w:rPr>
          <w:sz w:val="20"/>
          <w:szCs w:val="20"/>
          <w:color w:val="auto"/>
        </w:rPr>
      </w:pPr>
    </w:p>
    <w:p>
      <w:pPr>
        <w:ind w:right="20" w:firstLine="546"/>
        <w:spacing w:after="0" w:line="265"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8" w:lineRule="exact"/>
        <w:rPr>
          <w:sz w:val="20"/>
          <w:szCs w:val="20"/>
          <w:color w:val="auto"/>
        </w:rPr>
      </w:pPr>
    </w:p>
    <w:p>
      <w:pPr>
        <w:ind w:left="560" w:right="100"/>
        <w:spacing w:after="0" w:line="265" w:lineRule="auto"/>
        <w:rPr>
          <w:sz w:val="20"/>
          <w:szCs w:val="20"/>
          <w:color w:val="auto"/>
        </w:rPr>
      </w:pPr>
      <w:r>
        <w:rPr>
          <w:rFonts w:ascii="Arial" w:cs="Arial" w:eastAsia="Arial" w:hAnsi="Arial"/>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4" w:lineRule="exact"/>
        <w:rPr>
          <w:sz w:val="20"/>
          <w:szCs w:val="20"/>
          <w:color w:val="auto"/>
        </w:rPr>
      </w:pPr>
    </w:p>
    <w:p>
      <w:pPr>
        <w:ind w:right="80" w:firstLine="546"/>
        <w:spacing w:after="0" w:line="256"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8" w:lineRule="exact"/>
        <w:rPr>
          <w:sz w:val="20"/>
          <w:szCs w:val="20"/>
          <w:color w:val="auto"/>
        </w:rPr>
      </w:pPr>
    </w:p>
    <w:p>
      <w:pPr>
        <w:ind w:right="40" w:firstLine="546"/>
        <w:spacing w:after="0" w:line="251"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3" w:name="page64"/>
    <w:bookmarkEnd w:id="63"/>
    <w:p>
      <w:pPr>
        <w:jc w:val="both"/>
        <w:ind w:right="80" w:firstLine="546"/>
        <w:spacing w:after="0" w:line="300" w:lineRule="auto"/>
        <w:rPr>
          <w:sz w:val="20"/>
          <w:szCs w:val="20"/>
          <w:color w:val="auto"/>
        </w:rPr>
      </w:pPr>
      <w:r>
        <w:rPr>
          <w:rFonts w:ascii="Arial" w:cs="Arial" w:eastAsia="Arial" w:hAnsi="Arial"/>
          <w:sz w:val="15"/>
          <w:szCs w:val="15"/>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w:t>
      </w:r>
    </w:p>
    <w:p>
      <w:pPr>
        <w:spacing w:after="0" w:line="2"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interested patients had been identified for the Phase 1/2 clinical trial, we encountered patient pre-screening failures that impacted the commencement of enrollment in these studies.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Reliance on third-party manufacturers entails risks to which we would not be subject if we manufactured the product candidates ourselves, including:</w:t>
      </w:r>
    </w:p>
    <w:p>
      <w:pPr>
        <w:spacing w:after="0" w:line="146" w:lineRule="exact"/>
        <w:rPr>
          <w:sz w:val="20"/>
          <w:szCs w:val="20"/>
          <w:color w:val="auto"/>
        </w:rPr>
      </w:pPr>
    </w:p>
    <w:p>
      <w:pPr>
        <w:ind w:left="940" w:hanging="3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3" w:lineRule="exact"/>
        <w:rPr>
          <w:rFonts w:ascii="Arial" w:cs="Arial" w:eastAsia="Arial" w:hAnsi="Arial"/>
          <w:sz w:val="17"/>
          <w:szCs w:val="17"/>
          <w:color w:val="auto"/>
        </w:rPr>
      </w:pPr>
    </w:p>
    <w:p>
      <w:pPr>
        <w:ind w:left="940" w:hanging="389"/>
        <w:spacing w:after="0" w:line="265"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0" w:lineRule="exact"/>
        <w:rPr>
          <w:sz w:val="20"/>
          <w:szCs w:val="20"/>
          <w:color w:val="auto"/>
        </w:rPr>
      </w:pPr>
    </w:p>
    <w:p>
      <w:pPr>
        <w:ind w:right="320" w:firstLine="546"/>
        <w:spacing w:after="0" w:line="256"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4" w:lineRule="exact"/>
        <w:rPr>
          <w:sz w:val="20"/>
          <w:szCs w:val="20"/>
          <w:color w:val="auto"/>
        </w:rPr>
      </w:pPr>
    </w:p>
    <w:p>
      <w:pPr>
        <w:ind w:left="560" w:right="40"/>
        <w:spacing w:after="0" w:line="265"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74" w:lineRule="exact"/>
        <w:rPr>
          <w:sz w:val="20"/>
          <w:szCs w:val="20"/>
          <w:color w:val="auto"/>
        </w:rPr>
      </w:pPr>
    </w:p>
    <w:p>
      <w:pPr>
        <w:ind w:right="240" w:firstLine="546"/>
        <w:spacing w:after="0" w:line="278"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71" w:lineRule="exact"/>
        <w:rPr>
          <w:sz w:val="20"/>
          <w:szCs w:val="20"/>
          <w:color w:val="auto"/>
        </w:rPr>
      </w:pPr>
    </w:p>
    <w:p>
      <w:pPr>
        <w:ind w:right="20" w:firstLine="546"/>
        <w:spacing w:after="0" w:line="302" w:lineRule="auto"/>
        <w:rPr>
          <w:sz w:val="20"/>
          <w:szCs w:val="20"/>
          <w:color w:val="auto"/>
        </w:rPr>
      </w:pPr>
      <w:r>
        <w:rPr>
          <w:rFonts w:ascii="Arial" w:cs="Arial" w:eastAsia="Arial" w:hAnsi="Arial"/>
          <w:sz w:val="15"/>
          <w:szCs w:val="15"/>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370" w:lineRule="exact"/>
        <w:rPr>
          <w:sz w:val="20"/>
          <w:szCs w:val="20"/>
          <w:color w:val="auto"/>
        </w:rPr>
      </w:pPr>
    </w:p>
    <w:p>
      <w:pPr>
        <w:ind w:right="100" w:firstLine="546"/>
        <w:spacing w:after="0" w:line="250"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4" w:name="page65"/>
    <w:bookmarkEnd w:id="64"/>
    <w:p>
      <w:pPr>
        <w:jc w:val="both"/>
        <w:ind w:firstLine="546"/>
        <w:spacing w:after="0" w:line="256"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8" w:lineRule="exact"/>
        <w:rPr>
          <w:sz w:val="20"/>
          <w:szCs w:val="20"/>
          <w:color w:val="auto"/>
        </w:rPr>
      </w:pPr>
    </w:p>
    <w:p>
      <w:pPr>
        <w:ind w:right="280" w:firstLine="546"/>
        <w:spacing w:after="0" w:line="252"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3" w:lineRule="exact"/>
        <w:rPr>
          <w:sz w:val="20"/>
          <w:szCs w:val="20"/>
          <w:color w:val="auto"/>
        </w:rPr>
      </w:pPr>
    </w:p>
    <w:p>
      <w:pPr>
        <w:ind w:right="20" w:firstLine="546"/>
        <w:spacing w:after="0" w:line="305" w:lineRule="auto"/>
        <w:rPr>
          <w:sz w:val="20"/>
          <w:szCs w:val="20"/>
          <w:color w:val="auto"/>
        </w:rPr>
      </w:pPr>
      <w:r>
        <w:rPr>
          <w:rFonts w:ascii="Arial" w:cs="Arial" w:eastAsia="Arial" w:hAnsi="Arial"/>
          <w:sz w:val="15"/>
          <w:szCs w:val="15"/>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59"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55" w:lineRule="exact"/>
        <w:rPr>
          <w:sz w:val="20"/>
          <w:szCs w:val="20"/>
          <w:color w:val="auto"/>
        </w:rPr>
      </w:pPr>
    </w:p>
    <w:p>
      <w:pPr>
        <w:jc w:val="both"/>
        <w:ind w:right="100" w:firstLine="546"/>
        <w:spacing w:after="0" w:line="256"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8" w:lineRule="exact"/>
        <w:rPr>
          <w:sz w:val="20"/>
          <w:szCs w:val="20"/>
          <w:color w:val="auto"/>
        </w:rPr>
      </w:pPr>
    </w:p>
    <w:p>
      <w:pPr>
        <w:ind w:right="260" w:firstLine="546"/>
        <w:spacing w:after="0" w:line="265"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4" w:lineRule="exact"/>
        <w:rPr>
          <w:sz w:val="20"/>
          <w:szCs w:val="20"/>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production delays related to the evaluation and testing of products from alternative suppliers, and corresponding regulatory qualifications;</w:t>
      </w:r>
    </w:p>
    <w:p>
      <w:pPr>
        <w:spacing w:after="0" w:line="146" w:lineRule="exact"/>
        <w:rPr>
          <w:rFonts w:ascii="Arial" w:cs="Arial" w:eastAsia="Arial" w:hAnsi="Arial"/>
          <w:sz w:val="15"/>
          <w:szCs w:val="15"/>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increased cost of our warranty program due to product repair or replacement based upon defects in components produced by our suppliers; and</w:t>
      </w:r>
    </w:p>
    <w:p>
      <w:pPr>
        <w:spacing w:after="0" w:line="146" w:lineRule="exact"/>
        <w:rPr>
          <w:rFonts w:ascii="Arial" w:cs="Arial" w:eastAsia="Arial" w:hAnsi="Arial"/>
          <w:sz w:val="15"/>
          <w:szCs w:val="15"/>
          <w:color w:val="auto"/>
        </w:rPr>
      </w:pPr>
    </w:p>
    <w:p>
      <w:pPr>
        <w:ind w:left="940" w:hanging="3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65" w:name="page66"/>
    <w:bookmarkEnd w:id="65"/>
    <w:p>
      <w:pPr>
        <w:ind w:right="500" w:firstLine="546"/>
        <w:spacing w:after="0" w:line="265"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87" w:lineRule="exact"/>
        <w:rPr>
          <w:sz w:val="20"/>
          <w:szCs w:val="20"/>
          <w:color w:val="auto"/>
        </w:rPr>
      </w:pPr>
    </w:p>
    <w:p>
      <w:pPr>
        <w:ind w:left="560" w:right="80"/>
        <w:spacing w:after="0" w:line="265"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74" w:lineRule="exact"/>
        <w:rPr>
          <w:sz w:val="20"/>
          <w:szCs w:val="20"/>
          <w:color w:val="auto"/>
        </w:rPr>
      </w:pPr>
    </w:p>
    <w:p>
      <w:pPr>
        <w:ind w:right="160" w:firstLine="546"/>
        <w:spacing w:after="0" w:line="313" w:lineRule="auto"/>
        <w:rPr>
          <w:sz w:val="20"/>
          <w:szCs w:val="20"/>
          <w:color w:val="auto"/>
        </w:rPr>
      </w:pPr>
      <w:r>
        <w:rPr>
          <w:rFonts w:ascii="Arial" w:cs="Arial" w:eastAsia="Arial" w:hAnsi="Arial"/>
          <w:sz w:val="15"/>
          <w:szCs w:val="15"/>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50" w:lineRule="exact"/>
        <w:rPr>
          <w:sz w:val="20"/>
          <w:szCs w:val="20"/>
          <w:color w:val="auto"/>
        </w:rPr>
      </w:pPr>
    </w:p>
    <w:p>
      <w:pPr>
        <w:ind w:right="20" w:firstLine="546"/>
        <w:spacing w:after="0" w:line="319" w:lineRule="auto"/>
        <w:rPr>
          <w:sz w:val="20"/>
          <w:szCs w:val="20"/>
          <w:color w:val="auto"/>
        </w:rPr>
      </w:pPr>
      <w:r>
        <w:rPr>
          <w:rFonts w:ascii="Arial" w:cs="Arial" w:eastAsia="Arial" w:hAnsi="Arial"/>
          <w:sz w:val="15"/>
          <w:szCs w:val="15"/>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45" w:lineRule="exact"/>
        <w:rPr>
          <w:sz w:val="20"/>
          <w:szCs w:val="20"/>
          <w:color w:val="auto"/>
        </w:rPr>
      </w:pPr>
    </w:p>
    <w:p>
      <w:pPr>
        <w:ind w:right="40" w:firstLine="546"/>
        <w:spacing w:after="0" w:line="266"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18" w:lineRule="exact"/>
        <w:rPr>
          <w:sz w:val="20"/>
          <w:szCs w:val="20"/>
          <w:color w:val="auto"/>
        </w:rPr>
      </w:pPr>
    </w:p>
    <w:p>
      <w:pPr>
        <w:ind w:left="560" w:right="540"/>
        <w:spacing w:after="0" w:line="265"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74" w:lineRule="exact"/>
        <w:rPr>
          <w:sz w:val="20"/>
          <w:szCs w:val="20"/>
          <w:color w:val="auto"/>
        </w:rPr>
      </w:pPr>
    </w:p>
    <w:p>
      <w:pPr>
        <w:ind w:right="100" w:firstLine="546"/>
        <w:spacing w:after="0" w:line="303" w:lineRule="auto"/>
        <w:rPr>
          <w:sz w:val="20"/>
          <w:szCs w:val="20"/>
          <w:color w:val="auto"/>
        </w:rPr>
      </w:pPr>
      <w:r>
        <w:rPr>
          <w:rFonts w:ascii="Arial" w:cs="Arial" w:eastAsia="Arial" w:hAnsi="Arial"/>
          <w:sz w:val="15"/>
          <w:szCs w:val="15"/>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00" w:lineRule="exact"/>
        <w:rPr>
          <w:sz w:val="20"/>
          <w:szCs w:val="20"/>
          <w:color w:val="auto"/>
        </w:rPr>
      </w:pPr>
    </w:p>
    <w:p>
      <w:pPr>
        <w:spacing w:after="0" w:line="279" w:lineRule="exact"/>
        <w:rPr>
          <w:sz w:val="20"/>
          <w:szCs w:val="20"/>
          <w:color w:val="auto"/>
        </w:rPr>
      </w:pPr>
    </w:p>
    <w:p>
      <w:pPr>
        <w:ind w:left="560" w:right="220"/>
        <w:spacing w:after="0" w:line="265"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74" w:lineRule="exact"/>
        <w:rPr>
          <w:sz w:val="20"/>
          <w:szCs w:val="20"/>
          <w:color w:val="auto"/>
        </w:rPr>
      </w:pPr>
    </w:p>
    <w:p>
      <w:pPr>
        <w:ind w:firstLine="546"/>
        <w:spacing w:after="0" w:line="250" w:lineRule="auto"/>
        <w:rPr>
          <w:sz w:val="20"/>
          <w:szCs w:val="20"/>
          <w:color w:val="auto"/>
        </w:rPr>
      </w:pPr>
      <w:r>
        <w:rPr>
          <w:rFonts w:ascii="Arial" w:cs="Arial" w:eastAsia="Arial" w:hAnsi="Arial"/>
          <w:sz w:val="18"/>
          <w:szCs w:val="18"/>
          <w:color w:val="auto"/>
        </w:rPr>
        <w:t>We focus our research and product development on treatments for serious lysosomal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6" w:name="page67"/>
    <w:bookmarkEnd w:id="66"/>
    <w:p>
      <w:pPr>
        <w:ind w:left="560" w:right="360"/>
        <w:spacing w:after="0" w:line="265"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74" w:lineRule="exact"/>
        <w:rPr>
          <w:sz w:val="20"/>
          <w:szCs w:val="20"/>
          <w:color w:val="auto"/>
        </w:rPr>
      </w:pPr>
    </w:p>
    <w:p>
      <w:pPr>
        <w:ind w:right="300" w:firstLine="546"/>
        <w:spacing w:after="0" w:line="251"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6" w:lineRule="exact"/>
        <w:rPr>
          <w:sz w:val="20"/>
          <w:szCs w:val="20"/>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1" w:lineRule="exact"/>
        <w:rPr>
          <w:rFonts w:ascii="Arial" w:cs="Arial" w:eastAsia="Arial" w:hAnsi="Arial"/>
          <w:sz w:val="18"/>
          <w:szCs w:val="18"/>
          <w:color w:val="auto"/>
        </w:rPr>
      </w:pPr>
    </w:p>
    <w:p>
      <w:pPr>
        <w:ind w:left="940" w:right="560" w:hanging="389"/>
        <w:spacing w:after="0" w:line="265"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or side effects, including any limitations or warnings contained in a product’s approved labeling;</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18" w:lineRule="exact"/>
        <w:rPr>
          <w:sz w:val="20"/>
          <w:szCs w:val="20"/>
          <w:color w:val="auto"/>
        </w:rPr>
      </w:pPr>
    </w:p>
    <w:p>
      <w:pPr>
        <w:ind w:firstLine="546"/>
        <w:spacing w:after="0" w:line="313" w:lineRule="auto"/>
        <w:rPr>
          <w:sz w:val="20"/>
          <w:szCs w:val="20"/>
          <w:color w:val="auto"/>
        </w:rPr>
      </w:pPr>
      <w:r>
        <w:rPr>
          <w:rFonts w:ascii="Arial" w:cs="Arial" w:eastAsia="Arial" w:hAnsi="Arial"/>
          <w:sz w:val="15"/>
          <w:szCs w:val="15"/>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50" w:lineRule="exact"/>
        <w:rPr>
          <w:sz w:val="20"/>
          <w:szCs w:val="20"/>
          <w:color w:val="auto"/>
        </w:rPr>
      </w:pPr>
    </w:p>
    <w:p>
      <w:pPr>
        <w:ind w:right="180" w:firstLine="546"/>
        <w:spacing w:after="0" w:line="269"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6" w:lineRule="exact"/>
        <w:rPr>
          <w:sz w:val="20"/>
          <w:szCs w:val="20"/>
          <w:color w:val="auto"/>
        </w:rPr>
      </w:pPr>
    </w:p>
    <w:p>
      <w:pPr>
        <w:ind w:left="560" w:right="640"/>
        <w:spacing w:after="0" w:line="26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74"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including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87" w:lineRule="exact"/>
        <w:rPr>
          <w:sz w:val="20"/>
          <w:szCs w:val="20"/>
          <w:color w:val="auto"/>
        </w:rPr>
      </w:pPr>
    </w:p>
    <w:p>
      <w:pPr>
        <w:ind w:left="940" w:hanging="389"/>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67" w:name="page68"/>
    <w:bookmarkEnd w:id="67"/>
    <w:p>
      <w:pPr>
        <w:ind w:left="940" w:hanging="389"/>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1" w:lineRule="exact"/>
        <w:rPr>
          <w:rFonts w:ascii="Arial" w:cs="Arial" w:eastAsia="Arial" w:hAnsi="Arial"/>
          <w:sz w:val="18"/>
          <w:szCs w:val="18"/>
          <w:color w:val="auto"/>
        </w:rPr>
      </w:pPr>
    </w:p>
    <w:p>
      <w:pPr>
        <w:ind w:left="940" w:right="100" w:hanging="389"/>
        <w:spacing w:after="0" w:line="265"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1" w:lineRule="exact"/>
        <w:rPr>
          <w:rFonts w:ascii="Arial" w:cs="Arial" w:eastAsia="Arial" w:hAnsi="Arial"/>
          <w:sz w:val="18"/>
          <w:szCs w:val="18"/>
          <w:color w:val="auto"/>
        </w:rPr>
      </w:pPr>
    </w:p>
    <w:p>
      <w:pPr>
        <w:ind w:left="940" w:right="360" w:hanging="389"/>
        <w:spacing w:after="0" w:line="265"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87" w:lineRule="exact"/>
        <w:rPr>
          <w:sz w:val="20"/>
          <w:szCs w:val="20"/>
          <w:color w:val="auto"/>
        </w:rPr>
      </w:pPr>
    </w:p>
    <w:p>
      <w:pPr>
        <w:ind w:left="560" w:right="240"/>
        <w:spacing w:after="0" w:line="256"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81" w:lineRule="exact"/>
        <w:rPr>
          <w:sz w:val="20"/>
          <w:szCs w:val="20"/>
          <w:color w:val="auto"/>
        </w:rPr>
      </w:pPr>
    </w:p>
    <w:p>
      <w:pPr>
        <w:ind w:right="20" w:firstLine="546"/>
        <w:spacing w:after="0" w:line="265"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6" w:lineRule="exact"/>
        <w:rPr>
          <w:sz w:val="20"/>
          <w:szCs w:val="20"/>
          <w:color w:val="auto"/>
        </w:rPr>
      </w:pPr>
    </w:p>
    <w:p>
      <w:pPr>
        <w:ind w:right="80" w:firstLine="546"/>
        <w:spacing w:after="0" w:line="303" w:lineRule="auto"/>
        <w:rPr>
          <w:sz w:val="20"/>
          <w:szCs w:val="20"/>
          <w:color w:val="auto"/>
        </w:rPr>
      </w:pPr>
      <w:r>
        <w:rPr>
          <w:rFonts w:ascii="Arial" w:cs="Arial" w:eastAsia="Arial" w:hAnsi="Arial"/>
          <w:sz w:val="15"/>
          <w:szCs w:val="15"/>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0" w:lineRule="exact"/>
        <w:rPr>
          <w:sz w:val="20"/>
          <w:szCs w:val="20"/>
          <w:color w:val="auto"/>
        </w:rPr>
      </w:pPr>
    </w:p>
    <w:p>
      <w:pPr>
        <w:jc w:val="both"/>
        <w:ind w:right="140" w:firstLine="546"/>
        <w:spacing w:after="0" w:line="300"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91" w:lineRule="exact"/>
        <w:rPr>
          <w:sz w:val="20"/>
          <w:szCs w:val="20"/>
          <w:color w:val="auto"/>
        </w:rPr>
      </w:pPr>
    </w:p>
    <w:p>
      <w:pPr>
        <w:ind w:left="940" w:hanging="3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446" w:right="379" w:bottom="1440" w:gutter="0" w:footer="0" w:header="0"/>
        </w:sectPr>
      </w:pPr>
    </w:p>
    <w:bookmarkStart w:id="68" w:name="page69"/>
    <w:bookmarkEnd w:id="68"/>
    <w:p>
      <w:pPr>
        <w:ind w:right="120" w:firstLine="546"/>
        <w:spacing w:after="0" w:line="302" w:lineRule="auto"/>
        <w:rPr>
          <w:sz w:val="20"/>
          <w:szCs w:val="20"/>
          <w:color w:val="auto"/>
        </w:rPr>
      </w:pPr>
      <w:r>
        <w:rPr>
          <w:rFonts w:ascii="Arial" w:cs="Arial" w:eastAsia="Arial" w:hAnsi="Arial"/>
          <w:sz w:val="15"/>
          <w:szCs w:val="15"/>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2" w:lineRule="exact"/>
        <w:rPr>
          <w:sz w:val="20"/>
          <w:szCs w:val="20"/>
          <w:color w:val="auto"/>
        </w:rPr>
      </w:pPr>
    </w:p>
    <w:p>
      <w:pPr>
        <w:ind w:right="100" w:firstLine="546"/>
        <w:spacing w:after="0" w:line="267"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9" w:lineRule="exact"/>
        <w:rPr>
          <w:sz w:val="20"/>
          <w:szCs w:val="20"/>
          <w:color w:val="auto"/>
        </w:rPr>
      </w:pPr>
    </w:p>
    <w:p>
      <w:pPr>
        <w:ind w:left="560" w:right="180"/>
        <w:spacing w:after="0" w:line="265"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74"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6" w:lineRule="exact"/>
        <w:rPr>
          <w:sz w:val="20"/>
          <w:szCs w:val="20"/>
          <w:color w:val="auto"/>
        </w:rPr>
      </w:pPr>
    </w:p>
    <w:p>
      <w:pPr>
        <w:ind w:left="560" w:right="960"/>
        <w:spacing w:after="0" w:line="265"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74" w:lineRule="exact"/>
        <w:rPr>
          <w:sz w:val="20"/>
          <w:szCs w:val="20"/>
          <w:color w:val="auto"/>
        </w:rPr>
      </w:pPr>
    </w:p>
    <w:p>
      <w:pPr>
        <w:ind w:firstLine="546"/>
        <w:spacing w:after="0" w:line="256"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8" w:lineRule="exact"/>
        <w:rPr>
          <w:sz w:val="20"/>
          <w:szCs w:val="20"/>
          <w:color w:val="auto"/>
        </w:rPr>
      </w:pPr>
    </w:p>
    <w:p>
      <w:pPr>
        <w:ind w:right="140" w:firstLine="546"/>
        <w:spacing w:after="0" w:line="265"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86" w:lineRule="exact"/>
        <w:rPr>
          <w:sz w:val="20"/>
          <w:szCs w:val="20"/>
          <w:color w:val="auto"/>
        </w:rPr>
      </w:pPr>
    </w:p>
    <w:p>
      <w:pPr>
        <w:jc w:val="both"/>
        <w:ind w:right="20" w:firstLine="546"/>
        <w:spacing w:after="0" w:line="267"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9" w:name="page70"/>
    <w:bookmarkEnd w:id="69"/>
    <w:p>
      <w:pPr>
        <w:ind w:left="560" w:right="440"/>
        <w:spacing w:after="0" w:line="265"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74" w:lineRule="exact"/>
        <w:rPr>
          <w:sz w:val="20"/>
          <w:szCs w:val="20"/>
          <w:color w:val="auto"/>
        </w:rPr>
      </w:pPr>
    </w:p>
    <w:p>
      <w:pPr>
        <w:ind w:right="20" w:firstLine="546"/>
        <w:spacing w:after="0" w:line="250"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4" w:lineRule="exact"/>
        <w:rPr>
          <w:sz w:val="20"/>
          <w:szCs w:val="20"/>
          <w:color w:val="auto"/>
        </w:rPr>
      </w:pPr>
    </w:p>
    <w:p>
      <w:pPr>
        <w:ind w:right="80" w:firstLine="546"/>
        <w:spacing w:after="0" w:line="302" w:lineRule="auto"/>
        <w:rPr>
          <w:sz w:val="20"/>
          <w:szCs w:val="20"/>
          <w:color w:val="auto"/>
        </w:rPr>
      </w:pPr>
      <w:r>
        <w:rPr>
          <w:rFonts w:ascii="Arial" w:cs="Arial" w:eastAsia="Arial" w:hAnsi="Arial"/>
          <w:sz w:val="15"/>
          <w:szCs w:val="15"/>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62"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Fifth Circuit Court and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83" w:lineRule="exact"/>
        <w:rPr>
          <w:sz w:val="20"/>
          <w:szCs w:val="20"/>
          <w:color w:val="auto"/>
        </w:rPr>
      </w:pPr>
    </w:p>
    <w:p>
      <w:pPr>
        <w:ind w:right="60" w:firstLine="546"/>
        <w:spacing w:after="0" w:line="265"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2029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6" w:lineRule="exact"/>
        <w:rPr>
          <w:sz w:val="20"/>
          <w:szCs w:val="20"/>
          <w:color w:val="auto"/>
        </w:rPr>
      </w:pPr>
    </w:p>
    <w:p>
      <w:pPr>
        <w:ind w:right="20" w:firstLine="546"/>
        <w:spacing w:after="0" w:line="302" w:lineRule="auto"/>
        <w:rPr>
          <w:sz w:val="20"/>
          <w:szCs w:val="20"/>
          <w:color w:val="auto"/>
        </w:rPr>
      </w:pPr>
      <w:r>
        <w:rPr>
          <w:rFonts w:ascii="Arial" w:cs="Arial" w:eastAsia="Arial" w:hAnsi="Arial"/>
          <w:sz w:val="15"/>
          <w:szCs w:val="15"/>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budgets for fiscal years 2019 and 2020 contain further drug price control measures that could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70" w:name="page71"/>
    <w:bookmarkEnd w:id="70"/>
    <w:p>
      <w:pPr>
        <w:ind w:right="140"/>
        <w:spacing w:after="0" w:line="313" w:lineRule="auto"/>
        <w:rPr>
          <w:sz w:val="20"/>
          <w:szCs w:val="20"/>
          <w:color w:val="auto"/>
        </w:rPr>
      </w:pPr>
      <w:r>
        <w:rPr>
          <w:rFonts w:ascii="Arial" w:cs="Arial" w:eastAsia="Arial" w:hAnsi="Arial"/>
          <w:sz w:val="15"/>
          <w:szCs w:val="15"/>
          <w:color w:val="auto"/>
        </w:rPr>
        <w:t>CMS’s policy change that was effective January 1, 2019.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0" w:lineRule="exact"/>
        <w:rPr>
          <w:sz w:val="20"/>
          <w:szCs w:val="20"/>
          <w:color w:val="auto"/>
        </w:rPr>
      </w:pPr>
    </w:p>
    <w:p>
      <w:pPr>
        <w:ind w:right="20" w:firstLine="546"/>
        <w:spacing w:after="0" w:line="331" w:lineRule="auto"/>
        <w:rPr>
          <w:sz w:val="20"/>
          <w:szCs w:val="20"/>
          <w:color w:val="auto"/>
        </w:rPr>
      </w:pPr>
      <w:r>
        <w:rPr>
          <w:rFonts w:ascii="Arial" w:cs="Arial" w:eastAsia="Arial" w:hAnsi="Arial"/>
          <w:sz w:val="15"/>
          <w:szCs w:val="15"/>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36"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87" w:lineRule="exact"/>
        <w:rPr>
          <w:sz w:val="20"/>
          <w:szCs w:val="20"/>
          <w:color w:val="auto"/>
        </w:rPr>
      </w:pPr>
    </w:p>
    <w:p>
      <w:pPr>
        <w:ind w:left="940" w:hanging="3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8" w:lineRule="exact"/>
        <w:rPr>
          <w:sz w:val="20"/>
          <w:szCs w:val="20"/>
          <w:color w:val="auto"/>
        </w:rPr>
      </w:pPr>
    </w:p>
    <w:p>
      <w:pPr>
        <w:ind w:right="320" w:firstLine="546"/>
        <w:spacing w:after="0" w:line="265"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87" w:lineRule="exact"/>
        <w:rPr>
          <w:sz w:val="20"/>
          <w:szCs w:val="20"/>
          <w:color w:val="auto"/>
        </w:rPr>
      </w:pPr>
    </w:p>
    <w:p>
      <w:pPr>
        <w:ind w:left="560" w:right="100"/>
        <w:spacing w:after="0" w:line="331"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0"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9" w:lineRule="exact"/>
        <w:rPr>
          <w:sz w:val="20"/>
          <w:szCs w:val="20"/>
          <w:color w:val="auto"/>
        </w:rPr>
      </w:pPr>
    </w:p>
    <w:p>
      <w:pPr>
        <w:ind w:left="560" w:right="200"/>
        <w:spacing w:after="0" w:line="366"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5" w:lineRule="exact"/>
        <w:rPr>
          <w:sz w:val="20"/>
          <w:szCs w:val="20"/>
          <w:color w:val="auto"/>
        </w:rPr>
      </w:pPr>
    </w:p>
    <w:p>
      <w:pPr>
        <w:jc w:val="both"/>
        <w:ind w:right="300" w:firstLine="546"/>
        <w:spacing w:after="0" w:line="366" w:lineRule="auto"/>
        <w:rPr>
          <w:sz w:val="20"/>
          <w:szCs w:val="20"/>
          <w:color w:val="auto"/>
        </w:rPr>
      </w:pPr>
      <w:r>
        <w:rPr>
          <w:rFonts w:ascii="Arial" w:cs="Arial" w:eastAsia="Arial" w:hAnsi="Arial"/>
          <w:sz w:val="15"/>
          <w:szCs w:val="15"/>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11"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18" w:lineRule="exact"/>
        <w:rPr>
          <w:sz w:val="20"/>
          <w:szCs w:val="20"/>
          <w:color w:val="auto"/>
        </w:rPr>
      </w:pPr>
    </w:p>
    <w:p>
      <w:pPr>
        <w:ind w:left="560" w:right="120"/>
        <w:spacing w:after="0" w:line="331"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30" w:lineRule="exact"/>
        <w:rPr>
          <w:sz w:val="20"/>
          <w:szCs w:val="20"/>
          <w:color w:val="auto"/>
        </w:rPr>
      </w:pPr>
    </w:p>
    <w:p>
      <w:pPr>
        <w:ind w:right="40" w:firstLine="546"/>
        <w:spacing w:after="0" w:line="303" w:lineRule="auto"/>
        <w:rPr>
          <w:sz w:val="20"/>
          <w:szCs w:val="20"/>
          <w:color w:val="auto"/>
        </w:rPr>
      </w:pPr>
      <w:r>
        <w:rPr>
          <w:rFonts w:ascii="Arial" w:cs="Arial" w:eastAsia="Arial" w:hAnsi="Arial"/>
          <w:sz w:val="15"/>
          <w:szCs w:val="15"/>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00" w:lineRule="exact"/>
        <w:rPr>
          <w:sz w:val="20"/>
          <w:szCs w:val="20"/>
          <w:color w:val="auto"/>
        </w:rPr>
      </w:pPr>
    </w:p>
    <w:p>
      <w:pPr>
        <w:spacing w:after="0" w:line="27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46" w:lineRule="exact"/>
        <w:rPr>
          <w:sz w:val="20"/>
          <w:szCs w:val="20"/>
          <w:color w:val="auto"/>
        </w:rPr>
      </w:pPr>
    </w:p>
    <w:p>
      <w:pPr>
        <w:ind w:right="40" w:firstLine="546"/>
        <w:spacing w:after="0" w:line="302" w:lineRule="auto"/>
        <w:rPr>
          <w:sz w:val="20"/>
          <w:szCs w:val="20"/>
          <w:color w:val="auto"/>
        </w:rPr>
      </w:pPr>
      <w:r>
        <w:rPr>
          <w:rFonts w:ascii="Arial" w:cs="Arial" w:eastAsia="Arial" w:hAnsi="Arial"/>
          <w:sz w:val="15"/>
          <w:szCs w:val="15"/>
          <w:color w:val="auto"/>
        </w:rPr>
        <w:t>We are highly dependent on principal members of our executive team and key employees, including our Chief Executive Officer, Chief Financial Officer, President of Research and Development, Head of Operations, Chief Science Officer, Chief Business Officer, and General Counsel,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will need to expand our operations and we may experience difficulties in managing this growth, which could disrupt our operations.</w:t>
      </w:r>
    </w:p>
    <w:p>
      <w:pPr>
        <w:spacing w:after="0" w:line="146" w:lineRule="exact"/>
        <w:rPr>
          <w:sz w:val="20"/>
          <w:szCs w:val="20"/>
          <w:color w:val="auto"/>
        </w:rPr>
      </w:pPr>
    </w:p>
    <w:p>
      <w:pPr>
        <w:ind w:right="40" w:firstLine="546"/>
        <w:spacing w:after="0" w:line="305" w:lineRule="auto"/>
        <w:rPr>
          <w:sz w:val="20"/>
          <w:szCs w:val="20"/>
          <w:color w:val="auto"/>
        </w:rPr>
      </w:pPr>
      <w:r>
        <w:rPr>
          <w:rFonts w:ascii="Arial" w:cs="Arial" w:eastAsia="Arial" w:hAnsi="Arial"/>
          <w:sz w:val="15"/>
          <w:szCs w:val="15"/>
          <w:color w:val="auto"/>
        </w:rPr>
        <w:t>As of December 31, 2019, we had 85 full-time employees. 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2" w:name="page73"/>
    <w:bookmarkEnd w:id="72"/>
    <w:p>
      <w:pPr>
        <w:ind w:left="56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2" w:lineRule="exact"/>
        <w:rPr>
          <w:sz w:val="20"/>
          <w:szCs w:val="20"/>
          <w:color w:val="auto"/>
        </w:rPr>
      </w:pPr>
    </w:p>
    <w:p>
      <w:pPr>
        <w:ind w:right="100" w:firstLine="546"/>
        <w:spacing w:after="0" w:line="307" w:lineRule="auto"/>
        <w:rPr>
          <w:sz w:val="20"/>
          <w:szCs w:val="20"/>
          <w:color w:val="auto"/>
        </w:rPr>
      </w:pPr>
      <w:r>
        <w:rPr>
          <w:rFonts w:ascii="Arial" w:cs="Arial" w:eastAsia="Arial" w:hAnsi="Arial"/>
          <w:sz w:val="15"/>
          <w:szCs w:val="15"/>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62" w:lineRule="exact"/>
        <w:rPr>
          <w:sz w:val="20"/>
          <w:szCs w:val="20"/>
          <w:color w:val="auto"/>
        </w:rPr>
      </w:pPr>
    </w:p>
    <w:p>
      <w:pPr>
        <w:ind w:left="560" w:right="280"/>
        <w:spacing w:after="0" w:line="265"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74" w:lineRule="exact"/>
        <w:rPr>
          <w:sz w:val="20"/>
          <w:szCs w:val="20"/>
          <w:color w:val="auto"/>
        </w:rPr>
      </w:pPr>
    </w:p>
    <w:p>
      <w:pPr>
        <w:ind w:right="20" w:firstLine="546"/>
        <w:spacing w:after="0" w:line="302" w:lineRule="auto"/>
        <w:rPr>
          <w:sz w:val="20"/>
          <w:szCs w:val="20"/>
          <w:color w:val="auto"/>
        </w:rPr>
      </w:pPr>
      <w:r>
        <w:rPr>
          <w:rFonts w:ascii="Arial" w:cs="Arial" w:eastAsia="Arial" w:hAnsi="Arial"/>
          <w:sz w:val="15"/>
          <w:szCs w:val="15"/>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01" w:lineRule="exact"/>
        <w:rPr>
          <w:sz w:val="20"/>
          <w:szCs w:val="20"/>
          <w:color w:val="auto"/>
        </w:rPr>
      </w:pPr>
    </w:p>
    <w:p>
      <w:pPr>
        <w:ind w:right="20" w:firstLine="546"/>
        <w:spacing w:after="0" w:line="302" w:lineRule="auto"/>
        <w:rPr>
          <w:sz w:val="20"/>
          <w:szCs w:val="20"/>
          <w:color w:val="auto"/>
        </w:rPr>
      </w:pPr>
      <w:r>
        <w:rPr>
          <w:rFonts w:ascii="Arial" w:cs="Arial" w:eastAsia="Arial" w:hAnsi="Arial"/>
          <w:sz w:val="15"/>
          <w:szCs w:val="15"/>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73" w:name="page74"/>
    <w:bookmarkEnd w:id="73"/>
    <w:p>
      <w:pPr>
        <w:jc w:val="both"/>
        <w:ind w:left="560" w:right="220"/>
        <w:spacing w:after="0" w:line="256"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81" w:lineRule="exact"/>
        <w:rPr>
          <w:sz w:val="20"/>
          <w:szCs w:val="20"/>
          <w:color w:val="auto"/>
        </w:rPr>
      </w:pPr>
    </w:p>
    <w:p>
      <w:pPr>
        <w:ind w:right="60" w:firstLine="546"/>
        <w:spacing w:after="0" w:line="250"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8" w:lineRule="exact"/>
        <w:rPr>
          <w:sz w:val="20"/>
          <w:szCs w:val="20"/>
          <w:color w:val="auto"/>
        </w:rPr>
      </w:pPr>
    </w:p>
    <w:p>
      <w:pPr>
        <w:ind w:left="940" w:right="40" w:hanging="389"/>
        <w:spacing w:after="0" w:line="265" w:lineRule="auto"/>
        <w:tabs>
          <w:tab w:leader="none" w:pos="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6" w:lineRule="exact"/>
        <w:rPr>
          <w:rFonts w:ascii="Arial" w:cs="Arial" w:eastAsia="Arial" w:hAnsi="Arial"/>
          <w:sz w:val="17"/>
          <w:szCs w:val="17"/>
          <w:color w:val="auto"/>
        </w:rPr>
      </w:pPr>
    </w:p>
    <w:p>
      <w:pPr>
        <w:ind w:left="940" w:hanging="389"/>
        <w:spacing w:after="0" w:line="265" w:lineRule="auto"/>
        <w:tabs>
          <w:tab w:leader="none" w:pos="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9" w:lineRule="exact"/>
        <w:rPr>
          <w:rFonts w:ascii="Arial" w:cs="Arial" w:eastAsia="Arial" w:hAnsi="Arial"/>
          <w:sz w:val="17"/>
          <w:szCs w:val="17"/>
          <w:color w:val="auto"/>
        </w:rPr>
      </w:pPr>
    </w:p>
    <w:p>
      <w:pPr>
        <w:ind w:left="940" w:right="180" w:hanging="389"/>
        <w:spacing w:after="0" w:line="252" w:lineRule="auto"/>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86" w:lineRule="exact"/>
        <w:rPr>
          <w:rFonts w:ascii="Arial" w:cs="Arial" w:eastAsia="Arial" w:hAnsi="Arial"/>
          <w:sz w:val="18"/>
          <w:szCs w:val="18"/>
          <w:color w:val="auto"/>
        </w:rPr>
      </w:pPr>
    </w:p>
    <w:p>
      <w:pPr>
        <w:ind w:left="940" w:right="60" w:hanging="389"/>
        <w:spacing w:after="0" w:line="307" w:lineRule="auto"/>
        <w:tabs>
          <w:tab w:leader="none" w:pos="9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49" w:lineRule="exact"/>
        <w:rPr>
          <w:rFonts w:ascii="Arial" w:cs="Arial" w:eastAsia="Arial" w:hAnsi="Arial"/>
          <w:sz w:val="15"/>
          <w:szCs w:val="15"/>
          <w:color w:val="auto"/>
        </w:rPr>
      </w:pPr>
    </w:p>
    <w:p>
      <w:pPr>
        <w:ind w:left="940" w:right="200" w:hanging="389"/>
        <w:spacing w:after="0" w:line="319" w:lineRule="auto"/>
        <w:tabs>
          <w:tab w:leader="none" w:pos="9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39" w:lineRule="exact"/>
        <w:rPr>
          <w:rFonts w:ascii="Arial" w:cs="Arial" w:eastAsia="Arial" w:hAnsi="Arial"/>
          <w:sz w:val="15"/>
          <w:szCs w:val="15"/>
          <w:color w:val="auto"/>
        </w:rPr>
      </w:pPr>
    </w:p>
    <w:p>
      <w:pPr>
        <w:ind w:left="940" w:right="60" w:hanging="389"/>
        <w:spacing w:after="0" w:line="266" w:lineRule="auto"/>
        <w:tabs>
          <w:tab w:leader="none" w:pos="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74" w:name="page75"/>
    <w:bookmarkEnd w:id="74"/>
    <w:p>
      <w:pPr>
        <w:ind w:left="940" w:right="220" w:hanging="389"/>
        <w:spacing w:after="0" w:line="265"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4" w:lineRule="exact"/>
        <w:rPr>
          <w:rFonts w:ascii="Arial" w:cs="Arial" w:eastAsia="Arial" w:hAnsi="Arial"/>
          <w:sz w:val="18"/>
          <w:szCs w:val="18"/>
          <w:color w:val="auto"/>
        </w:rPr>
      </w:pPr>
    </w:p>
    <w:p>
      <w:pPr>
        <w:ind w:left="940" w:right="460" w:hanging="389"/>
        <w:spacing w:after="0" w:line="265"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80" w:lineRule="exact"/>
        <w:rPr>
          <w:sz w:val="20"/>
          <w:szCs w:val="20"/>
          <w:color w:val="auto"/>
        </w:rPr>
      </w:pPr>
    </w:p>
    <w:p>
      <w:pPr>
        <w:ind w:right="20" w:firstLine="546"/>
        <w:spacing w:after="0" w:line="304" w:lineRule="auto"/>
        <w:rPr>
          <w:sz w:val="20"/>
          <w:szCs w:val="20"/>
          <w:color w:val="auto"/>
        </w:rPr>
      </w:pPr>
      <w:r>
        <w:rPr>
          <w:rFonts w:ascii="Arial" w:cs="Arial" w:eastAsia="Arial" w:hAnsi="Arial"/>
          <w:sz w:val="15"/>
          <w:szCs w:val="15"/>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59" w:lineRule="exact"/>
        <w:rPr>
          <w:sz w:val="20"/>
          <w:szCs w:val="20"/>
          <w:color w:val="auto"/>
        </w:rPr>
      </w:pPr>
    </w:p>
    <w:p>
      <w:pPr>
        <w:ind w:right="480" w:firstLine="546"/>
        <w:spacing w:after="0" w:line="265"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80"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9" w:lineRule="exact"/>
        <w:rPr>
          <w:sz w:val="20"/>
          <w:szCs w:val="20"/>
          <w:color w:val="auto"/>
        </w:rPr>
      </w:pPr>
    </w:p>
    <w:p>
      <w:pPr>
        <w:ind w:right="20" w:firstLine="546"/>
        <w:spacing w:after="0" w:line="304" w:lineRule="auto"/>
        <w:rPr>
          <w:sz w:val="20"/>
          <w:szCs w:val="20"/>
          <w:color w:val="auto"/>
        </w:rPr>
      </w:pPr>
      <w:r>
        <w:rPr>
          <w:rFonts w:ascii="Arial" w:cs="Arial" w:eastAsia="Arial" w:hAnsi="Arial"/>
          <w:sz w:val="15"/>
          <w:szCs w:val="15"/>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59" w:lineRule="exact"/>
        <w:rPr>
          <w:sz w:val="20"/>
          <w:szCs w:val="20"/>
          <w:color w:val="auto"/>
        </w:rPr>
      </w:pPr>
    </w:p>
    <w:p>
      <w:pPr>
        <w:ind w:right="260" w:firstLine="546"/>
        <w:spacing w:after="0" w:line="305" w:lineRule="auto"/>
        <w:rPr>
          <w:sz w:val="20"/>
          <w:szCs w:val="20"/>
          <w:color w:val="auto"/>
        </w:rPr>
      </w:pPr>
      <w:r>
        <w:rPr>
          <w:rFonts w:ascii="Arial" w:cs="Arial" w:eastAsia="Arial" w:hAnsi="Arial"/>
          <w:sz w:val="15"/>
          <w:szCs w:val="15"/>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75" w:name="page76"/>
    <w:bookmarkEnd w:id="75"/>
    <w:p>
      <w:pPr>
        <w:ind w:left="560" w:right="140"/>
        <w:spacing w:after="0" w:line="366" w:lineRule="auto"/>
        <w:rPr>
          <w:sz w:val="20"/>
          <w:szCs w:val="20"/>
          <w:color w:val="auto"/>
        </w:rPr>
      </w:pPr>
      <w:r>
        <w:rPr>
          <w:rFonts w:ascii="Arial" w:cs="Arial" w:eastAsia="Arial" w:hAnsi="Arial"/>
          <w:sz w:val="15"/>
          <w:szCs w:val="15"/>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59" w:lineRule="exact"/>
        <w:rPr>
          <w:sz w:val="20"/>
          <w:szCs w:val="20"/>
          <w:color w:val="auto"/>
        </w:rPr>
      </w:pPr>
    </w:p>
    <w:p>
      <w:pPr>
        <w:ind w:right="40" w:firstLine="546"/>
        <w:spacing w:after="0" w:line="24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46" w:lineRule="exact"/>
        <w:rPr>
          <w:sz w:val="20"/>
          <w:szCs w:val="20"/>
          <w:color w:val="auto"/>
        </w:rPr>
      </w:pPr>
    </w:p>
    <w:p>
      <w:pPr>
        <w:ind w:right="20" w:firstLine="546"/>
        <w:spacing w:after="0" w:line="264" w:lineRule="auto"/>
        <w:rPr>
          <w:sz w:val="20"/>
          <w:szCs w:val="20"/>
          <w:color w:val="auto"/>
        </w:rPr>
      </w:pPr>
      <w:r>
        <w:rPr>
          <w:rFonts w:ascii="Arial" w:cs="Arial" w:eastAsia="Arial" w:hAnsi="Arial"/>
          <w:sz w:val="17"/>
          <w:szCs w:val="17"/>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93" w:lineRule="exact"/>
        <w:rPr>
          <w:sz w:val="20"/>
          <w:szCs w:val="20"/>
          <w:color w:val="auto"/>
        </w:rPr>
      </w:pPr>
    </w:p>
    <w:p>
      <w:pPr>
        <w:jc w:val="both"/>
        <w:ind w:left="560" w:right="160"/>
        <w:spacing w:after="0" w:line="331"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30" w:lineRule="exact"/>
        <w:rPr>
          <w:sz w:val="20"/>
          <w:szCs w:val="20"/>
          <w:color w:val="auto"/>
        </w:rPr>
      </w:pPr>
    </w:p>
    <w:p>
      <w:pPr>
        <w:ind w:right="120" w:firstLine="546"/>
        <w:spacing w:after="0" w:line="251"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6" w:lineRule="exact"/>
        <w:rPr>
          <w:sz w:val="20"/>
          <w:szCs w:val="20"/>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76" w:name="page77"/>
    <w:bookmarkEnd w:id="76"/>
    <w:p>
      <w:pPr>
        <w:ind w:firstLine="546"/>
        <w:spacing w:after="0" w:line="305" w:lineRule="auto"/>
        <w:rPr>
          <w:sz w:val="20"/>
          <w:szCs w:val="20"/>
          <w:color w:val="auto"/>
        </w:rPr>
      </w:pPr>
      <w:r>
        <w:rPr>
          <w:rFonts w:ascii="Arial" w:cs="Arial" w:eastAsia="Arial" w:hAnsi="Arial"/>
          <w:sz w:val="15"/>
          <w:szCs w:val="15"/>
          <w:color w:val="auto"/>
        </w:rPr>
        <w:t>We carry master product liability insurance of $5.0 million per occurrence and $5.0 million in the aggregate in the United States. For Canada, we carry product liability insurance of CAD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59" w:lineRule="exact"/>
        <w:rPr>
          <w:sz w:val="20"/>
          <w:szCs w:val="20"/>
          <w:color w:val="auto"/>
        </w:rPr>
      </w:pPr>
    </w:p>
    <w:p>
      <w:pPr>
        <w:ind w:right="100" w:firstLine="546"/>
        <w:spacing w:after="0" w:line="265"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60" w:right="200"/>
        <w:spacing w:after="0" w:line="26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4" w:lineRule="exact"/>
        <w:rPr>
          <w:sz w:val="20"/>
          <w:szCs w:val="20"/>
          <w:color w:val="auto"/>
        </w:rPr>
      </w:pPr>
    </w:p>
    <w:p>
      <w:pPr>
        <w:ind w:right="40" w:firstLine="546"/>
        <w:spacing w:after="0" w:line="26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7" w:lineRule="exact"/>
        <w:rPr>
          <w:sz w:val="20"/>
          <w:szCs w:val="20"/>
          <w:color w:val="auto"/>
        </w:rPr>
      </w:pPr>
    </w:p>
    <w:p>
      <w:pPr>
        <w:ind w:right="140" w:firstLine="546"/>
        <w:spacing w:after="0" w:line="313"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2" w:lineRule="exact"/>
        <w:rPr>
          <w:sz w:val="20"/>
          <w:szCs w:val="20"/>
          <w:color w:val="auto"/>
        </w:rPr>
      </w:pPr>
    </w:p>
    <w:p>
      <w:pPr>
        <w:ind w:right="140" w:firstLine="546"/>
        <w:spacing w:after="0" w:line="26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7" w:name="page78"/>
    <w:bookmarkEnd w:id="77"/>
    <w:p>
      <w:pPr>
        <w:ind w:left="560"/>
        <w:spacing w:after="0" w:line="265"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74" w:lineRule="exact"/>
        <w:rPr>
          <w:sz w:val="20"/>
          <w:szCs w:val="20"/>
          <w:color w:val="auto"/>
        </w:rPr>
      </w:pPr>
    </w:p>
    <w:p>
      <w:pPr>
        <w:ind w:right="20" w:firstLine="546"/>
        <w:spacing w:after="0" w:line="307" w:lineRule="auto"/>
        <w:rPr>
          <w:sz w:val="20"/>
          <w:szCs w:val="20"/>
          <w:color w:val="auto"/>
        </w:rPr>
      </w:pPr>
      <w:r>
        <w:rPr>
          <w:rFonts w:ascii="Arial" w:cs="Arial" w:eastAsia="Arial" w:hAnsi="Arial"/>
          <w:sz w:val="15"/>
          <w:szCs w:val="15"/>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62" w:lineRule="exact"/>
        <w:rPr>
          <w:sz w:val="20"/>
          <w:szCs w:val="20"/>
          <w:color w:val="auto"/>
        </w:rPr>
      </w:pPr>
    </w:p>
    <w:p>
      <w:pPr>
        <w:ind w:left="560" w:right="20"/>
        <w:spacing w:after="0" w:line="265"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74" w:lineRule="exact"/>
        <w:rPr>
          <w:sz w:val="20"/>
          <w:szCs w:val="20"/>
          <w:color w:val="auto"/>
        </w:rPr>
      </w:pPr>
    </w:p>
    <w:p>
      <w:pPr>
        <w:ind w:right="100" w:firstLine="546"/>
        <w:spacing w:after="0" w:line="302" w:lineRule="auto"/>
        <w:rPr>
          <w:sz w:val="20"/>
          <w:szCs w:val="20"/>
          <w:color w:val="auto"/>
        </w:rPr>
      </w:pPr>
      <w:r>
        <w:rPr>
          <w:rFonts w:ascii="Arial" w:cs="Arial" w:eastAsia="Arial" w:hAnsi="Arial"/>
          <w:sz w:val="15"/>
          <w:szCs w:val="15"/>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2" w:lineRule="exact"/>
        <w:rPr>
          <w:sz w:val="20"/>
          <w:szCs w:val="20"/>
          <w:color w:val="auto"/>
        </w:rPr>
      </w:pPr>
    </w:p>
    <w:p>
      <w:pPr>
        <w:ind w:right="20" w:firstLine="546"/>
        <w:spacing w:after="0" w:line="313" w:lineRule="auto"/>
        <w:rPr>
          <w:sz w:val="20"/>
          <w:szCs w:val="20"/>
          <w:color w:val="auto"/>
        </w:rPr>
      </w:pPr>
      <w:r>
        <w:rPr>
          <w:rFonts w:ascii="Arial" w:cs="Arial" w:eastAsia="Arial" w:hAnsi="Arial"/>
          <w:sz w:val="15"/>
          <w:szCs w:val="15"/>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56" w:lineRule="exact"/>
        <w:rPr>
          <w:sz w:val="20"/>
          <w:szCs w:val="20"/>
          <w:color w:val="auto"/>
        </w:rPr>
      </w:pPr>
    </w:p>
    <w:p>
      <w:pPr>
        <w:ind w:left="560" w:right="1040"/>
        <w:spacing w:after="0" w:line="265"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74" w:lineRule="exact"/>
        <w:rPr>
          <w:sz w:val="20"/>
          <w:szCs w:val="20"/>
          <w:color w:val="auto"/>
        </w:rPr>
      </w:pPr>
    </w:p>
    <w:p>
      <w:pPr>
        <w:ind w:firstLine="546"/>
        <w:spacing w:after="0" w:line="302" w:lineRule="auto"/>
        <w:rPr>
          <w:sz w:val="20"/>
          <w:szCs w:val="20"/>
          <w:color w:val="auto"/>
        </w:rPr>
      </w:pPr>
      <w:r>
        <w:rPr>
          <w:rFonts w:ascii="Arial" w:cs="Arial" w:eastAsia="Arial" w:hAnsi="Arial"/>
          <w:sz w:val="15"/>
          <w:szCs w:val="15"/>
          <w:color w:val="auto"/>
        </w:rPr>
        <w:t>As of December 31, 2019, we had federal and state net operating loss carryforwards of $121.8 million and $115.1 million, respectively, and federal and state research and development tax credit carryforwards of approximately $1.0 million and $0.2 million, respectively. If not utilized, the net operating loss carryforwards and research and development credits will generally expire at various dates through 2037 (other than federal net operating loss carryforwards generated in taxable years ending after December 31, 2017, which are not subject to expiration). These net operating loss and tax credit carryforwards could expire unused and be unavailable to offset future income tax liabilities. In addition, under Section 382 Internal Revenue of the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3" w:lineRule="exact"/>
        <w:rPr>
          <w:sz w:val="20"/>
          <w:szCs w:val="20"/>
          <w:color w:val="auto"/>
        </w:rPr>
      </w:pPr>
    </w:p>
    <w:p>
      <w:pPr>
        <w:ind w:right="40" w:firstLine="546"/>
        <w:spacing w:after="0" w:line="309" w:lineRule="auto"/>
        <w:rPr>
          <w:sz w:val="20"/>
          <w:szCs w:val="20"/>
          <w:color w:val="auto"/>
        </w:rPr>
      </w:pPr>
      <w:r>
        <w:rPr>
          <w:rFonts w:ascii="Arial" w:cs="Arial" w:eastAsia="Arial" w:hAnsi="Arial"/>
          <w:sz w:val="15"/>
          <w:szCs w:val="15"/>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55"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59" w:lineRule="exact"/>
        <w:rPr>
          <w:sz w:val="20"/>
          <w:szCs w:val="20"/>
          <w:color w:val="auto"/>
        </w:rPr>
      </w:pPr>
    </w:p>
    <w:p>
      <w:pPr>
        <w:ind w:right="140" w:firstLine="546"/>
        <w:spacing w:after="0" w:line="250"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4" w:lineRule="exact"/>
        <w:rPr>
          <w:sz w:val="20"/>
          <w:szCs w:val="20"/>
          <w:color w:val="auto"/>
        </w:rPr>
      </w:pPr>
    </w:p>
    <w:p>
      <w:pPr>
        <w:ind w:right="140" w:firstLine="546"/>
        <w:spacing w:after="0" w:line="252"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93" w:lineRule="exact"/>
        <w:rPr>
          <w:sz w:val="20"/>
          <w:szCs w:val="20"/>
          <w:color w:val="auto"/>
        </w:rPr>
      </w:pPr>
    </w:p>
    <w:p>
      <w:pPr>
        <w:ind w:right="80" w:firstLine="546"/>
        <w:spacing w:after="0" w:line="26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90" w:lineRule="exact"/>
        <w:rPr>
          <w:sz w:val="20"/>
          <w:szCs w:val="20"/>
          <w:color w:val="auto"/>
        </w:rPr>
      </w:pPr>
    </w:p>
    <w:p>
      <w:pPr>
        <w:ind w:left="560" w:right="520"/>
        <w:spacing w:after="0" w:line="265"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74" w:lineRule="exact"/>
        <w:rPr>
          <w:sz w:val="20"/>
          <w:szCs w:val="20"/>
          <w:color w:val="auto"/>
        </w:rPr>
      </w:pPr>
    </w:p>
    <w:p>
      <w:pPr>
        <w:ind w:right="40" w:firstLine="546"/>
        <w:spacing w:after="0" w:line="249"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9" w:name="page80"/>
    <w:bookmarkEnd w:id="79"/>
    <w:p>
      <w:pPr>
        <w:ind w:right="40" w:firstLine="546"/>
        <w:spacing w:after="0" w:line="307" w:lineRule="auto"/>
        <w:rPr>
          <w:sz w:val="20"/>
          <w:szCs w:val="20"/>
          <w:color w:val="auto"/>
        </w:rPr>
      </w:pPr>
      <w:r>
        <w:rPr>
          <w:rFonts w:ascii="Arial" w:cs="Arial" w:eastAsia="Arial" w:hAnsi="Arial"/>
          <w:sz w:val="15"/>
          <w:szCs w:val="15"/>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55" w:lineRule="exact"/>
        <w:rPr>
          <w:sz w:val="20"/>
          <w:szCs w:val="20"/>
          <w:color w:val="auto"/>
        </w:rPr>
      </w:pPr>
    </w:p>
    <w:p>
      <w:pPr>
        <w:ind w:right="140" w:firstLine="546"/>
        <w:spacing w:after="0" w:line="267"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83" w:lineRule="exact"/>
        <w:rPr>
          <w:sz w:val="20"/>
          <w:szCs w:val="20"/>
          <w:color w:val="auto"/>
        </w:rPr>
      </w:pPr>
    </w:p>
    <w:p>
      <w:pPr>
        <w:ind w:right="80" w:firstLine="546"/>
        <w:spacing w:after="0" w:line="249"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60" w:right="520"/>
        <w:spacing w:after="0" w:line="256"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81" w:lineRule="exact"/>
        <w:rPr>
          <w:sz w:val="20"/>
          <w:szCs w:val="20"/>
          <w:color w:val="auto"/>
        </w:rPr>
      </w:pPr>
    </w:p>
    <w:p>
      <w:pPr>
        <w:ind w:right="200" w:firstLine="546"/>
        <w:spacing w:after="0" w:line="267"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83" w:lineRule="exact"/>
        <w:rPr>
          <w:sz w:val="20"/>
          <w:szCs w:val="20"/>
          <w:color w:val="auto"/>
        </w:rPr>
      </w:pPr>
    </w:p>
    <w:p>
      <w:pPr>
        <w:ind w:firstLine="546"/>
        <w:spacing w:after="0" w:line="313" w:lineRule="auto"/>
        <w:rPr>
          <w:sz w:val="20"/>
          <w:szCs w:val="20"/>
          <w:color w:val="auto"/>
        </w:rPr>
      </w:pPr>
      <w:r>
        <w:rPr>
          <w:rFonts w:ascii="Arial" w:cs="Arial" w:eastAsia="Arial" w:hAnsi="Arial"/>
          <w:sz w:val="15"/>
          <w:szCs w:val="15"/>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50" w:lineRule="exact"/>
        <w:rPr>
          <w:sz w:val="20"/>
          <w:szCs w:val="20"/>
          <w:color w:val="auto"/>
        </w:rPr>
      </w:pPr>
    </w:p>
    <w:p>
      <w:pPr>
        <w:ind w:right="100" w:firstLine="546"/>
        <w:spacing w:after="0" w:line="265"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80" w:name="page81"/>
    <w:bookmarkEnd w:id="80"/>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2"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72" w:lineRule="exact"/>
        <w:rPr>
          <w:sz w:val="20"/>
          <w:szCs w:val="20"/>
          <w:color w:val="auto"/>
        </w:rPr>
      </w:pPr>
    </w:p>
    <w:p>
      <w:pPr>
        <w:ind w:right="20" w:firstLine="546"/>
        <w:spacing w:after="0" w:line="24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6" w:lineRule="exact"/>
        <w:rPr>
          <w:sz w:val="20"/>
          <w:szCs w:val="20"/>
          <w:color w:val="auto"/>
        </w:rPr>
      </w:pPr>
    </w:p>
    <w:p>
      <w:pPr>
        <w:ind w:left="560" w:right="120"/>
        <w:spacing w:after="0" w:line="265"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74" w:lineRule="exact"/>
        <w:rPr>
          <w:sz w:val="20"/>
          <w:szCs w:val="20"/>
          <w:color w:val="auto"/>
        </w:rPr>
      </w:pPr>
    </w:p>
    <w:p>
      <w:pPr>
        <w:ind w:right="40" w:firstLine="546"/>
        <w:spacing w:after="0" w:line="302" w:lineRule="auto"/>
        <w:rPr>
          <w:sz w:val="20"/>
          <w:szCs w:val="20"/>
          <w:color w:val="auto"/>
        </w:rPr>
      </w:pPr>
      <w:r>
        <w:rPr>
          <w:rFonts w:ascii="Arial" w:cs="Arial" w:eastAsia="Arial" w:hAnsi="Arial"/>
          <w:sz w:val="15"/>
          <w:szCs w:val="15"/>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58" w:lineRule="exact"/>
        <w:rPr>
          <w:sz w:val="20"/>
          <w:szCs w:val="20"/>
          <w:color w:val="auto"/>
        </w:rPr>
      </w:pPr>
    </w:p>
    <w:p>
      <w:pPr>
        <w:ind w:right="20" w:firstLine="546"/>
        <w:spacing w:after="0" w:line="264"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81" w:name="page82"/>
    <w:bookmarkEnd w:id="81"/>
    <w:p>
      <w:pPr>
        <w:ind w:left="560" w:right="80"/>
        <w:spacing w:after="0" w:line="366" w:lineRule="auto"/>
        <w:rPr>
          <w:sz w:val="20"/>
          <w:szCs w:val="20"/>
          <w:color w:val="auto"/>
        </w:rPr>
      </w:pPr>
      <w:r>
        <w:rPr>
          <w:rFonts w:ascii="Arial" w:cs="Arial" w:eastAsia="Arial" w:hAnsi="Arial"/>
          <w:sz w:val="15"/>
          <w:szCs w:val="15"/>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55" w:lineRule="exact"/>
        <w:rPr>
          <w:sz w:val="20"/>
          <w:szCs w:val="20"/>
          <w:color w:val="auto"/>
        </w:rPr>
      </w:pPr>
    </w:p>
    <w:p>
      <w:pPr>
        <w:ind w:right="220" w:firstLine="546"/>
        <w:spacing w:after="0" w:line="269"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46" w:lineRule="exact"/>
        <w:rPr>
          <w:sz w:val="20"/>
          <w:szCs w:val="20"/>
          <w:color w:val="auto"/>
        </w:rPr>
      </w:pPr>
    </w:p>
    <w:p>
      <w:pPr>
        <w:ind w:right="80" w:firstLine="546"/>
        <w:spacing w:after="0" w:line="305" w:lineRule="auto"/>
        <w:rPr>
          <w:sz w:val="20"/>
          <w:szCs w:val="20"/>
          <w:color w:val="auto"/>
        </w:rPr>
      </w:pPr>
      <w:r>
        <w:rPr>
          <w:rFonts w:ascii="Arial" w:cs="Arial" w:eastAsia="Arial" w:hAnsi="Arial"/>
          <w:sz w:val="15"/>
          <w:szCs w:val="15"/>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65" w:lineRule="exact"/>
        <w:rPr>
          <w:sz w:val="20"/>
          <w:szCs w:val="20"/>
          <w:color w:val="auto"/>
        </w:rPr>
      </w:pPr>
    </w:p>
    <w:p>
      <w:pPr>
        <w:ind w:left="560"/>
        <w:spacing w:after="0" w:line="278"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64" w:lineRule="exact"/>
        <w:rPr>
          <w:sz w:val="20"/>
          <w:szCs w:val="20"/>
          <w:color w:val="auto"/>
        </w:rPr>
      </w:pPr>
    </w:p>
    <w:p>
      <w:pPr>
        <w:ind w:right="20" w:firstLine="546"/>
        <w:spacing w:after="0" w:line="263" w:lineRule="auto"/>
        <w:rPr>
          <w:sz w:val="20"/>
          <w:szCs w:val="20"/>
          <w:color w:val="auto"/>
        </w:rPr>
      </w:pPr>
      <w:r>
        <w:rPr>
          <w:rFonts w:ascii="Arial" w:cs="Arial" w:eastAsia="Arial" w:hAnsi="Arial"/>
          <w:sz w:val="17"/>
          <w:szCs w:val="17"/>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658" w:right="399" w:bottom="1440" w:gutter="0" w:footer="0" w:header="0"/>
        </w:sectPr>
      </w:pPr>
    </w:p>
    <w:bookmarkStart w:id="82" w:name="page83"/>
    <w:bookmarkEnd w:id="82"/>
    <w:p>
      <w:pPr>
        <w:ind w:right="20"/>
        <w:spacing w:after="0" w:line="250" w:lineRule="auto"/>
        <w:rPr>
          <w:sz w:val="20"/>
          <w:szCs w:val="20"/>
          <w:color w:val="auto"/>
        </w:rPr>
      </w:pPr>
      <w:r>
        <w:rPr>
          <w:rFonts w:ascii="Arial" w:cs="Arial" w:eastAsia="Arial" w:hAnsi="Arial"/>
          <w:sz w:val="18"/>
          <w:szCs w:val="18"/>
          <w:color w:val="auto"/>
        </w:rPr>
        <w:t>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product candidates.</w:t>
      </w:r>
    </w:p>
    <w:p>
      <w:pPr>
        <w:spacing w:after="0" w:line="146" w:lineRule="exact"/>
        <w:rPr>
          <w:sz w:val="20"/>
          <w:szCs w:val="20"/>
          <w:color w:val="auto"/>
        </w:rPr>
      </w:pPr>
    </w:p>
    <w:p>
      <w:pPr>
        <w:ind w:right="20" w:firstLine="546"/>
        <w:spacing w:after="0" w:line="297" w:lineRule="auto"/>
        <w:rPr>
          <w:sz w:val="20"/>
          <w:szCs w:val="20"/>
          <w:color w:val="auto"/>
        </w:rPr>
      </w:pPr>
      <w:r>
        <w:rPr>
          <w:rFonts w:ascii="Arial" w:cs="Arial" w:eastAsia="Arial" w:hAnsi="Arial"/>
          <w:sz w:val="15"/>
          <w:szCs w:val="15"/>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w:t>
      </w:r>
    </w:p>
    <w:p>
      <w:pPr>
        <w:spacing w:after="0" w:line="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2" w:lineRule="exact"/>
        <w:rPr>
          <w:sz w:val="20"/>
          <w:szCs w:val="20"/>
          <w:color w:val="auto"/>
        </w:rPr>
      </w:pPr>
    </w:p>
    <w:p>
      <w:pPr>
        <w:ind w:right="40" w:firstLine="546"/>
        <w:spacing w:after="0" w:line="300" w:lineRule="auto"/>
        <w:rPr>
          <w:sz w:val="20"/>
          <w:szCs w:val="20"/>
          <w:color w:val="auto"/>
        </w:rPr>
      </w:pPr>
      <w:r>
        <w:rPr>
          <w:rFonts w:ascii="Arial" w:cs="Arial" w:eastAsia="Arial" w:hAnsi="Arial"/>
          <w:sz w:val="15"/>
          <w:szCs w:val="15"/>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378" w:lineRule="exact"/>
        <w:rPr>
          <w:sz w:val="20"/>
          <w:szCs w:val="20"/>
          <w:color w:val="auto"/>
        </w:rPr>
      </w:pPr>
    </w:p>
    <w:p>
      <w:pPr>
        <w:ind w:right="40" w:firstLine="546"/>
        <w:spacing w:after="0" w:line="331" w:lineRule="auto"/>
        <w:rPr>
          <w:sz w:val="20"/>
          <w:szCs w:val="20"/>
          <w:color w:val="auto"/>
        </w:rPr>
      </w:pPr>
      <w:r>
        <w:rPr>
          <w:rFonts w:ascii="Arial" w:cs="Arial" w:eastAsia="Arial" w:hAnsi="Arial"/>
          <w:sz w:val="15"/>
          <w:szCs w:val="15"/>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36" w:lineRule="exact"/>
        <w:rPr>
          <w:sz w:val="20"/>
          <w:szCs w:val="20"/>
          <w:color w:val="auto"/>
        </w:rPr>
      </w:pPr>
    </w:p>
    <w:p>
      <w:pPr>
        <w:ind w:right="80" w:firstLine="546"/>
        <w:spacing w:after="0" w:line="313" w:lineRule="auto"/>
        <w:rPr>
          <w:sz w:val="20"/>
          <w:szCs w:val="20"/>
          <w:color w:val="auto"/>
        </w:rPr>
      </w:pPr>
      <w:r>
        <w:rPr>
          <w:rFonts w:ascii="Arial" w:cs="Arial" w:eastAsia="Arial" w:hAnsi="Arial"/>
          <w:sz w:val="15"/>
          <w:szCs w:val="15"/>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83" w:name="page84"/>
    <w:bookmarkEnd w:id="83"/>
    <w:p>
      <w:pPr>
        <w:ind w:right="100" w:firstLine="546"/>
        <w:spacing w:after="0" w:line="267"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3" w:lineRule="exact"/>
        <w:rPr>
          <w:sz w:val="20"/>
          <w:szCs w:val="20"/>
          <w:color w:val="auto"/>
        </w:rPr>
      </w:pPr>
    </w:p>
    <w:p>
      <w:pPr>
        <w:ind w:firstLine="546"/>
        <w:spacing w:after="0" w:line="302" w:lineRule="auto"/>
        <w:rPr>
          <w:sz w:val="20"/>
          <w:szCs w:val="20"/>
          <w:color w:val="auto"/>
        </w:rPr>
      </w:pPr>
      <w:r>
        <w:rPr>
          <w:rFonts w:ascii="Arial" w:cs="Arial" w:eastAsia="Arial" w:hAnsi="Arial"/>
          <w:sz w:val="15"/>
          <w:szCs w:val="15"/>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00" w:lineRule="exact"/>
        <w:rPr>
          <w:sz w:val="20"/>
          <w:szCs w:val="20"/>
          <w:color w:val="auto"/>
        </w:rPr>
      </w:pPr>
    </w:p>
    <w:p>
      <w:pPr>
        <w:spacing w:after="0" w:line="281" w:lineRule="exact"/>
        <w:rPr>
          <w:sz w:val="20"/>
          <w:szCs w:val="20"/>
          <w:color w:val="auto"/>
        </w:rPr>
      </w:pPr>
    </w:p>
    <w:p>
      <w:pPr>
        <w:ind w:left="560" w:right="20"/>
        <w:spacing w:after="0" w:line="26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4" w:lineRule="exact"/>
        <w:rPr>
          <w:sz w:val="20"/>
          <w:szCs w:val="20"/>
          <w:color w:val="auto"/>
        </w:rPr>
      </w:pPr>
    </w:p>
    <w:p>
      <w:pPr>
        <w:ind w:right="120" w:firstLine="546"/>
        <w:spacing w:after="0" w:line="303" w:lineRule="auto"/>
        <w:rPr>
          <w:sz w:val="20"/>
          <w:szCs w:val="20"/>
          <w:color w:val="auto"/>
        </w:rPr>
      </w:pPr>
      <w:r>
        <w:rPr>
          <w:rFonts w:ascii="Arial" w:cs="Arial" w:eastAsia="Arial" w:hAnsi="Arial"/>
          <w:sz w:val="15"/>
          <w:szCs w:val="15"/>
          <w:color w:val="auto"/>
        </w:rPr>
        <w:t>We have pending trademark applications with the USPTO for the marks “plato” and “AVROBIO”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0" w:lineRule="exact"/>
        <w:rPr>
          <w:sz w:val="20"/>
          <w:szCs w:val="20"/>
          <w:color w:val="auto"/>
        </w:rPr>
      </w:pP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2" w:lineRule="exact"/>
        <w:rPr>
          <w:sz w:val="20"/>
          <w:szCs w:val="20"/>
          <w:color w:val="auto"/>
        </w:rPr>
      </w:pPr>
    </w:p>
    <w:p>
      <w:pPr>
        <w:ind w:right="120" w:firstLine="546"/>
        <w:spacing w:after="0" w:line="26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4" w:lineRule="exact"/>
        <w:rPr>
          <w:sz w:val="20"/>
          <w:szCs w:val="20"/>
          <w:color w:val="auto"/>
        </w:rPr>
      </w:pPr>
    </w:p>
    <w:p>
      <w:pPr>
        <w:ind w:left="940" w:right="80" w:hanging="389"/>
        <w:spacing w:after="0" w:line="265" w:lineRule="auto"/>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4" w:lineRule="exact"/>
        <w:rPr>
          <w:rFonts w:ascii="Arial" w:cs="Arial" w:eastAsia="Arial" w:hAnsi="Arial"/>
          <w:sz w:val="18"/>
          <w:szCs w:val="18"/>
          <w:color w:val="auto"/>
        </w:rPr>
      </w:pPr>
    </w:p>
    <w:p>
      <w:pPr>
        <w:ind w:left="940" w:right="140" w:hanging="389"/>
        <w:spacing w:after="0" w:line="265" w:lineRule="auto"/>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4" w:lineRule="exact"/>
        <w:rPr>
          <w:rFonts w:ascii="Arial" w:cs="Arial" w:eastAsia="Arial" w:hAnsi="Arial"/>
          <w:sz w:val="18"/>
          <w:szCs w:val="18"/>
          <w:color w:val="auto"/>
        </w:rPr>
      </w:pPr>
    </w:p>
    <w:p>
      <w:pPr>
        <w:ind w:left="940" w:right="40" w:hanging="389"/>
        <w:spacing w:after="0" w:line="265" w:lineRule="auto"/>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84" w:name="page85"/>
    <w:bookmarkEnd w:id="84"/>
    <w:p>
      <w:pPr>
        <w:ind w:left="940" w:right="440" w:hanging="389"/>
        <w:spacing w:after="0" w:line="265"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it is possible that our pending licensed patent applications or those that we may own or license in the future will not lead to issued patents;</w:t>
      </w:r>
    </w:p>
    <w:p>
      <w:pPr>
        <w:spacing w:after="0" w:line="146" w:lineRule="exact"/>
        <w:rPr>
          <w:rFonts w:ascii="Arial" w:cs="Arial" w:eastAsia="Arial" w:hAnsi="Arial"/>
          <w:sz w:val="15"/>
          <w:szCs w:val="15"/>
          <w:color w:val="auto"/>
        </w:rPr>
      </w:pPr>
    </w:p>
    <w:p>
      <w:pPr>
        <w:ind w:left="940" w:right="500" w:hanging="389"/>
        <w:spacing w:after="0" w:line="265"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1" w:lineRule="exact"/>
        <w:rPr>
          <w:rFonts w:ascii="Arial" w:cs="Arial" w:eastAsia="Arial" w:hAnsi="Arial"/>
          <w:sz w:val="18"/>
          <w:szCs w:val="18"/>
          <w:color w:val="auto"/>
        </w:rPr>
      </w:pPr>
    </w:p>
    <w:p>
      <w:pPr>
        <w:ind w:left="940" w:right="40" w:hanging="389"/>
        <w:spacing w:after="0" w:line="265"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1" w:lineRule="exact"/>
        <w:rPr>
          <w:rFonts w:ascii="Arial" w:cs="Arial" w:eastAsia="Arial" w:hAnsi="Arial"/>
          <w:sz w:val="18"/>
          <w:szCs w:val="18"/>
          <w:color w:val="auto"/>
        </w:rPr>
      </w:pPr>
    </w:p>
    <w:p>
      <w:pPr>
        <w:ind w:left="940" w:right="40" w:hanging="389"/>
        <w:spacing w:after="0" w:line="265"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8" w:lineRule="exact"/>
        <w:rPr>
          <w:sz w:val="20"/>
          <w:szCs w:val="20"/>
          <w:color w:val="auto"/>
        </w:rPr>
      </w:pPr>
    </w:p>
    <w:p>
      <w:pPr>
        <w:ind w:left="560" w:right="280"/>
        <w:spacing w:after="0" w:line="265"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74" w:lineRule="exact"/>
        <w:rPr>
          <w:sz w:val="20"/>
          <w:szCs w:val="20"/>
          <w:color w:val="auto"/>
        </w:rPr>
      </w:pPr>
    </w:p>
    <w:p>
      <w:pPr>
        <w:ind w:firstLine="546"/>
        <w:spacing w:after="0" w:line="319" w:lineRule="auto"/>
        <w:rPr>
          <w:sz w:val="20"/>
          <w:szCs w:val="20"/>
          <w:color w:val="auto"/>
        </w:rPr>
      </w:pPr>
      <w:r>
        <w:rPr>
          <w:rFonts w:ascii="Arial" w:cs="Arial" w:eastAsia="Arial" w:hAnsi="Arial"/>
          <w:sz w:val="15"/>
          <w:szCs w:val="15"/>
          <w:color w:val="auto"/>
        </w:rPr>
        <w:t>Our stock price is likely to be volatile. Since our initial public offering, or IPO, in June 2018, through March 6, 2020, the trading price of our common stock has ranged from $11.85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39" w:lineRule="exact"/>
        <w:rPr>
          <w:sz w:val="20"/>
          <w:szCs w:val="20"/>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1" w:lineRule="exact"/>
        <w:rPr>
          <w:rFonts w:ascii="Arial" w:cs="Arial" w:eastAsia="Arial" w:hAnsi="Arial"/>
          <w:sz w:val="18"/>
          <w:szCs w:val="18"/>
          <w:color w:val="auto"/>
        </w:rPr>
      </w:pPr>
    </w:p>
    <w:p>
      <w:pPr>
        <w:ind w:left="940" w:right="500" w:hanging="389"/>
        <w:spacing w:after="0" w:line="265" w:lineRule="auto"/>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4" w:lineRule="exact"/>
        <w:rPr>
          <w:rFonts w:ascii="Arial" w:cs="Arial" w:eastAsia="Arial" w:hAnsi="Arial"/>
          <w:sz w:val="18"/>
          <w:szCs w:val="18"/>
          <w:color w:val="auto"/>
        </w:rPr>
      </w:pPr>
    </w:p>
    <w:p>
      <w:pPr>
        <w:ind w:left="940" w:right="160" w:hanging="389"/>
        <w:spacing w:after="0" w:line="265" w:lineRule="auto"/>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446" w:right="379" w:bottom="1440" w:gutter="0" w:footer="0" w:header="0"/>
        </w:sectPr>
      </w:pPr>
    </w:p>
    <w:bookmarkStart w:id="85" w:name="page86"/>
    <w:bookmarkEnd w:id="85"/>
    <w:p>
      <w:pPr>
        <w:ind w:left="940" w:hanging="3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18" w:lineRule="exact"/>
        <w:rPr>
          <w:sz w:val="20"/>
          <w:szCs w:val="20"/>
          <w:color w:val="auto"/>
        </w:rPr>
      </w:pPr>
    </w:p>
    <w:p>
      <w:pPr>
        <w:ind w:right="60" w:firstLine="546"/>
        <w:spacing w:after="0" w:line="278"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2" w:lineRule="exact"/>
        <w:rPr>
          <w:sz w:val="20"/>
          <w:szCs w:val="20"/>
          <w:color w:val="auto"/>
        </w:rPr>
      </w:pPr>
    </w:p>
    <w:p>
      <w:pPr>
        <w:jc w:val="both"/>
        <w:ind w:firstLine="546"/>
        <w:spacing w:after="0" w:line="278"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2" w:lineRule="exact"/>
        <w:rPr>
          <w:sz w:val="20"/>
          <w:szCs w:val="20"/>
          <w:color w:val="auto"/>
        </w:rPr>
      </w:pPr>
    </w:p>
    <w:p>
      <w:pPr>
        <w:jc w:val="both"/>
        <w:ind w:right="200" w:firstLine="546"/>
        <w:spacing w:after="0" w:line="256"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8" w:lineRule="exact"/>
        <w:rPr>
          <w:sz w:val="20"/>
          <w:szCs w:val="20"/>
          <w:color w:val="auto"/>
        </w:rPr>
      </w:pPr>
    </w:p>
    <w:p>
      <w:pPr>
        <w:ind w:right="160" w:firstLine="546"/>
        <w:spacing w:after="0" w:line="265"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87" w:lineRule="exact"/>
        <w:rPr>
          <w:sz w:val="20"/>
          <w:szCs w:val="20"/>
          <w:color w:val="auto"/>
        </w:rPr>
      </w:pPr>
    </w:p>
    <w:p>
      <w:pPr>
        <w:ind w:left="560" w:right="24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74"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6" w:lineRule="exact"/>
        <w:rPr>
          <w:sz w:val="20"/>
          <w:szCs w:val="20"/>
          <w:color w:val="auto"/>
        </w:rPr>
      </w:pPr>
    </w:p>
    <w:p>
      <w:pPr>
        <w:ind w:left="560" w:right="300"/>
        <w:spacing w:after="0" w:line="265"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74" w:lineRule="exact"/>
        <w:rPr>
          <w:sz w:val="20"/>
          <w:szCs w:val="20"/>
          <w:color w:val="auto"/>
        </w:rPr>
      </w:pPr>
    </w:p>
    <w:p>
      <w:pPr>
        <w:ind w:right="20" w:firstLine="546"/>
        <w:spacing w:after="0" w:line="305" w:lineRule="auto"/>
        <w:rPr>
          <w:sz w:val="20"/>
          <w:szCs w:val="20"/>
          <w:color w:val="auto"/>
        </w:rPr>
      </w:pPr>
      <w:r>
        <w:rPr>
          <w:rFonts w:ascii="Arial" w:cs="Arial" w:eastAsia="Arial" w:hAnsi="Arial"/>
          <w:sz w:val="15"/>
          <w:szCs w:val="15"/>
          <w:color w:val="auto"/>
        </w:rPr>
        <w:t>Based on shares outstanding as of March 6, 2020, our executive officers, directors, five percent stockholders and their affiliates beneficially owned approximately 28% of our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86" w:name="page87"/>
    <w:bookmarkEnd w:id="86"/>
    <w:p>
      <w:pPr>
        <w:ind w:left="560" w:right="580"/>
        <w:spacing w:after="0" w:line="26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74" w:lineRule="exact"/>
        <w:rPr>
          <w:sz w:val="20"/>
          <w:szCs w:val="20"/>
          <w:color w:val="auto"/>
        </w:rPr>
      </w:pPr>
    </w:p>
    <w:p>
      <w:pPr>
        <w:ind w:right="20" w:firstLine="546"/>
        <w:spacing w:after="0" w:line="249"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90" w:lineRule="exact"/>
        <w:rPr>
          <w:sz w:val="20"/>
          <w:szCs w:val="20"/>
          <w:color w:val="auto"/>
        </w:rPr>
      </w:pPr>
    </w:p>
    <w:p>
      <w:pPr>
        <w:ind w:left="940" w:hanging="389"/>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1" w:lineRule="exact"/>
        <w:rPr>
          <w:rFonts w:ascii="Arial" w:cs="Arial" w:eastAsia="Arial" w:hAnsi="Arial"/>
          <w:sz w:val="18"/>
          <w:szCs w:val="18"/>
          <w:color w:val="auto"/>
        </w:rPr>
      </w:pPr>
    </w:p>
    <w:p>
      <w:pPr>
        <w:ind w:left="940" w:right="680" w:hanging="389"/>
        <w:spacing w:after="0" w:line="256" w:lineRule="auto"/>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Arial" w:cs="Arial" w:eastAsia="Arial" w:hAnsi="Arial"/>
          <w:sz w:val="18"/>
          <w:szCs w:val="18"/>
          <w:color w:val="auto"/>
        </w:rPr>
      </w:pPr>
    </w:p>
    <w:p>
      <w:pPr>
        <w:ind w:left="940" w:right="340" w:hanging="389"/>
        <w:spacing w:after="0" w:line="366" w:lineRule="auto"/>
        <w:tabs>
          <w:tab w:leader="none" w:pos="9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 w:lineRule="exact"/>
        <w:rPr>
          <w:rFonts w:ascii="Arial" w:cs="Arial" w:eastAsia="Arial" w:hAnsi="Arial"/>
          <w:sz w:val="15"/>
          <w:szCs w:val="15"/>
          <w:color w:val="auto"/>
        </w:rPr>
      </w:pPr>
    </w:p>
    <w:p>
      <w:pPr>
        <w:ind w:left="940" w:hanging="389"/>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0" w:lineRule="exact"/>
        <w:rPr>
          <w:sz w:val="20"/>
          <w:szCs w:val="20"/>
          <w:color w:val="auto"/>
        </w:rPr>
      </w:pPr>
    </w:p>
    <w:p>
      <w:pPr>
        <w:ind w:right="220" w:firstLine="546"/>
        <w:spacing w:after="0" w:line="251"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report. In particular, we have not included in this report, and do not intend to include in our 2020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93" w:lineRule="exact"/>
        <w:rPr>
          <w:sz w:val="20"/>
          <w:szCs w:val="20"/>
          <w:color w:val="auto"/>
        </w:rPr>
      </w:pPr>
    </w:p>
    <w:p>
      <w:pPr>
        <w:ind w:right="180" w:firstLine="546"/>
        <w:spacing w:after="0" w:line="272"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6" w:lineRule="exact"/>
        <w:rPr>
          <w:sz w:val="20"/>
          <w:szCs w:val="20"/>
          <w:color w:val="auto"/>
        </w:rPr>
      </w:pPr>
    </w:p>
    <w:p>
      <w:pPr>
        <w:ind w:right="180" w:firstLine="546"/>
        <w:spacing w:after="0" w:line="25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4" w:lineRule="exact"/>
        <w:rPr>
          <w:sz w:val="20"/>
          <w:szCs w:val="20"/>
          <w:color w:val="auto"/>
        </w:rPr>
      </w:pPr>
    </w:p>
    <w:p>
      <w:pPr>
        <w:ind w:left="560" w:right="80"/>
        <w:spacing w:after="0" w:line="265"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74" w:lineRule="exact"/>
        <w:rPr>
          <w:sz w:val="20"/>
          <w:szCs w:val="20"/>
          <w:color w:val="auto"/>
        </w:rPr>
      </w:pPr>
    </w:p>
    <w:p>
      <w:pPr>
        <w:ind w:firstLine="546"/>
        <w:spacing w:after="0" w:line="249"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87" w:name="page88"/>
    <w:bookmarkEnd w:id="87"/>
    <w:p>
      <w:pPr>
        <w:ind w:firstLine="546"/>
        <w:spacing w:after="0" w:line="26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60" w:right="80"/>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81" w:lineRule="exact"/>
        <w:rPr>
          <w:sz w:val="20"/>
          <w:szCs w:val="20"/>
          <w:color w:val="auto"/>
        </w:rPr>
      </w:pPr>
    </w:p>
    <w:p>
      <w:pPr>
        <w:ind w:right="260" w:firstLine="546"/>
        <w:spacing w:after="0" w:line="266"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83" w:lineRule="exact"/>
        <w:rPr>
          <w:sz w:val="20"/>
          <w:szCs w:val="20"/>
          <w:color w:val="auto"/>
        </w:rPr>
      </w:pPr>
    </w:p>
    <w:p>
      <w:pPr>
        <w:ind w:right="20" w:firstLine="546"/>
        <w:spacing w:after="0" w:line="249"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1" w:lineRule="exact"/>
        <w:rPr>
          <w:sz w:val="20"/>
          <w:szCs w:val="20"/>
          <w:color w:val="auto"/>
        </w:rPr>
      </w:pPr>
    </w:p>
    <w:p>
      <w:pPr>
        <w:ind w:left="560" w:right="40"/>
        <w:spacing w:after="0" w:line="313" w:lineRule="auto"/>
        <w:rPr>
          <w:sz w:val="20"/>
          <w:szCs w:val="20"/>
          <w:color w:val="auto"/>
        </w:rPr>
      </w:pPr>
      <w:r>
        <w:rPr>
          <w:rFonts w:ascii="Arial" w:cs="Arial" w:eastAsia="Arial" w:hAnsi="Arial"/>
          <w:sz w:val="15"/>
          <w:szCs w:val="15"/>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57" w:lineRule="exact"/>
        <w:rPr>
          <w:sz w:val="20"/>
          <w:szCs w:val="20"/>
          <w:color w:val="auto"/>
        </w:rPr>
      </w:pPr>
    </w:p>
    <w:p>
      <w:pPr>
        <w:ind w:right="200" w:firstLine="546"/>
        <w:spacing w:after="0" w:line="251" w:lineRule="auto"/>
        <w:rPr>
          <w:sz w:val="20"/>
          <w:szCs w:val="20"/>
          <w:color w:val="auto"/>
        </w:rPr>
      </w:pPr>
      <w:r>
        <w:rPr>
          <w:rFonts w:ascii="Arial" w:cs="Arial" w:eastAsia="Arial" w:hAnsi="Arial"/>
          <w:sz w:val="18"/>
          <w:szCs w:val="18"/>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we took a number of actions, including the efforts outlined in Item 9A of this Annual Report on Form 10-K, designed to improve our internal control over financial reporting to remediate these material weaknesses.</w:t>
      </w:r>
    </w:p>
    <w:p>
      <w:pPr>
        <w:spacing w:after="0" w:line="193" w:lineRule="exact"/>
        <w:rPr>
          <w:sz w:val="20"/>
          <w:szCs w:val="20"/>
          <w:color w:val="auto"/>
        </w:rPr>
      </w:pPr>
    </w:p>
    <w:p>
      <w:pPr>
        <w:ind w:right="40" w:firstLine="546"/>
        <w:spacing w:after="0" w:line="252" w:lineRule="auto"/>
        <w:rPr>
          <w:sz w:val="20"/>
          <w:szCs w:val="20"/>
          <w:color w:val="auto"/>
        </w:rPr>
      </w:pPr>
      <w:r>
        <w:rPr>
          <w:rFonts w:ascii="Arial" w:cs="Arial" w:eastAsia="Arial" w:hAnsi="Arial"/>
          <w:sz w:val="18"/>
          <w:szCs w:val="18"/>
          <w:color w:val="auto"/>
        </w:rPr>
        <w:t>We believe significant progress was made in 2019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has concluded that the material weaknesses were not fully remediated as of December 31, 2019.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88" w:name="page89"/>
    <w:bookmarkEnd w:id="88"/>
    <w:p>
      <w:pPr>
        <w:ind w:firstLine="546"/>
        <w:spacing w:after="0" w:line="307" w:lineRule="auto"/>
        <w:rPr>
          <w:sz w:val="20"/>
          <w:szCs w:val="20"/>
          <w:color w:val="auto"/>
        </w:rPr>
      </w:pPr>
      <w:r>
        <w:rPr>
          <w:rFonts w:ascii="Arial" w:cs="Arial" w:eastAsia="Arial" w:hAnsi="Arial"/>
          <w:sz w:val="15"/>
          <w:szCs w:val="15"/>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ind w:right="40" w:firstLine="546"/>
        <w:spacing w:after="0" w:line="307" w:lineRule="auto"/>
        <w:rPr>
          <w:sz w:val="20"/>
          <w:szCs w:val="20"/>
          <w:color w:val="auto"/>
        </w:rPr>
      </w:pPr>
      <w:r>
        <w:rPr>
          <w:rFonts w:ascii="Arial" w:cs="Arial" w:eastAsia="Arial" w:hAnsi="Arial"/>
          <w:sz w:val="15"/>
          <w:szCs w:val="15"/>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62" w:lineRule="exact"/>
        <w:rPr>
          <w:sz w:val="20"/>
          <w:szCs w:val="20"/>
          <w:color w:val="auto"/>
        </w:rPr>
      </w:pPr>
    </w:p>
    <w:p>
      <w:pPr>
        <w:ind w:left="560"/>
        <w:spacing w:after="0" w:line="265"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74" w:lineRule="exact"/>
        <w:rPr>
          <w:sz w:val="20"/>
          <w:szCs w:val="20"/>
          <w:color w:val="auto"/>
        </w:rPr>
      </w:pPr>
    </w:p>
    <w:p>
      <w:pPr>
        <w:ind w:right="20" w:firstLine="546"/>
        <w:spacing w:after="0" w:line="307"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March 6, 2020,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3,414,445 shares reserved for issuance upon the exercise of existing stock options outstanding as of December 31, 2019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2" w:lineRule="exact"/>
        <w:rPr>
          <w:sz w:val="20"/>
          <w:szCs w:val="20"/>
          <w:color w:val="auto"/>
        </w:rPr>
      </w:pPr>
    </w:p>
    <w:p>
      <w:pPr>
        <w:ind w:right="180" w:firstLine="546"/>
        <w:spacing w:after="0" w:line="313" w:lineRule="auto"/>
        <w:rPr>
          <w:sz w:val="20"/>
          <w:szCs w:val="20"/>
          <w:color w:val="auto"/>
        </w:rPr>
      </w:pPr>
      <w:r>
        <w:rPr>
          <w:rFonts w:ascii="Arial" w:cs="Arial" w:eastAsia="Arial" w:hAnsi="Arial"/>
          <w:sz w:val="15"/>
          <w:szCs w:val="15"/>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56" w:lineRule="exact"/>
        <w:rPr>
          <w:sz w:val="20"/>
          <w:szCs w:val="20"/>
          <w:color w:val="auto"/>
        </w:rPr>
      </w:pPr>
    </w:p>
    <w:p>
      <w:pPr>
        <w:ind w:left="560" w:right="120"/>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81" w:lineRule="exact"/>
        <w:rPr>
          <w:sz w:val="20"/>
          <w:szCs w:val="20"/>
          <w:color w:val="auto"/>
        </w:rPr>
      </w:pPr>
    </w:p>
    <w:p>
      <w:pPr>
        <w:ind w:right="60" w:firstLine="546"/>
        <w:spacing w:after="0" w:line="256"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1" w:lineRule="exact"/>
        <w:rPr>
          <w:sz w:val="20"/>
          <w:szCs w:val="20"/>
          <w:color w:val="auto"/>
        </w:rPr>
      </w:pPr>
    </w:p>
    <w:p>
      <w:pPr>
        <w:ind w:left="940" w:right="140" w:hanging="389"/>
        <w:spacing w:after="0" w:line="265" w:lineRule="auto"/>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1" w:lineRule="exact"/>
        <w:rPr>
          <w:rFonts w:ascii="Arial" w:cs="Arial" w:eastAsia="Arial" w:hAnsi="Arial"/>
          <w:sz w:val="18"/>
          <w:szCs w:val="18"/>
          <w:color w:val="auto"/>
        </w:rPr>
      </w:pPr>
    </w:p>
    <w:p>
      <w:pPr>
        <w:ind w:left="940" w:right="40" w:hanging="389"/>
        <w:spacing w:after="0" w:line="265" w:lineRule="auto"/>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1" w:lineRule="exact"/>
        <w:rPr>
          <w:rFonts w:ascii="Arial" w:cs="Arial" w:eastAsia="Arial" w:hAnsi="Arial"/>
          <w:sz w:val="18"/>
          <w:szCs w:val="18"/>
          <w:color w:val="auto"/>
        </w:rPr>
      </w:pPr>
    </w:p>
    <w:p>
      <w:pPr>
        <w:ind w:left="940" w:right="60" w:hanging="389"/>
        <w:spacing w:after="0" w:line="265" w:lineRule="auto"/>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9" w:name="page90"/>
    <w:bookmarkEnd w:id="89"/>
    <w:p>
      <w:pPr>
        <w:ind w:left="940" w:hanging="389"/>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majority of directors then in office, even though less than a quorum;</w:t>
      </w:r>
    </w:p>
    <w:p>
      <w:pPr>
        <w:spacing w:after="0" w:line="146" w:lineRule="exact"/>
        <w:rPr>
          <w:rFonts w:ascii="Arial" w:cs="Arial" w:eastAsia="Arial" w:hAnsi="Arial"/>
          <w:sz w:val="15"/>
          <w:szCs w:val="15"/>
          <w:color w:val="auto"/>
        </w:rPr>
      </w:pPr>
    </w:p>
    <w:p>
      <w:pPr>
        <w:ind w:left="940" w:hanging="389"/>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1" w:lineRule="exact"/>
        <w:rPr>
          <w:rFonts w:ascii="Arial" w:cs="Arial" w:eastAsia="Arial" w:hAnsi="Arial"/>
          <w:sz w:val="18"/>
          <w:szCs w:val="18"/>
          <w:color w:val="auto"/>
        </w:rPr>
      </w:pPr>
    </w:p>
    <w:p>
      <w:pPr>
        <w:ind w:left="940" w:right="160" w:hanging="389"/>
        <w:spacing w:after="0" w:line="256" w:lineRule="auto"/>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18" w:lineRule="exact"/>
        <w:rPr>
          <w:sz w:val="20"/>
          <w:szCs w:val="20"/>
          <w:color w:val="auto"/>
        </w:rPr>
      </w:pPr>
    </w:p>
    <w:p>
      <w:pPr>
        <w:ind w:right="220" w:firstLine="546"/>
        <w:spacing w:after="0" w:line="295"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57" w:lineRule="exact"/>
        <w:rPr>
          <w:sz w:val="20"/>
          <w:szCs w:val="20"/>
          <w:color w:val="auto"/>
        </w:rPr>
      </w:pPr>
    </w:p>
    <w:p>
      <w:pPr>
        <w:ind w:right="380" w:firstLine="546"/>
        <w:spacing w:after="0" w:line="256"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4" w:lineRule="exact"/>
        <w:rPr>
          <w:sz w:val="20"/>
          <w:szCs w:val="20"/>
          <w:color w:val="auto"/>
        </w:rPr>
      </w:pPr>
    </w:p>
    <w:p>
      <w:pPr>
        <w:ind w:left="560" w:right="120"/>
        <w:spacing w:after="0" w:line="265"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74" w:lineRule="exact"/>
        <w:rPr>
          <w:sz w:val="20"/>
          <w:szCs w:val="20"/>
          <w:color w:val="auto"/>
        </w:rPr>
      </w:pPr>
    </w:p>
    <w:p>
      <w:pPr>
        <w:ind w:right="40" w:firstLine="546"/>
        <w:spacing w:after="0" w:line="302" w:lineRule="auto"/>
        <w:rPr>
          <w:sz w:val="20"/>
          <w:szCs w:val="20"/>
          <w:color w:val="auto"/>
        </w:rPr>
      </w:pPr>
      <w:r>
        <w:rPr>
          <w:rFonts w:ascii="Arial" w:cs="Arial" w:eastAsia="Arial" w:hAnsi="Arial"/>
          <w:sz w:val="15"/>
          <w:szCs w:val="15"/>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58"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 xml:space="preserve">On December 19, 2018, in </w:t>
      </w:r>
      <w:r>
        <w:rPr>
          <w:rFonts w:ascii="Arial" w:cs="Arial" w:eastAsia="Arial" w:hAnsi="Arial"/>
          <w:sz w:val="15"/>
          <w:szCs w:val="15"/>
          <w:i w:val="1"/>
          <w:iCs w:val="1"/>
          <w:color w:val="auto"/>
        </w:rPr>
        <w:t>Sciabacucchi v. Salzberg</w:t>
      </w:r>
      <w:r>
        <w:rPr>
          <w:rFonts w:ascii="Arial" w:cs="Arial" w:eastAsia="Arial" w:hAnsi="Arial"/>
          <w:sz w:val="15"/>
          <w:szCs w:val="15"/>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in </w:t>
      </w:r>
      <w:r>
        <w:rPr>
          <w:rFonts w:ascii="Arial" w:cs="Arial" w:eastAsia="Arial" w:hAnsi="Arial"/>
          <w:sz w:val="15"/>
          <w:szCs w:val="15"/>
          <w:i w:val="1"/>
          <w:iCs w:val="1"/>
          <w:color w:val="auto"/>
        </w:rPr>
        <w:t>Sciabacucchi</w:t>
      </w:r>
      <w:r>
        <w:rPr>
          <w:rFonts w:ascii="Arial" w:cs="Arial" w:eastAsia="Arial" w:hAnsi="Arial"/>
          <w:sz w:val="15"/>
          <w:szCs w:val="15"/>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Arial" w:cs="Arial" w:eastAsia="Arial" w:hAnsi="Arial"/>
          <w:sz w:val="15"/>
          <w:szCs w:val="15"/>
          <w:i w:val="1"/>
          <w:iCs w:val="1"/>
          <w:color w:val="auto"/>
        </w:rPr>
        <w:t>Sciabacucchi</w:t>
      </w:r>
      <w:r>
        <w:rPr>
          <w:rFonts w:ascii="Arial" w:cs="Arial" w:eastAsia="Arial" w:hAnsi="Arial"/>
          <w:sz w:val="15"/>
          <w:szCs w:val="15"/>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59" w:lineRule="exact"/>
        <w:rPr>
          <w:sz w:val="20"/>
          <w:szCs w:val="20"/>
          <w:color w:val="auto"/>
        </w:rPr>
      </w:pPr>
    </w:p>
    <w:p>
      <w:pPr>
        <w:ind w:right="20" w:firstLine="546"/>
        <w:spacing w:after="0" w:line="265"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8" w:lineRule="exact"/>
        <w:rPr>
          <w:sz w:val="20"/>
          <w:szCs w:val="20"/>
          <w:color w:val="auto"/>
        </w:rPr>
      </w:pPr>
    </w:p>
    <w:p>
      <w:pPr>
        <w:ind w:right="20" w:firstLine="546"/>
        <w:spacing w:after="0" w:line="256" w:lineRule="auto"/>
        <w:rPr>
          <w:sz w:val="20"/>
          <w:szCs w:val="20"/>
          <w:color w:val="auto"/>
        </w:rPr>
      </w:pPr>
      <w:r>
        <w:rPr>
          <w:rFonts w:ascii="Arial" w:cs="Arial" w:eastAsia="Arial" w:hAnsi="Arial"/>
          <w:sz w:val="18"/>
          <w:szCs w:val="18"/>
          <w:color w:val="auto"/>
        </w:rPr>
        <w:t>Our corporate headquarters are located in Cambridge, Massachusetts. Our current leased facility for our corporate headquarters encompasses approximately 11,218 square feet of office space. The lease for this facility expires in January 2023. In August 2018, we entered into a sub-lease for 13,643 square feet of laboratory space located in Cambridge Massachusetts, which expires in October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8"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40"/>
          </w:cols>
          <w:pgMar w:left="320" w:top="334" w:right="5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18" w:lineRule="exact"/>
        <w:rPr>
          <w:sz w:val="20"/>
          <w:szCs w:val="20"/>
          <w:color w:val="auto"/>
        </w:rPr>
      </w:pPr>
    </w:p>
    <w:p>
      <w:pPr>
        <w:ind w:right="140" w:firstLine="546"/>
        <w:spacing w:after="0" w:line="366" w:lineRule="auto"/>
        <w:rPr>
          <w:sz w:val="20"/>
          <w:szCs w:val="20"/>
          <w:color w:val="auto"/>
        </w:rPr>
      </w:pPr>
      <w:r>
        <w:rPr>
          <w:rFonts w:ascii="Arial" w:cs="Arial" w:eastAsia="Arial" w:hAnsi="Arial"/>
          <w:sz w:val="15"/>
          <w:szCs w:val="15"/>
          <w:color w:val="auto"/>
        </w:rPr>
        <w:t>Our common stock is traded on the Nasdaq Global Select Market under the symbol “AVRO”. Trading of our common stock commenced on June 21, 2018, following the completion of our initial public offering. Prior to that time, there was no established public trading market for our common stock.</w:t>
      </w:r>
    </w:p>
    <w:p>
      <w:pPr>
        <w:spacing w:after="0" w:line="111" w:lineRule="exact"/>
        <w:rPr>
          <w:sz w:val="20"/>
          <w:szCs w:val="20"/>
          <w:color w:val="auto"/>
        </w:rPr>
      </w:pPr>
    </w:p>
    <w:p>
      <w:pPr>
        <w:ind w:right="120" w:firstLine="546"/>
        <w:spacing w:after="0" w:line="265" w:lineRule="auto"/>
        <w:rPr>
          <w:sz w:val="20"/>
          <w:szCs w:val="20"/>
          <w:color w:val="auto"/>
        </w:rPr>
      </w:pPr>
      <w:r>
        <w:rPr>
          <w:rFonts w:ascii="Arial" w:cs="Arial" w:eastAsia="Arial" w:hAnsi="Arial"/>
          <w:sz w:val="18"/>
          <w:szCs w:val="18"/>
          <w:color w:val="auto"/>
        </w:rPr>
        <w:t>As of March 6, 2020, the number of holders of record of our common stock was 9. This number does not include beneficial owners whose shares are held in street name.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2" w:lineRule="exact"/>
        <w:rPr>
          <w:sz w:val="20"/>
          <w:szCs w:val="20"/>
          <w:color w:val="auto"/>
        </w:rPr>
      </w:pPr>
    </w:p>
    <w:p>
      <w:pPr>
        <w:ind w:right="260" w:firstLine="546"/>
        <w:spacing w:after="0" w:line="313"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112" w:lineRule="exact"/>
        <w:rPr>
          <w:sz w:val="20"/>
          <w:szCs w:val="20"/>
          <w:color w:val="auto"/>
        </w:rPr>
      </w:pPr>
    </w:p>
    <w:p>
      <w:pPr>
        <w:ind w:right="260" w:firstLine="546"/>
        <w:spacing w:after="0" w:line="265"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sell any unregistered equity securities during the period covered by this Annual Report on Form 10-K.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112" w:lineRule="exact"/>
        <w:rPr>
          <w:sz w:val="20"/>
          <w:szCs w:val="20"/>
          <w:color w:val="auto"/>
        </w:rPr>
      </w:pPr>
    </w:p>
    <w:p>
      <w:pPr>
        <w:ind w:right="40" w:firstLine="546"/>
        <w:spacing w:after="0" w:line="251"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93" w:lineRule="exact"/>
        <w:rPr>
          <w:sz w:val="20"/>
          <w:szCs w:val="20"/>
          <w:color w:val="auto"/>
        </w:rPr>
      </w:pPr>
    </w:p>
    <w:p>
      <w:pPr>
        <w:ind w:firstLine="546"/>
        <w:spacing w:after="0" w:line="256" w:lineRule="auto"/>
        <w:rPr>
          <w:sz w:val="20"/>
          <w:szCs w:val="20"/>
          <w:color w:val="auto"/>
        </w:rPr>
      </w:pPr>
      <w:r>
        <w:rPr>
          <w:rFonts w:ascii="Arial" w:cs="Arial" w:eastAsia="Arial" w:hAnsi="Arial"/>
          <w:sz w:val="18"/>
          <w:szCs w:val="18"/>
          <w:color w:val="auto"/>
        </w:rPr>
        <w:t>We received aggregate net proceeds from the offering of approximately $104.0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88" w:lineRule="exact"/>
        <w:rPr>
          <w:sz w:val="20"/>
          <w:szCs w:val="20"/>
          <w:color w:val="auto"/>
        </w:rPr>
      </w:pPr>
    </w:p>
    <w:p>
      <w:pPr>
        <w:ind w:right="20" w:firstLine="546"/>
        <w:spacing w:after="0" w:line="313" w:lineRule="auto"/>
        <w:rPr>
          <w:sz w:val="20"/>
          <w:szCs w:val="20"/>
          <w:color w:val="auto"/>
        </w:rPr>
      </w:pPr>
      <w:r>
        <w:rPr>
          <w:rFonts w:ascii="Arial" w:cs="Arial" w:eastAsia="Arial" w:hAnsi="Arial"/>
          <w:sz w:val="15"/>
          <w:szCs w:val="15"/>
          <w:color w:val="auto"/>
        </w:rPr>
        <w:t>As of December 31, 2019, we had used approximately $97.5 million of the net proceeds from the IPO, primarily to fund our current programs in Fabry disease, Gaucher disease, cystinosis, and Pompe disease; our external and internal manufacturing and process development activities related to our programs and to fund research and development activities that relate to all of our clinical and preclinical activities, including the cost of research and development personnel; and general and administrative expenses, working capital and other general corporate purposes. There has been no material change in our planned use of the net proceeds from the offering as described in the final prospectus filed with the SEC pursuant to Rule 424(b) under the Securities Act.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8" w:lineRule="exact"/>
        <w:rPr>
          <w:sz w:val="20"/>
          <w:szCs w:val="20"/>
          <w:color w:val="auto"/>
        </w:rPr>
      </w:pPr>
    </w:p>
    <w:p>
      <w:pPr>
        <w:ind w:right="20" w:firstLine="546"/>
        <w:spacing w:after="0" w:line="265" w:lineRule="auto"/>
        <w:rPr>
          <w:sz w:val="20"/>
          <w:szCs w:val="20"/>
          <w:color w:val="auto"/>
        </w:rPr>
      </w:pPr>
      <w:r>
        <w:rPr>
          <w:rFonts w:ascii="Arial" w:cs="Arial" w:eastAsia="Arial" w:hAnsi="Arial"/>
          <w:sz w:val="17"/>
          <w:szCs w:val="17"/>
          <w:i w:val="1"/>
          <w:iCs w:val="1"/>
          <w:color w:val="auto"/>
        </w:rPr>
        <w:t>Our management’s discussion and analysis of our financial condition and results of operations are based upon our consolidated financial statements included in this Annual Report on Form 10-K, which have been prepared by us in accordance with United States generally accepted accounting principles, or GAAP, and with Regulation S-X promulgated under the Securities Exchange Act of 1934, as amended. This discussion and analysis should be read in conjunction with the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Risk Factors of this Annual Report on Form 10-K, our actual results could differ materially from the results described in or implied by the forward-looking statements contained in the following discussion and analysis.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$4.0 billion in worldwide net sales in 2019.</w:t>
      </w:r>
    </w:p>
    <w:p>
      <w:pPr>
        <w:spacing w:after="0" w:line="186" w:lineRule="exact"/>
        <w:rPr>
          <w:sz w:val="20"/>
          <w:szCs w:val="20"/>
          <w:color w:val="auto"/>
        </w:rPr>
      </w:pPr>
    </w:p>
    <w:p>
      <w:pPr>
        <w:ind w:firstLine="546"/>
        <w:spacing w:after="0" w:line="264" w:lineRule="auto"/>
        <w:rPr>
          <w:sz w:val="20"/>
          <w:szCs w:val="20"/>
          <w:color w:val="auto"/>
        </w:rPr>
      </w:pPr>
      <w:r>
        <w:rPr>
          <w:rFonts w:ascii="Arial" w:cs="Arial" w:eastAsia="Arial" w:hAnsi="Arial"/>
          <w:sz w:val="17"/>
          <w:szCs w:val="17"/>
          <w:color w:val="auto"/>
        </w:rPr>
        <w:t>Our initial pipeline is comprised of four lentiviral-based gene therapy programs, including AVR-RD-01 for the treatment of Fabry disease, AVR-RD-04 for the treatment of cystinosis, AVR-RD-02 for the treatment of Gaucher disease and AVR-RD-03 for the treatment of Pompe disease. AVR-RD-01 is currently being evaluated in an investigator-sponsored Phase 1 clinical trial and a company-sponsored Phase 2 clinical trial. Five patients have been dosed in the investigator-sponsored Phase 1 clinical trial of AVR-RD-01, and enrollment is complete. As of March 6, 2020, four patients have been dosed in our company-sponsored Phase 2 clinical trial of AVR-RD-01, and we are actively recruiting additional potential patients for our currently active sites in Australia, Canada and the United States. AVR-RD-04 is currently being studied by our collaborators at the University of California, San Diego, or UCSD, in a Phase 1/2 investigator-sponsored clinical trial, and as of March 6, 2020 one patient has been dosed. In January 2020, we announced that we received notice of clearance from the U.S. Food and Drug Administration, or FDA, regarding an Investigational New Drug, or IND, application for AVR-RD-02, our investigational gene therapy for the treatment of Gaucher disease. The Phase 1/2 clinical trial for AVR-RD-02 is actively recruiting in Australia and Canada, with additional sites planned in the United States. Our AVR-RD-03 program for Pompe disease is currently in preclinical development with the first IND-enabling preclinical study initiated in 2019.</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Since our inception in 2015, we have devoted substantially all of our resources to organizing and staffing our company, business planning, raising</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capital, acquiring or discovering product candidates and securing related intellectual property rights, conducting discovery, research and development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activities for our programs and planning for potential commercialization. We do not have any products approved for sale and have not generated any revenue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from product sales. To date, we have funded our operations with proceeds from the sales of preferred stock and our initial public offering, or IPO, and we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have raised additional capital through an underwritten public offering that closed in July 2019, or the July 2019 Follow-On Offering, and an underwritten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public offering that closed in February 2020, or the February 2020 Follow-On Offering. Through December 31, 2019, we had received gross cash proceeds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$87.5 million from sales of our preferred stock, and gross cash proceeds, before deducting underwriting discounts and commissions and expenses,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$114.7 million and $138.3 million from sales of our common stock through our IPO and July 2019 Follow-On Offering, respectively. Since our inception, we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have incurred significant operating losses. Our ability to generate product revenue sufficient to achieve profitability will depend heavily on the successful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development and eventual commercialization of one or more of our current or future product candidates and programs. Our net losses were $73.0 million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$46.4 million for the years ended December 31, 2019 and 2018, respectively. As of December 31, 2019, we had an accumulated deficit of $144.7 million. We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expect to continue to incur significant expenses for at least the next several years as we advance our current and future product candidates from discovery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through preclinical development and clinical trials and seek regulatory approval of our product candidates. In addition, if we obtain marketing approval for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any of our product candidates, we expect to incur significant commercialization expenses related to product manufacturing, marketing, sales and distribution.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We may also incur expenses in connection with the in-licensing or acquisition of additional product candidates. Furthermore, we expect to continue incurring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additional costs associated with operating as a public company, including significant legal, accounting, investor relations and other expenses.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3" w:name="page94"/>
    <w:bookmarkEnd w:id="93"/>
    <w:p>
      <w:pPr>
        <w:ind w:firstLine="546"/>
        <w:spacing w:after="0" w:line="265"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and follow-on offerings.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6" w:lineRule="exact"/>
        <w:rPr>
          <w:sz w:val="20"/>
          <w:szCs w:val="20"/>
          <w:color w:val="auto"/>
        </w:rPr>
      </w:pPr>
    </w:p>
    <w:p>
      <w:pPr>
        <w:ind w:right="40" w:firstLine="546"/>
        <w:spacing w:after="0" w:line="25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93" w:lineRule="exact"/>
        <w:rPr>
          <w:sz w:val="20"/>
          <w:szCs w:val="20"/>
          <w:color w:val="auto"/>
        </w:rPr>
      </w:pPr>
    </w:p>
    <w:p>
      <w:pPr>
        <w:ind w:right="220" w:firstLine="546"/>
        <w:spacing w:after="0" w:line="269" w:lineRule="auto"/>
        <w:rPr>
          <w:sz w:val="20"/>
          <w:szCs w:val="20"/>
          <w:color w:val="auto"/>
        </w:rPr>
      </w:pPr>
      <w:r>
        <w:rPr>
          <w:rFonts w:ascii="Arial" w:cs="Arial" w:eastAsia="Arial" w:hAnsi="Arial"/>
          <w:sz w:val="17"/>
          <w:szCs w:val="17"/>
          <w:color w:val="auto"/>
        </w:rPr>
        <w:t>As of December 31, 2019, we had cash and cash equivalents of $187.0 million. We believe that our existing cash and cash equivalents as of December 31, 2019, together with the estimated net proceeds of $93.5 million from our February 2020 Follow-on Offering, will enable us to fund our operating expenses and capital expenditure requirements into the second quarter of 2022.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ind w:right="280" w:firstLine="546"/>
        <w:spacing w:after="0" w:line="256"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100" w:firstLine="546"/>
        <w:spacing w:after="0" w:line="256"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81" w:lineRule="exact"/>
        <w:rPr>
          <w:sz w:val="20"/>
          <w:szCs w:val="20"/>
          <w:color w:val="auto"/>
        </w:rPr>
      </w:pPr>
    </w:p>
    <w:p>
      <w:pPr>
        <w:ind w:left="940" w:hanging="389"/>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1" w:lineRule="exact"/>
        <w:rPr>
          <w:rFonts w:ascii="Arial" w:cs="Arial" w:eastAsia="Arial" w:hAnsi="Arial"/>
          <w:sz w:val="18"/>
          <w:szCs w:val="18"/>
          <w:color w:val="auto"/>
        </w:rPr>
      </w:pPr>
    </w:p>
    <w:p>
      <w:pPr>
        <w:ind w:left="940" w:right="120" w:hanging="389"/>
        <w:spacing w:after="0" w:line="366" w:lineRule="auto"/>
        <w:tabs>
          <w:tab w:leader="none" w:pos="9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5" w:lineRule="exact"/>
        <w:rPr>
          <w:rFonts w:ascii="Arial" w:cs="Arial" w:eastAsia="Arial" w:hAnsi="Arial"/>
          <w:sz w:val="15"/>
          <w:szCs w:val="15"/>
          <w:color w:val="auto"/>
        </w:rPr>
      </w:pPr>
    </w:p>
    <w:p>
      <w:pPr>
        <w:ind w:left="940" w:right="160" w:hanging="389"/>
        <w:spacing w:after="0" w:line="265" w:lineRule="auto"/>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4" w:lineRule="exact"/>
        <w:rPr>
          <w:rFonts w:ascii="Arial" w:cs="Arial" w:eastAsia="Arial" w:hAnsi="Arial"/>
          <w:sz w:val="18"/>
          <w:szCs w:val="18"/>
          <w:color w:val="auto"/>
        </w:rPr>
      </w:pPr>
    </w:p>
    <w:p>
      <w:pPr>
        <w:ind w:left="940" w:right="40" w:hanging="389"/>
        <w:spacing w:after="0" w:line="265" w:lineRule="auto"/>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18" w:lineRule="exact"/>
        <w:rPr>
          <w:sz w:val="20"/>
          <w:szCs w:val="20"/>
          <w:color w:val="auto"/>
        </w:rPr>
      </w:pPr>
    </w:p>
    <w:p>
      <w:pPr>
        <w:ind w:right="180" w:firstLine="546"/>
        <w:spacing w:after="0" w:line="265"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94" w:name="page95"/>
    <w:bookmarkEnd w:id="94"/>
    <w:p>
      <w:pPr>
        <w:ind w:firstLine="546"/>
        <w:spacing w:after="0" w:line="266" w:lineRule="auto"/>
        <w:rPr>
          <w:sz w:val="20"/>
          <w:szCs w:val="20"/>
          <w:color w:val="auto"/>
        </w:rPr>
      </w:pPr>
      <w:r>
        <w:rPr>
          <w:rFonts w:ascii="Arial" w:cs="Arial" w:eastAsia="Arial" w:hAnsi="Arial"/>
          <w:sz w:val="17"/>
          <w:szCs w:val="17"/>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83" w:lineRule="exact"/>
        <w:rPr>
          <w:sz w:val="20"/>
          <w:szCs w:val="20"/>
          <w:color w:val="auto"/>
        </w:rPr>
      </w:pPr>
    </w:p>
    <w:p>
      <w:pPr>
        <w:ind w:right="80" w:firstLine="546"/>
        <w:spacing w:after="0" w:line="252" w:lineRule="auto"/>
        <w:rPr>
          <w:sz w:val="20"/>
          <w:szCs w:val="20"/>
          <w:color w:val="auto"/>
        </w:rPr>
      </w:pPr>
      <w:r>
        <w:rPr>
          <w:rFonts w:ascii="Arial" w:cs="Arial" w:eastAsia="Arial" w:hAnsi="Arial"/>
          <w:sz w:val="18"/>
          <w:szCs w:val="18"/>
          <w:color w:val="auto"/>
        </w:rPr>
        <w:t>We have modified the presentation within the following tables to include expenses related to other preclinical development activities outside of our already presented programs in our direct research and development expenses, which were previously included as other unallocated research and development expenses. We have adjusted prior period amounts to reflect the changes in presentation made in the current period. The table below summarizes our research and development expenses incurred by program (in thousands):</w:t>
      </w:r>
    </w:p>
    <w:p>
      <w:pPr>
        <w:spacing w:after="0" w:line="196"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Year Ended</w:t>
      </w:r>
    </w:p>
    <w:p>
      <w:pPr>
        <w:jc w:val="center"/>
        <w:ind w:left="5280"/>
        <w:spacing w:after="0" w:line="229"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3"/>
        </w:trPr>
        <w:tc>
          <w:tcPr>
            <w:tcW w:w="53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10,673</w:t>
            </w:r>
          </w:p>
        </w:tc>
        <w:tc>
          <w:tcPr>
            <w:tcW w:w="80" w:type="dxa"/>
            <w:vAlign w:val="bottom"/>
            <w:shd w:val="clear" w:color="auto" w:fill="CFF0FC"/>
          </w:tcPr>
          <w:p>
            <w:pPr>
              <w:spacing w:after="0"/>
              <w:rPr>
                <w:sz w:val="19"/>
                <w:szCs w:val="19"/>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Gaucher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7,503</w:t>
            </w:r>
          </w:p>
        </w:tc>
        <w:tc>
          <w:tcPr>
            <w:tcW w:w="80" w:type="dxa"/>
            <w:vAlign w:val="bottom"/>
          </w:tcPr>
          <w:p>
            <w:pPr>
              <w:spacing w:after="0"/>
              <w:rPr>
                <w:sz w:val="19"/>
                <w:szCs w:val="19"/>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FF0FC"/>
          </w:tcPr>
          <w:p>
            <w:pPr>
              <w:spacing w:after="0"/>
              <w:rPr>
                <w:sz w:val="19"/>
                <w:szCs w:val="19"/>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Cystinosis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9"/>
                <w:szCs w:val="19"/>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FF0FC"/>
          </w:tcPr>
          <w:p>
            <w:pPr>
              <w:spacing w:after="0"/>
              <w:rPr>
                <w:sz w:val="19"/>
                <w:szCs w:val="19"/>
                <w:color w:val="auto"/>
              </w:rPr>
            </w:pPr>
          </w:p>
        </w:tc>
      </w:tr>
      <w:tr>
        <w:trPr>
          <w:trHeight w:val="225"/>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research and development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13,908</w:t>
            </w:r>
          </w:p>
        </w:tc>
        <w:tc>
          <w:tcPr>
            <w:tcW w:w="80" w:type="dxa"/>
            <w:vAlign w:val="bottom"/>
            <w:tcBorders>
              <w:bottom w:val="single" w:sz="8" w:color="CFF0FC"/>
            </w:tcBorders>
          </w:tcPr>
          <w:p>
            <w:pPr>
              <w:spacing w:after="0"/>
              <w:rPr>
                <w:sz w:val="19"/>
                <w:szCs w:val="19"/>
                <w:color w:val="auto"/>
              </w:rPr>
            </w:pPr>
          </w:p>
        </w:tc>
      </w:tr>
      <w:tr>
        <w:trPr>
          <w:trHeight w:val="219"/>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54,974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546"/>
        <w:spacing w:after="0" w:line="267"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83"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87" w:lineRule="exact"/>
        <w:rPr>
          <w:sz w:val="20"/>
          <w:szCs w:val="20"/>
          <w:color w:val="auto"/>
        </w:rPr>
      </w:pPr>
    </w:p>
    <w:p>
      <w:pPr>
        <w:ind w:left="940" w:hanging="389"/>
        <w:spacing w:after="0"/>
        <w:tabs>
          <w:tab w:leader="none" w:pos="9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scope, progress, outcome and costs of our preclinical development activities, clinical trials and other research and development activities;</w:t>
      </w:r>
    </w:p>
    <w:p>
      <w:pPr>
        <w:spacing w:after="0" w:line="146" w:lineRule="exact"/>
        <w:rPr>
          <w:rFonts w:ascii="Arial" w:cs="Arial" w:eastAsia="Arial" w:hAnsi="Arial"/>
          <w:sz w:val="15"/>
          <w:szCs w:val="15"/>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Annual Report on Form 10-K.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95" w:name="page96"/>
    <w:bookmarkEnd w:id="95"/>
    <w:p>
      <w:pPr>
        <w:ind w:right="100" w:firstLine="546"/>
        <w:spacing w:after="0" w:line="304" w:lineRule="auto"/>
        <w:rPr>
          <w:sz w:val="20"/>
          <w:szCs w:val="20"/>
          <w:color w:val="auto"/>
        </w:rPr>
      </w:pPr>
      <w:r>
        <w:rPr>
          <w:rFonts w:ascii="Arial" w:cs="Arial" w:eastAsia="Arial" w:hAnsi="Arial"/>
          <w:sz w:val="15"/>
          <w:szCs w:val="15"/>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20" w:firstLine="546"/>
        <w:spacing w:after="0" w:line="256"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8" w:lineRule="exact"/>
        <w:rPr>
          <w:sz w:val="20"/>
          <w:szCs w:val="20"/>
          <w:color w:val="auto"/>
        </w:rPr>
      </w:pPr>
    </w:p>
    <w:p>
      <w:pPr>
        <w:ind w:firstLine="546"/>
        <w:spacing w:after="0" w:line="309" w:lineRule="auto"/>
        <w:rPr>
          <w:sz w:val="20"/>
          <w:szCs w:val="20"/>
          <w:color w:val="auto"/>
        </w:rPr>
      </w:pPr>
      <w:r>
        <w:rPr>
          <w:rFonts w:ascii="Arial" w:cs="Arial" w:eastAsia="Arial" w:hAnsi="Arial"/>
          <w:sz w:val="15"/>
          <w:szCs w:val="15"/>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other commercialization-related expenses as a result of our preparation for commercial operations, especially as it relates to the sales and marketing of our product candidate.</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Expense</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2" w:lineRule="exact"/>
        <w:rPr>
          <w:sz w:val="20"/>
          <w:szCs w:val="20"/>
          <w:color w:val="auto"/>
        </w:rPr>
      </w:pPr>
    </w:p>
    <w:p>
      <w:pPr>
        <w:ind w:right="20" w:firstLine="546"/>
        <w:spacing w:after="0" w:line="309" w:lineRule="auto"/>
        <w:rPr>
          <w:sz w:val="20"/>
          <w:szCs w:val="20"/>
          <w:color w:val="auto"/>
        </w:rPr>
      </w:pPr>
      <w:r>
        <w:rPr>
          <w:rFonts w:ascii="Arial" w:cs="Arial" w:eastAsia="Arial" w:hAnsi="Arial"/>
          <w:sz w:val="15"/>
          <w:szCs w:val="15"/>
          <w:color w:val="auto"/>
        </w:rPr>
        <w:t>In connection with entering into a loan agreement, or the Loan Agreement, with Silicon Valley Bank, or SVB, in 2017, we agreed to issue a warrant to purchase shares of our preferred stock to SVB. Prior to the completion of our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On June 21, 2018, in connection with our IPO, the warrant to purchase preferred stock was converted to a warrant to purchase common stock. The carrying amount of the warrant to purchase preferred stock as of the date of our IPO was transferred to additional paid in capital. No further revaluation is needed for the warrant to purchase common stock.</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2" w:lineRule="exact"/>
        <w:rPr>
          <w:sz w:val="20"/>
          <w:szCs w:val="20"/>
          <w:color w:val="auto"/>
        </w:rPr>
      </w:pPr>
    </w:p>
    <w:p>
      <w:pPr>
        <w:ind w:right="300" w:firstLine="546"/>
        <w:spacing w:after="0" w:line="309" w:lineRule="auto"/>
        <w:rPr>
          <w:sz w:val="20"/>
          <w:szCs w:val="20"/>
          <w:color w:val="auto"/>
        </w:rPr>
      </w:pPr>
      <w:r>
        <w:rPr>
          <w:rFonts w:ascii="Arial" w:cs="Arial" w:eastAsia="Arial" w:hAnsi="Arial"/>
          <w:sz w:val="15"/>
          <w:szCs w:val="15"/>
          <w:color w:val="auto"/>
        </w:rPr>
        <w:t>Our stock purchase agreement with University Health Network, or UHN, provides for a payment to UHN upon completion of an initial public offering, which included our IPO, if UHN’s fully-diluted percentage ownership of our company is reduced within a range of specified percentages. We classified the IPO dilution payment obligation as a liability on our consolidated balance sheet and we were required to remeasure to fair value at each reporting date. We recognized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consolidated results of operations for the years ended December 31, 2019 and 2018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3"/>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54,974</w:t>
            </w:r>
          </w:p>
        </w:tc>
        <w:tc>
          <w:tcPr>
            <w:tcW w:w="20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35,095</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20,835</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11,148</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75,809</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46,243</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(75,809)</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(46,243)</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(29,566)</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Arial" w:cs="Arial" w:eastAsia="Arial" w:hAnsi="Arial"/>
                <w:sz w:val="18"/>
                <w:szCs w:val="18"/>
                <w:color w:val="auto"/>
              </w:rPr>
              <w:t>Change in fair value of preferred stock warrant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tcPr>
          <w:p>
            <w:pPr>
              <w:ind w:left="380"/>
              <w:spacing w:after="0"/>
              <w:rPr>
                <w:sz w:val="20"/>
                <w:szCs w:val="20"/>
                <w:color w:val="auto"/>
              </w:rPr>
            </w:pPr>
            <w:r>
              <w:rPr>
                <w:rFonts w:ascii="Arial" w:cs="Arial" w:eastAsia="Arial" w:hAnsi="Arial"/>
                <w:sz w:val="18"/>
                <w:szCs w:val="18"/>
                <w:color w:val="auto"/>
              </w:rPr>
              <w:t>liability</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00" w:type="dxa"/>
            <w:vAlign w:val="bottom"/>
            <w:vMerge w:val="continue"/>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(72,965)</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(46,361)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summarizes our research and development expenses incurred during the years ended December 31, 2019 and 2018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3"/>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40"/>
              <w:spacing w:after="0"/>
              <w:rPr>
                <w:sz w:val="20"/>
                <w:szCs w:val="20"/>
                <w:color w:val="auto"/>
              </w:rPr>
            </w:pPr>
            <w:r>
              <w:rPr>
                <w:rFonts w:ascii="Arial" w:cs="Arial" w:eastAsia="Arial" w:hAnsi="Arial"/>
                <w:sz w:val="18"/>
                <w:szCs w:val="18"/>
                <w:color w:val="auto"/>
              </w:rPr>
              <w:t>Fabry</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9,833</w:t>
            </w:r>
          </w:p>
        </w:tc>
        <w:tc>
          <w:tcPr>
            <w:tcW w:w="20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10,673</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5"/>
        </w:trPr>
        <w:tc>
          <w:tcPr>
            <w:tcW w:w="5300" w:type="dxa"/>
            <w:vAlign w:val="bottom"/>
          </w:tcPr>
          <w:p>
            <w:pPr>
              <w:ind w:left="240"/>
              <w:spacing w:after="0"/>
              <w:rPr>
                <w:sz w:val="20"/>
                <w:szCs w:val="20"/>
                <w:color w:val="auto"/>
              </w:rPr>
            </w:pPr>
            <w:r>
              <w:rPr>
                <w:rFonts w:ascii="Arial" w:cs="Arial" w:eastAsia="Arial" w:hAnsi="Arial"/>
                <w:sz w:val="18"/>
                <w:szCs w:val="18"/>
                <w:color w:val="auto"/>
              </w:rPr>
              <w:t>Pompe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Arial" w:cs="Arial" w:eastAsia="Arial" w:hAnsi="Arial"/>
                <w:sz w:val="18"/>
                <w:szCs w:val="18"/>
                <w:color w:val="auto"/>
              </w:rPr>
              <w:t>Personnel related (including stock-based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16,733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7,467</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54,974</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546"/>
        <w:spacing w:after="0" w:line="251" w:lineRule="auto"/>
        <w:rPr>
          <w:sz w:val="20"/>
          <w:szCs w:val="20"/>
          <w:color w:val="auto"/>
        </w:rPr>
      </w:pPr>
      <w:r>
        <w:rPr>
          <w:rFonts w:ascii="Arial" w:cs="Arial" w:eastAsia="Arial" w:hAnsi="Arial"/>
          <w:sz w:val="18"/>
          <w:szCs w:val="18"/>
          <w:color w:val="auto"/>
        </w:rPr>
        <w:t>Research and development expenses were $55.0 million for the year ended December 31, 2019, compared to $35.1 million for the year ended December 31, 2018. The increase of $19.9 million was primarily due to increases of $4.7 million in direct costs related to our Pompe program, $3.7 million in direct costs related to our Other programs, $2.9 million in direct costs related to our Cystinosis program, and $10.3 million in unallocated research and development expenses, all partially offset by a decrease of $0.9 million in direct costs related to our Gaucher program and a decrease of $0.8 million in direct costs related to our Fabry program.</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increase in direct costs related to our Pompe program was primarily due to increases in preclinical and manufacturing costs of $4.7 million.</w:t>
      </w:r>
    </w:p>
    <w:p>
      <w:pPr>
        <w:spacing w:after="0" w:line="253" w:lineRule="exact"/>
        <w:rPr>
          <w:sz w:val="20"/>
          <w:szCs w:val="20"/>
          <w:color w:val="auto"/>
        </w:rPr>
      </w:pPr>
    </w:p>
    <w:p>
      <w:pPr>
        <w:ind w:right="60" w:firstLine="546"/>
        <w:spacing w:after="0" w:line="366" w:lineRule="auto"/>
        <w:rPr>
          <w:sz w:val="20"/>
          <w:szCs w:val="20"/>
          <w:color w:val="auto"/>
        </w:rPr>
      </w:pPr>
      <w:r>
        <w:rPr>
          <w:rFonts w:ascii="Arial" w:cs="Arial" w:eastAsia="Arial" w:hAnsi="Arial"/>
          <w:sz w:val="15"/>
          <w:szCs w:val="15"/>
          <w:color w:val="auto"/>
        </w:rPr>
        <w:t>The increase in direct costs related to our Cystinosis program was primarily due to an increase in preclinical and clinical expenses of $1.6 million and a license fee payment of $2.0 million, partially off-set by decreases in consulting fees of $0.4 million, and manufacturing costs of $0.2 million.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7" w:name="page98"/>
    <w:bookmarkEnd w:id="97"/>
    <w:p>
      <w:pPr>
        <w:ind w:left="560"/>
        <w:spacing w:after="0"/>
        <w:rPr>
          <w:sz w:val="20"/>
          <w:szCs w:val="20"/>
          <w:color w:val="auto"/>
        </w:rPr>
      </w:pPr>
      <w:r>
        <w:rPr>
          <w:rFonts w:ascii="Arial" w:cs="Arial" w:eastAsia="Arial" w:hAnsi="Arial"/>
          <w:sz w:val="15"/>
          <w:szCs w:val="15"/>
          <w:color w:val="auto"/>
        </w:rPr>
        <w:t>The increase in direct costs related to our Other programs was primarily due to increases in preclinical and manufacturing costs of $3.7 million.</w:t>
      </w:r>
    </w:p>
    <w:p>
      <w:pPr>
        <w:spacing w:after="0" w:line="253" w:lineRule="exact"/>
        <w:rPr>
          <w:sz w:val="20"/>
          <w:szCs w:val="20"/>
          <w:color w:val="auto"/>
        </w:rPr>
      </w:pPr>
    </w:p>
    <w:p>
      <w:pPr>
        <w:ind w:right="120" w:firstLine="546"/>
        <w:spacing w:after="0" w:line="252" w:lineRule="auto"/>
        <w:rPr>
          <w:sz w:val="20"/>
          <w:szCs w:val="20"/>
          <w:color w:val="auto"/>
        </w:rPr>
      </w:pPr>
      <w:r>
        <w:rPr>
          <w:rFonts w:ascii="Arial" w:cs="Arial" w:eastAsia="Arial" w:hAnsi="Arial"/>
          <w:sz w:val="18"/>
          <w:szCs w:val="18"/>
          <w:color w:val="auto"/>
        </w:rPr>
        <w:t>The increase in unallocated research and development expenses was primarily due to an increase of $7.4 million in personnel-related costs, including stock-based compensation as a result of hiring additional personnel in our research and development department, and an increase of $2.5 million in facility costs and rent expense. Personnel-related costs for the years ended December 31, 2019 and 2018 included stock-based compensation expense of $3.6 million and $0.9 million, respectively.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5" w:lineRule="exact"/>
        <w:rPr>
          <w:sz w:val="20"/>
          <w:szCs w:val="20"/>
          <w:color w:val="auto"/>
        </w:rPr>
      </w:pPr>
    </w:p>
    <w:p>
      <w:pPr>
        <w:ind w:right="180" w:firstLine="546"/>
        <w:spacing w:after="0" w:line="251" w:lineRule="auto"/>
        <w:rPr>
          <w:sz w:val="20"/>
          <w:szCs w:val="20"/>
          <w:color w:val="auto"/>
        </w:rPr>
      </w:pPr>
      <w:r>
        <w:rPr>
          <w:rFonts w:ascii="Arial" w:cs="Arial" w:eastAsia="Arial" w:hAnsi="Arial"/>
          <w:sz w:val="18"/>
          <w:szCs w:val="18"/>
          <w:color w:val="auto"/>
        </w:rPr>
        <w:t>General and administrative expenses were $20.8 million for the year ended December 31, 2019, compared to $11.1 million for the year ended December 31, 2018. The increase of $9.7 million was primarily due to increases of $5.2 million in personnel-related costs including stock-based compensation and $4.4 million in costs associated with being a publicly traded company, including $1.9 million in professional fees, $1.7 million in consulting expenses, and $0.8 million in insurance costs. The increase in personnel-related costs was due to the hiring of additional personnel in our general and administrative functions.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2" w:lineRule="exact"/>
        <w:rPr>
          <w:sz w:val="20"/>
          <w:szCs w:val="20"/>
          <w:color w:val="auto"/>
        </w:rPr>
      </w:pPr>
    </w:p>
    <w:p>
      <w:pPr>
        <w:ind w:firstLine="546"/>
        <w:spacing w:after="0" w:line="256" w:lineRule="auto"/>
        <w:rPr>
          <w:sz w:val="20"/>
          <w:szCs w:val="20"/>
          <w:color w:val="auto"/>
        </w:rPr>
      </w:pPr>
      <w:r>
        <w:rPr>
          <w:rFonts w:ascii="Arial" w:cs="Arial" w:eastAsia="Arial" w:hAnsi="Arial"/>
          <w:sz w:val="18"/>
          <w:szCs w:val="18"/>
          <w:color w:val="auto"/>
        </w:rPr>
        <w:t>Other income (expense), net was income of $2.8 million for the year ended December 31, 2019, compared to a net expense of $0.1 million for the year ended December 31, 2018. The increase of $3.0 million was primarily due to a $1.2 million increase in interest income and a decrease of $1.8 million due to the change in the fair value of the derivative liability and the preferred stock warrant liability.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firstLine="546"/>
        <w:spacing w:after="0" w:line="313" w:lineRule="auto"/>
        <w:rPr>
          <w:sz w:val="20"/>
          <w:szCs w:val="20"/>
          <w:color w:val="auto"/>
        </w:rPr>
      </w:pPr>
      <w:r>
        <w:rPr>
          <w:rFonts w:ascii="Arial" w:cs="Arial" w:eastAsia="Arial" w:hAnsi="Arial"/>
          <w:sz w:val="15"/>
          <w:szCs w:val="15"/>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our July 2019 Follow-On Offering and our February 2020 Follow-On Offering. Through December 31, 2019, we had received gross cash proceeds of $87.5 million from sales of our preferred stock, and gross cash proceeds, before deducting underwriting discounts and commissions and expenses, of $114.7 million and $138.3 million from sales of our common stock through our IPO and July 2019 Follow-On Offering, respectively.</w:t>
      </w:r>
    </w:p>
    <w:p>
      <w:pPr>
        <w:spacing w:after="0" w:line="150" w:lineRule="exact"/>
        <w:rPr>
          <w:sz w:val="20"/>
          <w:szCs w:val="20"/>
          <w:color w:val="auto"/>
        </w:rPr>
      </w:pPr>
    </w:p>
    <w:p>
      <w:pPr>
        <w:ind w:right="20" w:firstLine="546"/>
        <w:spacing w:after="0" w:line="319" w:lineRule="auto"/>
        <w:rPr>
          <w:sz w:val="20"/>
          <w:szCs w:val="20"/>
          <w:color w:val="auto"/>
        </w:rPr>
      </w:pPr>
      <w:r>
        <w:rPr>
          <w:rFonts w:ascii="Arial" w:cs="Arial" w:eastAsia="Arial" w:hAnsi="Arial"/>
          <w:sz w:val="15"/>
          <w:szCs w:val="15"/>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“at-the-market” offerings under the July 2019 Shelf. The July 2019 Shelf was declared effective by the SEC on July 10, 2019.</w:t>
      </w:r>
    </w:p>
    <w:p>
      <w:pPr>
        <w:spacing w:after="0" w:line="145" w:lineRule="exact"/>
        <w:rPr>
          <w:sz w:val="20"/>
          <w:szCs w:val="20"/>
          <w:color w:val="auto"/>
        </w:rPr>
      </w:pPr>
    </w:p>
    <w:p>
      <w:pPr>
        <w:ind w:right="240" w:firstLine="546"/>
        <w:spacing w:after="0" w:line="256"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8" w:lineRule="exact"/>
        <w:rPr>
          <w:sz w:val="20"/>
          <w:szCs w:val="20"/>
          <w:color w:val="auto"/>
        </w:rPr>
      </w:pPr>
    </w:p>
    <w:p>
      <w:pPr>
        <w:ind w:right="100" w:firstLine="546"/>
        <w:spacing w:after="0" w:line="319" w:lineRule="auto"/>
        <w:rPr>
          <w:sz w:val="20"/>
          <w:szCs w:val="20"/>
          <w:color w:val="auto"/>
        </w:rPr>
      </w:pPr>
      <w:r>
        <w:rPr>
          <w:rFonts w:ascii="Arial" w:cs="Arial" w:eastAsia="Arial" w:hAnsi="Arial"/>
          <w:sz w:val="15"/>
          <w:szCs w:val="15"/>
          <w:color w:val="auto"/>
        </w:rPr>
        <w:t>In July 2019, we closed the July 2019 Follow-On Offering as an underwritten public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approximately $129.5 million.</w:t>
      </w:r>
    </w:p>
    <w:p>
      <w:pPr>
        <w:spacing w:after="0" w:line="145" w:lineRule="exact"/>
        <w:rPr>
          <w:sz w:val="20"/>
          <w:szCs w:val="20"/>
          <w:color w:val="auto"/>
        </w:rPr>
      </w:pPr>
    </w:p>
    <w:p>
      <w:pPr>
        <w:ind w:right="160" w:firstLine="546"/>
        <w:spacing w:after="0" w:line="331" w:lineRule="auto"/>
        <w:rPr>
          <w:sz w:val="20"/>
          <w:szCs w:val="20"/>
          <w:color w:val="auto"/>
        </w:rPr>
      </w:pPr>
      <w:r>
        <w:rPr>
          <w:rFonts w:ascii="Arial" w:cs="Arial" w:eastAsia="Arial" w:hAnsi="Arial"/>
          <w:sz w:val="15"/>
          <w:szCs w:val="15"/>
          <w:color w:val="auto"/>
        </w:rPr>
        <w:t>In February 2020, we closed the February 2020 Follow-On Offering as an underwritten public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approximately $93.5 million.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98" w:name="page99"/>
    <w:bookmarkEnd w:id="98"/>
    <w:p>
      <w:pPr>
        <w:ind w:left="56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21"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9"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3"/>
        </w:trPr>
        <w:tc>
          <w:tcPr>
            <w:tcW w:w="46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(67,668)</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(37,648)</w:t>
            </w: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r>
      <w:tr>
        <w:trPr>
          <w:trHeight w:val="22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129,994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160,287</w:t>
            </w:r>
          </w:p>
        </w:tc>
        <w:tc>
          <w:tcPr>
            <w:tcW w:w="80" w:type="dxa"/>
            <w:vAlign w:val="bottom"/>
            <w:shd w:val="clear" w:color="auto" w:fill="CFF0FC"/>
          </w:tcPr>
          <w:p>
            <w:pPr>
              <w:spacing w:after="0"/>
              <w:rPr>
                <w:sz w:val="19"/>
                <w:szCs w:val="19"/>
                <w:color w:val="auto"/>
              </w:rPr>
            </w:pPr>
          </w:p>
        </w:tc>
      </w:tr>
      <w:tr>
        <w:trPr>
          <w:trHeight w:val="207"/>
        </w:trPr>
        <w:tc>
          <w:tcPr>
            <w:tcW w:w="4620" w:type="dxa"/>
            <w:vAlign w:val="bottom"/>
          </w:tcPr>
          <w:p>
            <w:pPr>
              <w:ind w:left="240"/>
              <w:spacing w:after="0"/>
              <w:rPr>
                <w:sz w:val="20"/>
                <w:szCs w:val="20"/>
                <w:color w:val="auto"/>
              </w:rPr>
            </w:pPr>
            <w:r>
              <w:rPr>
                <w:rFonts w:ascii="Arial" w:cs="Arial" w:eastAsia="Arial" w:hAnsi="Arial"/>
                <w:sz w:val="18"/>
                <w:szCs w:val="18"/>
                <w:color w:val="auto"/>
              </w:rPr>
              <w:t>Net increase in cash, cash equivalents and restricted</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4620" w:type="dxa"/>
            <w:vAlign w:val="bottom"/>
          </w:tcPr>
          <w:p>
            <w:pPr>
              <w:ind w:left="360"/>
              <w:spacing w:after="0"/>
              <w:rPr>
                <w:sz w:val="20"/>
                <w:szCs w:val="20"/>
                <w:color w:val="auto"/>
              </w:rPr>
            </w:pPr>
            <w:r>
              <w:rPr>
                <w:rFonts w:ascii="Arial" w:cs="Arial" w:eastAsia="Arial" w:hAnsi="Arial"/>
                <w:sz w:val="18"/>
                <w:szCs w:val="18"/>
                <w:color w:val="auto"/>
              </w:rPr>
              <w:t>cash</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60,741</w:t>
            </w:r>
          </w:p>
        </w:tc>
        <w:tc>
          <w:tcPr>
            <w:tcW w:w="2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120,807</w:t>
            </w: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During the year ended December 31, 2019, operating activities used $67.7 million of cash and cash equivalents, resulting from our net loss of</w:t>
      </w:r>
    </w:p>
    <w:p>
      <w:pPr>
        <w:spacing w:after="0" w:line="5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$73.0 million and net cash used by changes in our operating assets and liabilities of $2.2 million, offset in part by non-cash charges of $7.5 million. Net cash used by changes in our operating assets and liabilities for the year ended December 31, 2019 consisted primarily of a $4.9 million increase in prepaid expenses and other current assets and $0.2 million increase in other assets, partially offset by a $1.0 million increase in accounts payable and a $1.9 million increase in accrued expenses and other current liabilities. The increase in prepaid expenses and other current assets was primarily due to a $3.9 million increase in prepaid development costs, $0.6 million increase in prepaid insurance and a $0.6 million increase in tax incentive refund receivable from the Australian government.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During the year ended December 31, 2018, operating activities used $37.6 million of cash and cash equivalents, resulting from our net loss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$46.4 million, partially offset by non-cash charges of $4.6 million and net cash provided by changes in our operating assets and liabilities of $4.2 million. Net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cash provided by changes in our operating assets and liabilities for the year ended December 31, 2018 consisted primarily of a $5.3 million increase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and other current liabilities and a $2.0 million increase in accounts payable, partially offset by a $0.1 million increase in other assets and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$3.0 million increase in prepaid expenses and other current assets. The increases in accrued expenses and other current liabilities were primarily due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ongoing research, development, and clinical trial work, and an increase in the incentive bonus accrual as of December 31, 2018. The increase in prepaid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expenses and other current assets was primarily due to a $0.8 million increase in prepaid development costs, a $1.3 million increase in tax incentive refund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receivable from the Australian government and a $0.2 million increase in interest income receivable.</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2" w:lineRule="exact"/>
        <w:rPr>
          <w:sz w:val="20"/>
          <w:szCs w:val="20"/>
          <w:color w:val="auto"/>
        </w:rPr>
      </w:pPr>
    </w:p>
    <w:p>
      <w:pPr>
        <w:ind w:right="440" w:firstLine="546"/>
        <w:spacing w:after="0" w:line="265" w:lineRule="auto"/>
        <w:rPr>
          <w:sz w:val="20"/>
          <w:szCs w:val="20"/>
          <w:color w:val="auto"/>
        </w:rPr>
      </w:pPr>
      <w:r>
        <w:rPr>
          <w:rFonts w:ascii="Arial" w:cs="Arial" w:eastAsia="Arial" w:hAnsi="Arial"/>
          <w:sz w:val="18"/>
          <w:szCs w:val="18"/>
          <w:color w:val="auto"/>
        </w:rPr>
        <w:t>During the years ended December 31, 2019 and 2018, we used $1.6 million and $1.8 million of cash and cash equivalents in investing activities consisting of purchases of property and equipment.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2" w:lineRule="exact"/>
        <w:rPr>
          <w:sz w:val="20"/>
          <w:szCs w:val="20"/>
          <w:color w:val="auto"/>
        </w:rPr>
      </w:pPr>
    </w:p>
    <w:p>
      <w:pPr>
        <w:ind w:right="60" w:firstLine="546"/>
        <w:spacing w:after="0" w:line="265" w:lineRule="auto"/>
        <w:rPr>
          <w:sz w:val="20"/>
          <w:szCs w:val="20"/>
          <w:color w:val="auto"/>
        </w:rPr>
      </w:pPr>
      <w:r>
        <w:rPr>
          <w:rFonts w:ascii="Arial" w:cs="Arial" w:eastAsia="Arial" w:hAnsi="Arial"/>
          <w:sz w:val="18"/>
          <w:szCs w:val="18"/>
          <w:color w:val="auto"/>
        </w:rPr>
        <w:t>During the year ended December 31, 2019, net cash provided by financing activities was $130.0 million, primarily consisting of net cash proceeds of $129.5 million from our July 2019 Follow-on Offering.</w:t>
      </w:r>
    </w:p>
    <w:p>
      <w:pPr>
        <w:spacing w:after="0" w:line="180" w:lineRule="exact"/>
        <w:rPr>
          <w:sz w:val="20"/>
          <w:szCs w:val="20"/>
          <w:color w:val="auto"/>
        </w:rPr>
      </w:pPr>
    </w:p>
    <w:p>
      <w:pPr>
        <w:ind w:right="60" w:firstLine="546"/>
        <w:spacing w:after="0" w:line="265" w:lineRule="auto"/>
        <w:rPr>
          <w:sz w:val="20"/>
          <w:szCs w:val="20"/>
          <w:color w:val="auto"/>
        </w:rPr>
      </w:pPr>
      <w:r>
        <w:rPr>
          <w:rFonts w:ascii="Arial" w:cs="Arial" w:eastAsia="Arial" w:hAnsi="Arial"/>
          <w:sz w:val="18"/>
          <w:szCs w:val="18"/>
          <w:color w:val="auto"/>
        </w:rPr>
        <w:t>During the year ended December 31, 2018, net cash provided by financing activities was $160.3 million, primarily consisting of net cash proceeds of $104.0 million from our IPO proceeds and $58.3 million from our issuance of Series B preferred stock in January 2018.</w:t>
      </w:r>
    </w:p>
    <w:p>
      <w:pPr>
        <w:spacing w:after="0" w:line="31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2" w:lineRule="exact"/>
        <w:rPr>
          <w:sz w:val="20"/>
          <w:szCs w:val="20"/>
          <w:color w:val="auto"/>
        </w:rPr>
      </w:pPr>
    </w:p>
    <w:p>
      <w:pPr>
        <w:ind w:right="220" w:firstLine="546"/>
        <w:spacing w:after="0" w:line="252" w:lineRule="auto"/>
        <w:rPr>
          <w:sz w:val="20"/>
          <w:szCs w:val="20"/>
          <w:color w:val="auto"/>
        </w:rPr>
      </w:pPr>
      <w:r>
        <w:rPr>
          <w:rFonts w:ascii="Arial" w:cs="Arial" w:eastAsia="Arial" w:hAnsi="Arial"/>
          <w:sz w:val="18"/>
          <w:szCs w:val="18"/>
          <w:color w:val="auto"/>
        </w:rPr>
        <w:t>In June 2017, we entered into the Loan Agreement with SVB providing a senior secured non-revolving loan facility of up to an aggregate principal amount of $10.0 million, available for us to draw down in three tranches until October 31, 2018, subject to the satisfaction of certain milestones for each tranche. Through the end of the drawdown period on October 31, 2018, we had not drawn down from the facility. The Loan Agreement expired on October 31, 2018.</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552" w:right="399" w:bottom="1440" w:gutter="0" w:footer="0" w:header="0"/>
        </w:sectPr>
      </w:pPr>
    </w:p>
    <w:bookmarkStart w:id="99" w:name="page100"/>
    <w:bookmarkEnd w:id="99"/>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2" w:lineRule="exact"/>
        <w:rPr>
          <w:sz w:val="20"/>
          <w:szCs w:val="20"/>
          <w:color w:val="auto"/>
        </w:rPr>
      </w:pPr>
    </w:p>
    <w:p>
      <w:pPr>
        <w:ind w:right="280" w:firstLine="546"/>
        <w:spacing w:after="0" w:line="265"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74" w:lineRule="exact"/>
        <w:rPr>
          <w:sz w:val="20"/>
          <w:szCs w:val="20"/>
          <w:color w:val="auto"/>
        </w:rPr>
      </w:pPr>
    </w:p>
    <w:p>
      <w:pPr>
        <w:ind w:left="940" w:right="160" w:hanging="389"/>
        <w:spacing w:after="0" w:line="265"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ongoing investigator-sponsored clinical trial of AVR-RD-04 and our ongoing clinical trial of AVR-RD-02;</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23" w:lineRule="exact"/>
        <w:rPr>
          <w:rFonts w:ascii="Arial" w:cs="Arial" w:eastAsia="Arial" w:hAnsi="Arial"/>
          <w:sz w:val="17"/>
          <w:szCs w:val="17"/>
          <w:color w:val="auto"/>
        </w:rPr>
      </w:pPr>
    </w:p>
    <w:p>
      <w:pPr>
        <w:ind w:left="940" w:hanging="3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1" w:lineRule="exact"/>
        <w:rPr>
          <w:rFonts w:ascii="Arial" w:cs="Arial" w:eastAsia="Arial" w:hAnsi="Arial"/>
          <w:sz w:val="18"/>
          <w:szCs w:val="18"/>
          <w:color w:val="auto"/>
        </w:rPr>
      </w:pPr>
    </w:p>
    <w:p>
      <w:pPr>
        <w:ind w:left="940" w:right="680" w:hanging="389"/>
        <w:spacing w:after="0" w:line="265"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1" w:lineRule="exact"/>
        <w:rPr>
          <w:rFonts w:ascii="Arial" w:cs="Arial" w:eastAsia="Arial" w:hAnsi="Arial"/>
          <w:sz w:val="18"/>
          <w:szCs w:val="18"/>
          <w:color w:val="auto"/>
        </w:rPr>
      </w:pPr>
    </w:p>
    <w:p>
      <w:pPr>
        <w:ind w:left="940" w:right="380" w:hanging="389"/>
        <w:spacing w:after="0" w:line="265"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18" w:lineRule="exact"/>
        <w:rPr>
          <w:sz w:val="20"/>
          <w:szCs w:val="20"/>
          <w:color w:val="auto"/>
        </w:rPr>
      </w:pPr>
    </w:p>
    <w:p>
      <w:pPr>
        <w:ind w:right="220" w:firstLine="546"/>
        <w:spacing w:after="0" w:line="269" w:lineRule="auto"/>
        <w:rPr>
          <w:sz w:val="20"/>
          <w:szCs w:val="20"/>
          <w:color w:val="auto"/>
        </w:rPr>
      </w:pPr>
      <w:r>
        <w:rPr>
          <w:rFonts w:ascii="Arial" w:cs="Arial" w:eastAsia="Arial" w:hAnsi="Arial"/>
          <w:sz w:val="17"/>
          <w:szCs w:val="17"/>
          <w:color w:val="auto"/>
        </w:rPr>
        <w:t>We believe that our existing cash and cash equivalents as of December 31, 2019, together with the estimated net proceeds of $93.5 million from our February 2020 Follow-on Offering, will enable us to fund our operating expenses and capital expenditure requirements into the second quarter of 2022.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79" w:lineRule="exact"/>
        <w:rPr>
          <w:sz w:val="20"/>
          <w:szCs w:val="20"/>
          <w:color w:val="auto"/>
        </w:rPr>
      </w:pPr>
    </w:p>
    <w:p>
      <w:pPr>
        <w:ind w:right="40" w:firstLine="546"/>
        <w:spacing w:after="0" w:line="305" w:lineRule="auto"/>
        <w:rPr>
          <w:sz w:val="20"/>
          <w:szCs w:val="20"/>
          <w:color w:val="auto"/>
        </w:rPr>
      </w:pPr>
      <w:r>
        <w:rPr>
          <w:rFonts w:ascii="Arial" w:cs="Arial" w:eastAsia="Arial" w:hAnsi="Arial"/>
          <w:sz w:val="15"/>
          <w:szCs w:val="15"/>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8" w:lineRule="exact"/>
        <w:rPr>
          <w:sz w:val="20"/>
          <w:szCs w:val="20"/>
          <w:color w:val="auto"/>
        </w:rPr>
      </w:pPr>
    </w:p>
    <w:p>
      <w:pPr>
        <w:ind w:right="60" w:firstLine="546"/>
        <w:spacing w:after="0" w:line="265" w:lineRule="auto"/>
        <w:rPr>
          <w:sz w:val="20"/>
          <w:szCs w:val="20"/>
          <w:color w:val="auto"/>
        </w:rPr>
      </w:pPr>
      <w:r>
        <w:rPr>
          <w:rFonts w:ascii="Arial" w:cs="Arial" w:eastAsia="Arial" w:hAnsi="Arial"/>
          <w:sz w:val="18"/>
          <w:szCs w:val="18"/>
          <w:color w:val="auto"/>
        </w:rPr>
        <w:t>The following table summarizes our contractual obligations as of December 31, 2019 and the effects that such obligations are expected to have on our liquidity and cash flows in future periods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80"/>
              <w:spacing w:after="0" w:line="130" w:lineRule="exact"/>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460"/>
              <w:spacing w:after="0" w:line="130" w:lineRule="exact"/>
              <w:rPr>
                <w:sz w:val="20"/>
                <w:szCs w:val="20"/>
                <w:color w:val="auto"/>
              </w:rPr>
            </w:pPr>
            <w:r>
              <w:rPr>
                <w:rFonts w:ascii="Arial" w:cs="Arial" w:eastAsia="Arial" w:hAnsi="Arial"/>
                <w:sz w:val="14"/>
                <w:szCs w:val="14"/>
                <w:b w:val="1"/>
                <w:bCs w:val="1"/>
                <w:color w:val="auto"/>
                <w:w w:val="92"/>
              </w:rPr>
              <w:t>1 to 3</w:t>
            </w:r>
          </w:p>
        </w:tc>
        <w:tc>
          <w:tcPr>
            <w:tcW w:w="220" w:type="dxa"/>
            <w:vAlign w:val="bottom"/>
          </w:tcPr>
          <w:p>
            <w:pPr>
              <w:spacing w:after="0"/>
              <w:rPr>
                <w:sz w:val="11"/>
                <w:szCs w:val="11"/>
                <w:color w:val="auto"/>
              </w:rPr>
            </w:pPr>
          </w:p>
        </w:tc>
        <w:tc>
          <w:tcPr>
            <w:tcW w:w="110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1"/>
                <w:szCs w:val="11"/>
                <w:color w:val="auto"/>
              </w:rPr>
            </w:pPr>
          </w:p>
        </w:tc>
        <w:tc>
          <w:tcPr>
            <w:tcW w:w="940" w:type="dxa"/>
            <w:vAlign w:val="bottom"/>
          </w:tcPr>
          <w:p>
            <w:pPr>
              <w:jc w:val="center"/>
              <w:ind w:right="100"/>
              <w:spacing w:after="0" w:line="130"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8"/>
              </w:rPr>
              <w:t>5 Years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 (1)</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0" w:type="dxa"/>
            <w:vAlign w:val="bottom"/>
            <w:vMerge w:val="continue"/>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3,055</w:t>
            </w:r>
          </w:p>
        </w:tc>
        <w:tc>
          <w:tcPr>
            <w:tcW w:w="2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right="380" w:hanging="554"/>
        <w:spacing w:after="0" w:line="256"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for office and laboratory space, which are located in Cambridge, Massachusetts. Those leases will expire from October 2020 to January 2023. The minimum lease payments above do not include any related common area maintenance charges or real estate 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100" w:name="page101"/>
    <w:bookmarkEnd w:id="100"/>
    <w:p>
      <w:pPr>
        <w:ind w:right="200" w:firstLine="546"/>
        <w:spacing w:after="0" w:line="252"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93" w:lineRule="exact"/>
        <w:rPr>
          <w:sz w:val="20"/>
          <w:szCs w:val="20"/>
          <w:color w:val="auto"/>
        </w:rPr>
      </w:pPr>
    </w:p>
    <w:p>
      <w:pPr>
        <w:ind w:right="340" w:firstLine="546"/>
        <w:spacing w:after="0" w:line="256"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8" w:lineRule="exact"/>
        <w:rPr>
          <w:sz w:val="20"/>
          <w:szCs w:val="20"/>
          <w:color w:val="auto"/>
        </w:rPr>
      </w:pPr>
    </w:p>
    <w:p>
      <w:pPr>
        <w:ind w:right="120" w:firstLine="546"/>
        <w:spacing w:after="0" w:line="309"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55" w:lineRule="exact"/>
        <w:rPr>
          <w:sz w:val="20"/>
          <w:szCs w:val="20"/>
          <w:color w:val="auto"/>
        </w:rPr>
      </w:pPr>
    </w:p>
    <w:p>
      <w:pPr>
        <w:ind w:right="220" w:firstLine="546"/>
        <w:spacing w:after="0" w:line="256"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report, we believe that the following accounting policies are those most critical to the judgments and estimates used in the preparation of our consolidated financial statements.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2" w:lineRule="exact"/>
        <w:rPr>
          <w:sz w:val="20"/>
          <w:szCs w:val="20"/>
          <w:color w:val="auto"/>
        </w:rPr>
      </w:pPr>
    </w:p>
    <w:p>
      <w:pPr>
        <w:ind w:right="60" w:firstLine="546"/>
        <w:spacing w:after="0" w:line="307"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49" w:lineRule="exact"/>
        <w:rPr>
          <w:sz w:val="20"/>
          <w:szCs w:val="20"/>
          <w:color w:val="auto"/>
        </w:rPr>
      </w:pPr>
    </w:p>
    <w:p>
      <w:pPr>
        <w:ind w:left="940" w:hanging="3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18"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01" w:name="page102"/>
    <w:bookmarkEnd w:id="101"/>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right="280" w:firstLine="546"/>
        <w:spacing w:after="0" w:line="252"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issued stock options, restricted stock and restricted stock units with service-based vesting conditions.</w:t>
      </w:r>
    </w:p>
    <w:p>
      <w:pPr>
        <w:spacing w:after="0" w:line="193" w:lineRule="exact"/>
        <w:rPr>
          <w:sz w:val="20"/>
          <w:szCs w:val="20"/>
          <w:color w:val="auto"/>
        </w:rPr>
      </w:pPr>
    </w:p>
    <w:p>
      <w:pPr>
        <w:ind w:right="180" w:firstLine="546"/>
        <w:spacing w:after="0" w:line="250" w:lineRule="auto"/>
        <w:rPr>
          <w:sz w:val="20"/>
          <w:szCs w:val="20"/>
          <w:color w:val="auto"/>
        </w:rPr>
      </w:pPr>
      <w:r>
        <w:rPr>
          <w:rFonts w:ascii="Arial" w:cs="Arial" w:eastAsia="Arial" w:hAnsi="Arial"/>
          <w:sz w:val="18"/>
          <w:szCs w:val="18"/>
          <w:color w:val="auto"/>
        </w:rPr>
        <w:t xml:space="preserve">Prior to the adoption of Accounting Standards Update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 Share-Based Payment Accounting (ASU 2018-07)</w:t>
      </w:r>
      <w:r>
        <w:rPr>
          <w:rFonts w:ascii="Arial" w:cs="Arial" w:eastAsia="Arial" w:hAnsi="Arial"/>
          <w:sz w:val="18"/>
          <w:szCs w:val="18"/>
          <w:color w:val="auto"/>
        </w:rPr>
        <w:t>, as discussed in Note 2 to our consolidated financial statements appearing at the end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the measurement date for non-employee awards was generally the date the services are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spacing w:after="0" w:line="194" w:lineRule="exact"/>
        <w:rPr>
          <w:sz w:val="20"/>
          <w:szCs w:val="20"/>
          <w:color w:val="auto"/>
        </w:rPr>
      </w:pPr>
    </w:p>
    <w:p>
      <w:pPr>
        <w:jc w:val="both"/>
        <w:ind w:right="220" w:firstLine="546"/>
        <w:spacing w:after="0" w:line="256"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8" w:lineRule="exact"/>
        <w:rPr>
          <w:sz w:val="20"/>
          <w:szCs w:val="20"/>
          <w:color w:val="auto"/>
        </w:rPr>
      </w:pPr>
    </w:p>
    <w:p>
      <w:pPr>
        <w:ind w:right="460" w:firstLine="546"/>
        <w:spacing w:after="0" w:line="265"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4" w:lineRule="exact"/>
        <w:rPr>
          <w:sz w:val="20"/>
          <w:szCs w:val="20"/>
          <w:color w:val="auto"/>
        </w:rPr>
      </w:pPr>
    </w:p>
    <w:p>
      <w:pPr>
        <w:ind w:left="940" w:right="280" w:hanging="389"/>
        <w:spacing w:after="0" w:line="256" w:lineRule="auto"/>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The fair value of our common stock is determined based on the quoted market price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our IPO, our stock was not publicly traded, and therefore we estimated the fair value of our common stock, as discussed in “Determination of the Fair Value of Common Stock” below.</w:t>
      </w:r>
    </w:p>
    <w:p>
      <w:pPr>
        <w:spacing w:after="0" w:line="81" w:lineRule="exact"/>
        <w:rPr>
          <w:rFonts w:ascii="Arial" w:cs="Arial" w:eastAsia="Arial" w:hAnsi="Arial"/>
          <w:sz w:val="18"/>
          <w:szCs w:val="18"/>
          <w:color w:val="auto"/>
        </w:rPr>
      </w:pPr>
    </w:p>
    <w:p>
      <w:pPr>
        <w:ind w:left="940" w:right="100" w:hanging="389"/>
        <w:spacing w:after="0" w:line="366" w:lineRule="auto"/>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The expected term represents the period that the stock-based awards are expected to be outstanding. The expected term of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granted has been determined using the simplified method, which uses the midpoint between the vesting date and the contractual term.</w:t>
      </w:r>
    </w:p>
    <w:p>
      <w:pPr>
        <w:spacing w:after="0" w:line="5" w:lineRule="exact"/>
        <w:rPr>
          <w:rFonts w:ascii="Arial" w:cs="Arial" w:eastAsia="Arial" w:hAnsi="Arial"/>
          <w:sz w:val="15"/>
          <w:szCs w:val="15"/>
          <w:color w:val="auto"/>
        </w:rPr>
      </w:pPr>
    </w:p>
    <w:p>
      <w:pPr>
        <w:ind w:left="940" w:right="260" w:hanging="389"/>
        <w:spacing w:after="0" w:line="295" w:lineRule="auto"/>
        <w:tabs>
          <w:tab w:leader="none" w:pos="9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 U.S.</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constant maturity notes with terms approximately equal to the stock-based award’s expected term.</w:t>
      </w:r>
    </w:p>
    <w:p>
      <w:pPr>
        <w:spacing w:after="0" w:line="50" w:lineRule="exact"/>
        <w:rPr>
          <w:rFonts w:ascii="Arial" w:cs="Arial" w:eastAsia="Arial" w:hAnsi="Arial"/>
          <w:sz w:val="17"/>
          <w:szCs w:val="17"/>
          <w:color w:val="auto"/>
        </w:rPr>
      </w:pPr>
    </w:p>
    <w:p>
      <w:pPr>
        <w:ind w:left="940" w:right="320" w:hanging="389"/>
        <w:spacing w:after="0" w:line="256" w:lineRule="auto"/>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long-term trading history of our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several public companies within our industry that we consider to be comparable to our business over a period equivalent to the expected term of the stock-based awards.</w:t>
      </w:r>
    </w:p>
    <w:p>
      <w:pPr>
        <w:spacing w:after="0" w:line="81" w:lineRule="exact"/>
        <w:rPr>
          <w:rFonts w:ascii="Arial" w:cs="Arial" w:eastAsia="Arial" w:hAnsi="Arial"/>
          <w:sz w:val="18"/>
          <w:szCs w:val="18"/>
          <w:color w:val="auto"/>
        </w:rPr>
      </w:pPr>
    </w:p>
    <w:p>
      <w:pPr>
        <w:ind w:left="940" w:hanging="389"/>
        <w:spacing w:after="0"/>
        <w:tabs>
          <w:tab w:leader="none" w:pos="9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zero as we have not paid and do not anticipate paying any dividends in the foreseeable future.</w:t>
      </w:r>
    </w:p>
    <w:p>
      <w:pPr>
        <w:spacing w:after="0" w:line="230" w:lineRule="exact"/>
        <w:rPr>
          <w:sz w:val="20"/>
          <w:szCs w:val="20"/>
          <w:color w:val="auto"/>
        </w:rPr>
      </w:pPr>
    </w:p>
    <w:p>
      <w:pPr>
        <w:ind w:right="300" w:firstLine="546"/>
        <w:spacing w:after="0" w:line="265"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our common stock is determined based on the quoted market price of our common stock.</w:t>
      </w:r>
    </w:p>
    <w:p>
      <w:pPr>
        <w:spacing w:after="0" w:line="218"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After a public trading market for our common stock was established following the closing of our IPO, it was no longer necessary for our board of directors to estimate the fair market value of our common stock in connection with our accounting for granted equity awards.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102" w:name="page103"/>
    <w:bookmarkEnd w:id="102"/>
    <w:p>
      <w:pPr>
        <w:ind w:left="56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2" w:lineRule="exact"/>
        <w:rPr>
          <w:sz w:val="20"/>
          <w:szCs w:val="20"/>
          <w:color w:val="auto"/>
        </w:rPr>
      </w:pPr>
    </w:p>
    <w:p>
      <w:pPr>
        <w:ind w:right="100" w:firstLine="546"/>
        <w:spacing w:after="0" w:line="319" w:lineRule="auto"/>
        <w:rPr>
          <w:sz w:val="20"/>
          <w:szCs w:val="20"/>
          <w:color w:val="auto"/>
        </w:rPr>
      </w:pPr>
      <w:r>
        <w:rPr>
          <w:rFonts w:ascii="Arial" w:cs="Arial" w:eastAsia="Arial" w:hAnsi="Arial"/>
          <w:sz w:val="15"/>
          <w:szCs w:val="15"/>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probability-weighted expected return method, or PWERM, which considered as inputs the type and probability of occurrence of an IPO dilution event, the amount of the payment, the expected timing of an IPO dilution event and a risk-adjusted discount rate.</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2"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In connection with entering into the Loan Agreement, we agreed to issue a warrant to purchase shares of our Series A preferred stock to the lender. We classified the warrant as a liability on our consolidated balance sheet because the warrant represented a free-standing financial instrument that may have required us to transfer assets upon exercise. The warrant liability was initially recorded at fair value upon the date of the warrant issuance and was subsequently remeasured to fair value at each reporting date. Changes in the fair value of the warrant liability were recognized as a component of other income (expense), net in the consolidated statements of operations.</w:t>
      </w:r>
    </w:p>
    <w:p>
      <w:pPr>
        <w:spacing w:after="0" w:line="193" w:lineRule="exact"/>
        <w:rPr>
          <w:sz w:val="20"/>
          <w:szCs w:val="20"/>
          <w:color w:val="auto"/>
        </w:rPr>
      </w:pPr>
    </w:p>
    <w:p>
      <w:pPr>
        <w:ind w:right="60" w:firstLine="546"/>
        <w:spacing w:after="0" w:line="305" w:lineRule="auto"/>
        <w:rPr>
          <w:sz w:val="20"/>
          <w:szCs w:val="20"/>
          <w:color w:val="auto"/>
        </w:rPr>
      </w:pPr>
      <w:r>
        <w:rPr>
          <w:rFonts w:ascii="Arial" w:cs="Arial" w:eastAsia="Arial" w:hAnsi="Arial"/>
          <w:sz w:val="15"/>
          <w:szCs w:val="15"/>
          <w:color w:val="auto"/>
        </w:rPr>
        <w:t>We utilized the Black-Scholes option-pricing model, which incorporates assumptions and estimates, to value the warrant. We assessed these assumptions and estimates on a quarterly basis as additional information impacting the assumptions was obtained. Estimates and assumptions impacting the fair value measurement included the fair value per share of the underlying equity instruments issuable upon exercise of the warrant, the remaining contractual term of the warrant, risk-free interest rate, expected dividend yield and expected volatility of the underlying preferred stock. Prior to our IPO in 2018, we had been a private company and lacked company-specific historical and implied volatility information of our stock. Therefore, we estimated expected stock volatility based on the historical volatility of publicly traded peer companies for a term equal to the remaining contractual term of the warrant. The risk-free interest rate was determined by reference to the U.S. Treasury yield curve for time periods approximately equal to the remaining contractual term of the warrant. We estimated a 0% dividend yield based on the fact that we have never paid or declared dividends.</w:t>
      </w:r>
    </w:p>
    <w:p>
      <w:pPr>
        <w:spacing w:after="0" w:line="159" w:lineRule="exact"/>
        <w:rPr>
          <w:sz w:val="20"/>
          <w:szCs w:val="20"/>
          <w:color w:val="auto"/>
        </w:rPr>
      </w:pPr>
    </w:p>
    <w:p>
      <w:pPr>
        <w:ind w:right="40" w:firstLine="546"/>
        <w:spacing w:after="0" w:line="256" w:lineRule="auto"/>
        <w:rPr>
          <w:sz w:val="20"/>
          <w:szCs w:val="20"/>
          <w:color w:val="auto"/>
        </w:rPr>
      </w:pPr>
      <w:r>
        <w:rPr>
          <w:rFonts w:ascii="Arial" w:cs="Arial" w:eastAsia="Arial" w:hAnsi="Arial"/>
          <w:sz w:val="18"/>
          <w:szCs w:val="18"/>
          <w:color w:val="auto"/>
        </w:rPr>
        <w:t>Upon the closing of our IPO, the preferred stock warrant became exercisable for common stock instead of preferred stock. The carrying amount of the warrant to purchase preferred stock as of the date of IPO was transferred to additional paid in capital. No further revaluation was required for the warrant to purchase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18" w:lineRule="exact"/>
        <w:rPr>
          <w:sz w:val="20"/>
          <w:szCs w:val="20"/>
          <w:color w:val="auto"/>
        </w:rPr>
      </w:pPr>
    </w:p>
    <w:p>
      <w:pPr>
        <w:ind w:right="40" w:firstLine="546"/>
        <w:spacing w:after="0" w:line="304"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right="800" w:firstLine="546"/>
        <w:spacing w:after="0" w:line="26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8" w:lineRule="exact"/>
        <w:rPr>
          <w:sz w:val="20"/>
          <w:szCs w:val="20"/>
          <w:color w:val="auto"/>
        </w:rPr>
      </w:pPr>
    </w:p>
    <w:p>
      <w:pPr>
        <w:ind w:right="40" w:firstLine="546"/>
        <w:spacing w:after="0" w:line="265"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audited financial statements appearing elsewhere in this report.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2" w:lineRule="exact"/>
        <w:rPr>
          <w:sz w:val="20"/>
          <w:szCs w:val="20"/>
          <w:color w:val="auto"/>
        </w:rPr>
      </w:pPr>
    </w:p>
    <w:p>
      <w:pPr>
        <w:jc w:val="both"/>
        <w:ind w:right="200" w:firstLine="546"/>
        <w:spacing w:after="0" w:line="278" w:lineRule="auto"/>
        <w:rPr>
          <w:sz w:val="20"/>
          <w:szCs w:val="20"/>
          <w:color w:val="auto"/>
        </w:rPr>
      </w:pPr>
      <w:r>
        <w:rPr>
          <w:rFonts w:ascii="Arial" w:cs="Arial" w:eastAsia="Arial" w:hAnsi="Arial"/>
          <w:sz w:val="17"/>
          <w:szCs w:val="17"/>
          <w:color w:val="auto"/>
        </w:rPr>
        <w:t>As of December 31, 2019, we had cash and cash equivalents of $187.0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2" w:lineRule="exact"/>
        <w:rPr>
          <w:sz w:val="20"/>
          <w:szCs w:val="20"/>
          <w:color w:val="auto"/>
        </w:rPr>
      </w:pPr>
    </w:p>
    <w:p>
      <w:pPr>
        <w:jc w:val="both"/>
        <w:ind w:right="60" w:firstLine="546"/>
        <w:spacing w:after="0" w:line="300" w:lineRule="auto"/>
        <w:rPr>
          <w:sz w:val="20"/>
          <w:szCs w:val="20"/>
          <w:color w:val="auto"/>
        </w:rPr>
      </w:pPr>
      <w:r>
        <w:rPr>
          <w:rFonts w:ascii="Arial" w:cs="Arial" w:eastAsia="Arial" w:hAnsi="Arial"/>
          <w:sz w:val="15"/>
          <w:szCs w:val="15"/>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During each of the years ended December 31, 2019 and 2018, we recognized immaterial foreign currency transaction losses.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99" w:lineRule="exact"/>
        <w:rPr>
          <w:sz w:val="20"/>
          <w:szCs w:val="20"/>
          <w:color w:val="auto"/>
        </w:rPr>
      </w:pPr>
    </w:p>
    <w:p>
      <w:pPr>
        <w:ind w:right="160" w:firstLine="546"/>
        <w:spacing w:after="0" w:line="256"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8" w:lineRule="exact"/>
        <w:rPr>
          <w:sz w:val="20"/>
          <w:szCs w:val="20"/>
          <w:color w:val="auto"/>
        </w:rPr>
      </w:pPr>
    </w:p>
    <w:p>
      <w:pPr>
        <w:ind w:right="20" w:firstLine="546"/>
        <w:spacing w:after="0" w:line="265" w:lineRule="auto"/>
        <w:rPr>
          <w:sz w:val="20"/>
          <w:szCs w:val="20"/>
          <w:color w:val="auto"/>
        </w:rPr>
      </w:pPr>
      <w:r>
        <w:rPr>
          <w:rFonts w:ascii="Arial" w:cs="Arial" w:eastAsia="Arial" w:hAnsi="Arial"/>
          <w:sz w:val="18"/>
          <w:szCs w:val="18"/>
          <w:color w:val="auto"/>
        </w:rPr>
        <w:t>All financial statements and supplementary data required to be filed hereunder are filed as listed under Item 15(a) of this Annual Report on Form 10-K and are incorporated herein by this reference.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ind w:firstLine="546"/>
        <w:spacing w:after="0" w:line="301"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(our principal executive officer and principal financial officer, respectively), evaluated the effectiveness of our disclosure controls and procedures as of December 31,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a result of the material weaknesses in our internal control over financial reporting as described below under “Management’s Report on Internal Control Over Financial Reporting” and in Part II, Item 1A. of this report, our disclosure controls and procedures were not effective as of December 31, 2019. Notwithstanding the material weaknesses, our management has concluded that the financial statements included elsewhere in this report present fairly, in all material respects, our financial position, results of operations and cash flows in conformity with GAAP.</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2" w:lineRule="exact"/>
        <w:rPr>
          <w:sz w:val="20"/>
          <w:szCs w:val="20"/>
          <w:color w:val="auto"/>
        </w:rPr>
      </w:pPr>
    </w:p>
    <w:p>
      <w:pPr>
        <w:jc w:val="both"/>
        <w:ind w:right="180" w:firstLine="546"/>
        <w:spacing w:after="0" w:line="319" w:lineRule="auto"/>
        <w:rPr>
          <w:sz w:val="20"/>
          <w:szCs w:val="20"/>
          <w:color w:val="auto"/>
        </w:rPr>
      </w:pPr>
      <w:r>
        <w:rPr>
          <w:rFonts w:ascii="Arial" w:cs="Arial" w:eastAsia="Arial" w:hAnsi="Arial"/>
          <w:sz w:val="15"/>
          <w:szCs w:val="15"/>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we took a number of actions, including the efforts outlined below, designed to improve our internal control over financial reporting to remediate these material weaknesses. These efforts include:</w:t>
      </w:r>
    </w:p>
    <w:p>
      <w:pPr>
        <w:spacing w:after="0" w:line="39" w:lineRule="exact"/>
        <w:rPr>
          <w:sz w:val="20"/>
          <w:szCs w:val="20"/>
          <w:color w:val="auto"/>
        </w:rPr>
      </w:pPr>
    </w:p>
    <w:p>
      <w:pPr>
        <w:ind w:left="940" w:right="240" w:hanging="389"/>
        <w:spacing w:after="0" w:line="265"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hiring additional qualified accounting and financial planning and analysis personnel, including an Assistant Controller and Senior Director of Financial Planning and Analysis;</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conducting a review of our IT infrastructure, personnel and services, and hiring a Senior Director of Information Technology;</w:t>
      </w:r>
    </w:p>
    <w:p>
      <w:pPr>
        <w:spacing w:after="0" w:line="111" w:lineRule="exact"/>
        <w:rPr>
          <w:rFonts w:ascii="Arial" w:cs="Arial" w:eastAsia="Arial" w:hAnsi="Arial"/>
          <w:sz w:val="18"/>
          <w:szCs w:val="18"/>
          <w:color w:val="auto"/>
        </w:rPr>
      </w:pPr>
    </w:p>
    <w:p>
      <w:pPr>
        <w:ind w:left="940" w:right="20" w:hanging="389"/>
        <w:spacing w:after="0" w:line="265"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engaging a professional accounting services firm to help us assess and commence documentation of our internal controls for complying with the Sarbanes-Oxley Act of 2002;</w:t>
      </w:r>
    </w:p>
    <w:p>
      <w:pPr>
        <w:spacing w:after="0" w:line="74" w:lineRule="exact"/>
        <w:rPr>
          <w:rFonts w:ascii="Arial" w:cs="Arial" w:eastAsia="Arial" w:hAnsi="Arial"/>
          <w:sz w:val="18"/>
          <w:szCs w:val="18"/>
          <w:color w:val="auto"/>
        </w:rPr>
      </w:pPr>
    </w:p>
    <w:p>
      <w:pPr>
        <w:ind w:left="940" w:hanging="389"/>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strengthening, formalizing, documenting and testing accounting processes and internal controls;</w:t>
      </w:r>
    </w:p>
    <w:p>
      <w:pPr>
        <w:spacing w:after="0" w:line="111" w:lineRule="exact"/>
        <w:rPr>
          <w:rFonts w:ascii="Arial" w:cs="Arial" w:eastAsia="Arial" w:hAnsi="Arial"/>
          <w:sz w:val="18"/>
          <w:szCs w:val="18"/>
          <w:color w:val="auto"/>
        </w:rPr>
      </w:pPr>
    </w:p>
    <w:p>
      <w:pPr>
        <w:ind w:left="940" w:hanging="389"/>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engaging consultants to provide additional technical accounting expertise; and</w:t>
      </w:r>
    </w:p>
    <w:p>
      <w:pPr>
        <w:spacing w:after="0" w:line="111" w:lineRule="exact"/>
        <w:rPr>
          <w:rFonts w:ascii="Arial" w:cs="Arial" w:eastAsia="Arial" w:hAnsi="Arial"/>
          <w:sz w:val="18"/>
          <w:szCs w:val="18"/>
          <w:color w:val="auto"/>
        </w:rPr>
      </w:pPr>
    </w:p>
    <w:p>
      <w:pPr>
        <w:ind w:left="940" w:right="440" w:hanging="389"/>
        <w:spacing w:after="0" w:line="265"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implementing new financial software systems including a purchase requisition system, expense reporting system and a system to track and account for stock-based awards to automate these processes.</w:t>
      </w:r>
    </w:p>
    <w:p>
      <w:pPr>
        <w:spacing w:after="0" w:line="180" w:lineRule="exact"/>
        <w:rPr>
          <w:sz w:val="20"/>
          <w:szCs w:val="20"/>
          <w:color w:val="auto"/>
        </w:rPr>
      </w:pPr>
    </w:p>
    <w:p>
      <w:pPr>
        <w:ind w:right="20" w:firstLine="546"/>
        <w:spacing w:after="0" w:line="252" w:lineRule="auto"/>
        <w:rPr>
          <w:sz w:val="20"/>
          <w:szCs w:val="20"/>
          <w:color w:val="auto"/>
        </w:rPr>
      </w:pPr>
      <w:r>
        <w:rPr>
          <w:rFonts w:ascii="Arial" w:cs="Arial" w:eastAsia="Arial" w:hAnsi="Arial"/>
          <w:sz w:val="18"/>
          <w:szCs w:val="18"/>
          <w:color w:val="auto"/>
        </w:rPr>
        <w:t>We believe significant progress was made in 2019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has concluded that the material weaknesses were not fully remediated as of December 31, 2019.</w:t>
      </w:r>
    </w:p>
    <w:p>
      <w:pPr>
        <w:spacing w:after="0" w:line="193" w:lineRule="exact"/>
        <w:rPr>
          <w:sz w:val="20"/>
          <w:szCs w:val="20"/>
          <w:color w:val="auto"/>
        </w:rPr>
      </w:pPr>
    </w:p>
    <w:p>
      <w:pPr>
        <w:ind w:firstLine="546"/>
        <w:spacing w:after="0" w:line="331" w:lineRule="auto"/>
        <w:rPr>
          <w:sz w:val="20"/>
          <w:szCs w:val="20"/>
          <w:color w:val="auto"/>
        </w:rPr>
      </w:pPr>
      <w:r>
        <w:rPr>
          <w:rFonts w:ascii="Arial" w:cs="Arial" w:eastAsia="Arial" w:hAnsi="Arial"/>
          <w:sz w:val="15"/>
          <w:szCs w:val="15"/>
          <w:color w:val="auto"/>
        </w:rPr>
        <w:t>The measures we are implementing are subject to continued management review supported by confirmation and testing, as well as audit committee oversight. Management remains committed to remediating these material weaknesses. We will continue to implement measures to remedy our internal control deficiencies, though there can be no assurance that our efforts will be successful or avoid potential future material weaknesses.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ind w:right="260" w:firstLine="546"/>
        <w:spacing w:after="0" w:line="256"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quarter ended December 31, 2019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658" w:right="379" w:bottom="1440" w:gutter="0" w:footer="0" w:header="0"/>
        </w:sectPr>
      </w:pPr>
    </w:p>
    <w:bookmarkStart w:id="105" w:name="page106"/>
    <w:bookmarkEnd w:id="105"/>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4" w:lineRule="exact"/>
        <w:rPr>
          <w:sz w:val="20"/>
          <w:szCs w:val="20"/>
          <w:color w:val="auto"/>
        </w:rPr>
      </w:pPr>
    </w:p>
    <w:p>
      <w:pPr>
        <w:jc w:val="both"/>
        <w:ind w:firstLine="546"/>
        <w:spacing w:after="0" w:line="331" w:lineRule="auto"/>
        <w:rPr>
          <w:sz w:val="20"/>
          <w:szCs w:val="20"/>
          <w:color w:val="auto"/>
        </w:rPr>
      </w:pPr>
      <w:r>
        <w:rPr>
          <w:rFonts w:ascii="Arial" w:cs="Arial" w:eastAsia="Arial" w:hAnsi="Arial"/>
          <w:sz w:val="15"/>
          <w:szCs w:val="15"/>
          <w:color w:val="auto"/>
        </w:rPr>
        <w:t>Certain information required by Part III is omitted from this Annual Report on Form 10-K and is incorporated by reference from our definitive proxy statement relating to our 2020 annual meeting of stockholders, pursuant to Regulation 14A of the Securities Exchange Act of 1934, as amended, also referred to in this Annual Report on Form 10-K as our 2020 Proxy Statement, which we expect to file with the SEC no later than April 29,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8" w:lineRule="exact"/>
        <w:rPr>
          <w:sz w:val="20"/>
          <w:szCs w:val="20"/>
          <w:color w:val="auto"/>
        </w:rPr>
      </w:pPr>
    </w:p>
    <w:p>
      <w:pPr>
        <w:ind w:right="80" w:firstLine="546"/>
        <w:spacing w:after="0" w:line="265" w:lineRule="auto"/>
        <w:rPr>
          <w:sz w:val="20"/>
          <w:szCs w:val="20"/>
          <w:color w:val="auto"/>
        </w:rPr>
      </w:pPr>
      <w:r>
        <w:rPr>
          <w:rFonts w:ascii="Arial" w:cs="Arial" w:eastAsia="Arial" w:hAnsi="Arial"/>
          <w:sz w:val="18"/>
          <w:szCs w:val="18"/>
          <w:color w:val="auto"/>
        </w:rPr>
        <w:t>Information required by this item with respect to our directors and executive officers and compliance with Section 16(a) of the Exchange Act will be included in our 2020 Proxy Statement and is incorporated herein by reference.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8" w:lineRule="exact"/>
        <w:rPr>
          <w:sz w:val="20"/>
          <w:szCs w:val="20"/>
          <w:color w:val="auto"/>
        </w:rPr>
      </w:pPr>
    </w:p>
    <w:p>
      <w:pPr>
        <w:ind w:right="100" w:firstLine="546"/>
        <w:spacing w:after="0" w:line="265" w:lineRule="auto"/>
        <w:rPr>
          <w:sz w:val="20"/>
          <w:szCs w:val="20"/>
          <w:color w:val="auto"/>
        </w:rPr>
      </w:pPr>
      <w:r>
        <w:rPr>
          <w:rFonts w:ascii="Arial" w:cs="Arial" w:eastAsia="Arial" w:hAnsi="Arial"/>
          <w:sz w:val="18"/>
          <w:szCs w:val="18"/>
          <w:color w:val="auto"/>
        </w:rPr>
        <w:t>The information required by this item regarding executive compensation will be included in our 2020 Proxy Statement and is incorporated herein by reference.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520" w:firstLine="546"/>
        <w:spacing w:after="0" w:line="366" w:lineRule="auto"/>
        <w:rPr>
          <w:sz w:val="20"/>
          <w:szCs w:val="20"/>
          <w:color w:val="auto"/>
        </w:rPr>
      </w:pPr>
      <w:r>
        <w:rPr>
          <w:rFonts w:ascii="Arial" w:cs="Arial" w:eastAsia="Arial" w:hAnsi="Arial"/>
          <w:sz w:val="15"/>
          <w:szCs w:val="15"/>
          <w:color w:val="auto"/>
        </w:rPr>
        <w:t>The information required by this item regarding security ownership of certain beneficial owners and management and securities authorized for issuance under equity compensation plans will be included in our 2020 Proxy Statement and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8" w:lineRule="exact"/>
        <w:rPr>
          <w:sz w:val="20"/>
          <w:szCs w:val="20"/>
          <w:color w:val="auto"/>
        </w:rPr>
      </w:pPr>
    </w:p>
    <w:p>
      <w:pPr>
        <w:ind w:right="60" w:firstLine="546"/>
        <w:spacing w:after="0" w:line="265"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2020 Proxy Statement and is incorporated herein by reference.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8" w:lineRule="exact"/>
        <w:rPr>
          <w:sz w:val="20"/>
          <w:szCs w:val="20"/>
          <w:color w:val="auto"/>
        </w:rPr>
      </w:pPr>
    </w:p>
    <w:p>
      <w:pPr>
        <w:ind w:right="760" w:firstLine="546"/>
        <w:spacing w:after="0" w:line="265"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2020 Proxy Statement and is incorporated herein by reference.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8" w:lineRule="exact"/>
        <w:rPr>
          <w:sz w:val="20"/>
          <w:szCs w:val="20"/>
          <w:color w:val="auto"/>
        </w:rPr>
      </w:pPr>
    </w:p>
    <w:p>
      <w:pPr>
        <w:ind w:left="240" w:hanging="234"/>
        <w:spacing w:after="0"/>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documents are included in this Annual Report on Form 10-K:</w:t>
      </w:r>
    </w:p>
    <w:p>
      <w:pPr>
        <w:spacing w:after="0" w:line="111" w:lineRule="exact"/>
        <w:rPr>
          <w:rFonts w:ascii="Arial" w:cs="Arial" w:eastAsia="Arial" w:hAnsi="Arial"/>
          <w:sz w:val="18"/>
          <w:szCs w:val="18"/>
          <w:color w:val="auto"/>
        </w:rPr>
      </w:pPr>
    </w:p>
    <w:p>
      <w:pPr>
        <w:ind w:left="880" w:right="2320" w:hanging="422"/>
        <w:spacing w:after="0" w:line="369" w:lineRule="auto"/>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Report of Independent Registered Public Accounting Firm</w:t>
      </w:r>
    </w:p>
    <w:p>
      <w:pPr>
        <w:ind w:left="880"/>
        <w:spacing w:after="0"/>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w:t>
      </w:r>
    </w:p>
    <w:p>
      <w:pPr>
        <w:spacing w:after="0" w:line="111" w:lineRule="exact"/>
        <w:rPr>
          <w:rFonts w:ascii="Arial" w:cs="Arial" w:eastAsia="Arial" w:hAnsi="Arial"/>
          <w:sz w:val="18"/>
          <w:szCs w:val="18"/>
          <w:color w:val="auto"/>
        </w:rPr>
      </w:pPr>
    </w:p>
    <w:p>
      <w:pPr>
        <w:ind w:left="880" w:right="2980"/>
        <w:spacing w:after="0" w:line="369" w:lineRule="auto"/>
        <w:rPr>
          <w:rFonts w:ascii="Arial" w:cs="Arial" w:eastAsia="Arial" w:hAnsi="Arial"/>
          <w:sz w:val="18"/>
          <w:szCs w:val="18"/>
          <w:color w:val="auto"/>
        </w:rPr>
      </w:pPr>
      <w:r>
        <w:rPr>
          <w:rFonts w:ascii="Arial" w:cs="Arial" w:eastAsia="Arial" w:hAnsi="Arial"/>
          <w:sz w:val="18"/>
          <w:szCs w:val="18"/>
          <w:color w:val="auto"/>
        </w:rPr>
        <w:t>Consolidated Statements of Redeemable Convertible Preferred Stock and Stockholders’ (Deficit) Equity Consolidated Statements of Cash Flows</w:t>
      </w:r>
    </w:p>
    <w:p>
      <w:pPr>
        <w:ind w:left="8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1" w:lineRule="exact"/>
        <w:rPr>
          <w:rFonts w:ascii="Arial" w:cs="Arial" w:eastAsia="Arial" w:hAnsi="Arial"/>
          <w:sz w:val="18"/>
          <w:szCs w:val="18"/>
          <w:color w:val="auto"/>
        </w:rPr>
      </w:pPr>
    </w:p>
    <w:p>
      <w:pPr>
        <w:ind w:left="860" w:hanging="402"/>
        <w:spacing w:after="0" w:line="265" w:lineRule="auto"/>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74" w:lineRule="exact"/>
        <w:rPr>
          <w:rFonts w:ascii="Arial" w:cs="Arial" w:eastAsia="Arial" w:hAnsi="Arial"/>
          <w:sz w:val="18"/>
          <w:szCs w:val="18"/>
          <w:color w:val="auto"/>
        </w:rPr>
      </w:pPr>
    </w:p>
    <w:p>
      <w:pPr>
        <w:ind w:left="860" w:right="520" w:hanging="402"/>
        <w:spacing w:after="0" w:line="256" w:lineRule="auto"/>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AVROBIO,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gridSpan w:val="4"/>
            <w:vMerge w:val="restart"/>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Report of Independent Registered Public Accounting Firm</w:t>
              </w:r>
            </w:hyperlink>
          </w:p>
        </w:tc>
        <w:tc>
          <w:tcPr>
            <w:tcW w:w="6780" w:type="dxa"/>
            <w:vAlign w:val="bottom"/>
            <w:gridSpan w:val="3"/>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0000EE"/>
            </w:tcBorders>
            <w:gridSpan w:val="4"/>
            <w:vMerge w:val="continue"/>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3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940" w:type="dxa"/>
            <w:vAlign w:val="bottom"/>
            <w:gridSpan w:val="7"/>
          </w:tcPr>
          <w:p>
            <w:pPr>
              <w:spacing w:after="0" w:line="193"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Balance Sheets</w:t>
              </w:r>
            </w:hyperlink>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940" w:type="dxa"/>
            <w:vAlign w:val="bottom"/>
            <w:gridSpan w:val="7"/>
          </w:tcPr>
          <w:p>
            <w:pPr>
              <w:spacing w:after="0" w:line="193"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Operations and Comprehensive Loss</w:t>
              </w:r>
            </w:hyperlink>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00" w:type="dxa"/>
            <w:vAlign w:val="bottom"/>
            <w:tcBorders>
              <w:bottom w:val="single" w:sz="8" w:color="0000EE"/>
            </w:tcBorders>
            <w:gridSpan w:val="6"/>
          </w:tcPr>
          <w:p>
            <w:pPr>
              <w:spacing w:after="0" w:line="193"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Consolidated Statements of Redeemable Convertible Preferred Stock and Stockholders’ (Deficit) Equity</w:t>
              </w:r>
            </w:hyperlink>
          </w:p>
        </w:tc>
        <w:tc>
          <w:tcPr>
            <w:tcW w:w="3540" w:type="dxa"/>
            <w:vAlign w:val="bottom"/>
          </w:tcPr>
          <w:p>
            <w:pPr>
              <w:spacing w:after="0"/>
              <w:rPr>
                <w:sz w:val="16"/>
                <w:szCs w:val="16"/>
                <w:color w:val="auto"/>
              </w:rPr>
            </w:pPr>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2"/>
        </w:trPr>
        <w:tc>
          <w:tcPr>
            <w:tcW w:w="10940" w:type="dxa"/>
            <w:vAlign w:val="bottom"/>
            <w:gridSpan w:val="7"/>
          </w:tcPr>
          <w:p>
            <w:pPr>
              <w:spacing w:after="0" w:line="193" w:lineRule="exact"/>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Cash Flows</w:t>
              </w:r>
            </w:hyperlink>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940" w:type="dxa"/>
            <w:vAlign w:val="bottom"/>
            <w:gridSpan w:val="7"/>
          </w:tcPr>
          <w:p>
            <w:pPr>
              <w:spacing w:after="0" w:line="193" w:lineRule="exact"/>
              <w:rPr>
                <w:rFonts w:ascii="Arial" w:cs="Arial" w:eastAsia="Arial" w:hAnsi="Arial"/>
                <w:sz w:val="18"/>
                <w:szCs w:val="18"/>
                <w:color w:val="0000EE"/>
              </w:rPr>
            </w:pPr>
            <w:hyperlink w:anchor="page114">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669"/>
        </w:trPr>
        <w:tc>
          <w:tcPr>
            <w:tcW w:w="20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40" w:type="dxa"/>
            <w:vAlign w:val="bottom"/>
            <w:gridSpan w:val="2"/>
          </w:tcPr>
          <w:p>
            <w:pPr>
              <w:ind w:left="9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47" w:right="319" w:bottom="1440" w:gutter="0" w:footer="0" w:header="0"/>
        </w:sectPr>
      </w:pPr>
    </w:p>
    <w:bookmarkStart w:id="108" w:name="page109"/>
    <w:bookmarkEnd w:id="108"/>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AVROBIO,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right="220"/>
        <w:spacing w:after="0" w:line="313" w:lineRule="auto"/>
        <w:rPr>
          <w:sz w:val="20"/>
          <w:szCs w:val="20"/>
          <w:color w:val="auto"/>
        </w:rPr>
      </w:pPr>
      <w:r>
        <w:rPr>
          <w:rFonts w:ascii="Arial" w:cs="Arial" w:eastAsia="Arial" w:hAnsi="Arial"/>
          <w:sz w:val="15"/>
          <w:szCs w:val="15"/>
          <w:color w:val="auto"/>
        </w:rPr>
        <w:t>We have audited the accompanying consolidated balance sheets of AVROBIO, Inc. (the Company) as of December 31, 2019 and 2018, the related consolidated statements of operations and comprehensive loss, redeemable convertible preferred stock and stockholders’ (deficit)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years then ended, in conformity with U.S. generally accepted accounting principles.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AVROBIO,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126,302</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FF0FC"/>
            </w:tcBorders>
          </w:tcPr>
          <w:p>
            <w:pPr>
              <w:spacing w:after="0"/>
              <w:rPr>
                <w:sz w:val="19"/>
                <w:szCs w:val="19"/>
                <w:color w:val="auto"/>
              </w:rPr>
            </w:pPr>
          </w:p>
        </w:tc>
      </w:tr>
      <w:tr>
        <w:trPr>
          <w:trHeight w:val="22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130,020</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r>
      <w:tr>
        <w:trPr>
          <w:trHeight w:val="258"/>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200,514</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133,479</w:t>
            </w:r>
          </w:p>
        </w:tc>
        <w:tc>
          <w:tcPr>
            <w:tcW w:w="120" w:type="dxa"/>
            <w:vAlign w:val="bottom"/>
            <w:tcBorders>
              <w:bottom w:val="single" w:sz="8" w:color="CFF0FC"/>
            </w:tcBorders>
          </w:tcPr>
          <w:p>
            <w:pPr>
              <w:spacing w:after="0"/>
              <w:rPr>
                <w:sz w:val="22"/>
                <w:szCs w:val="22"/>
                <w:color w:val="auto"/>
              </w:rPr>
            </w:pPr>
          </w:p>
        </w:tc>
      </w:tr>
      <w:tr>
        <w:trPr>
          <w:trHeight w:val="206"/>
        </w:trPr>
        <w:tc>
          <w:tcPr>
            <w:tcW w:w="77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120" w:type="dxa"/>
            <w:vAlign w:val="bottom"/>
            <w:tcBorders>
              <w:bottom w:val="single" w:sz="8" w:color="CFF0FC"/>
            </w:tcBorders>
          </w:tcPr>
          <w:p>
            <w:pPr>
              <w:spacing w:after="0"/>
              <w:rPr>
                <w:sz w:val="19"/>
                <w:szCs w:val="19"/>
                <w:color w:val="auto"/>
              </w:rPr>
            </w:pPr>
          </w:p>
        </w:tc>
      </w:tr>
      <w:tr>
        <w:trPr>
          <w:trHeight w:val="22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11,295</w:t>
            </w:r>
          </w:p>
        </w:tc>
        <w:tc>
          <w:tcPr>
            <w:tcW w:w="120" w:type="dxa"/>
            <w:vAlign w:val="bottom"/>
            <w:shd w:val="clear" w:color="auto" w:fill="CFF0FC"/>
          </w:tcPr>
          <w:p>
            <w:pPr>
              <w:spacing w:after="0"/>
              <w:rPr>
                <w:sz w:val="19"/>
                <w:szCs w:val="19"/>
                <w:color w:val="auto"/>
              </w:rPr>
            </w:pPr>
          </w:p>
        </w:tc>
      </w:tr>
      <w:tr>
        <w:trPr>
          <w:trHeight w:val="218"/>
        </w:trPr>
        <w:tc>
          <w:tcPr>
            <w:tcW w:w="774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40" w:type="dxa"/>
            <w:vAlign w:val="bottom"/>
          </w:tcPr>
          <w:p>
            <w:pPr>
              <w:ind w:left="240"/>
              <w:spacing w:after="0"/>
              <w:rPr>
                <w:sz w:val="20"/>
                <w:szCs w:val="20"/>
                <w:color w:val="auto"/>
              </w:rPr>
            </w:pPr>
            <w:r>
              <w:rPr>
                <w:rFonts w:ascii="Arial" w:cs="Arial" w:eastAsia="Arial" w:hAnsi="Arial"/>
                <w:sz w:val="18"/>
                <w:szCs w:val="18"/>
                <w:color w:val="auto"/>
              </w:rPr>
              <w:t>Preferred stock, $0.0001 par value; 10,000,000 shares authorized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7740" w:type="dxa"/>
            <w:vAlign w:val="bottom"/>
          </w:tcPr>
          <w:p>
            <w:pPr>
              <w:ind w:left="380"/>
              <w:spacing w:after="0"/>
              <w:rPr>
                <w:sz w:val="20"/>
                <w:szCs w:val="20"/>
                <w:color w:val="auto"/>
              </w:rPr>
            </w:pPr>
            <w:r>
              <w:rPr>
                <w:rFonts w:ascii="Arial" w:cs="Arial" w:eastAsia="Arial" w:hAnsi="Arial"/>
                <w:sz w:val="18"/>
                <w:szCs w:val="18"/>
                <w:color w:val="auto"/>
              </w:rPr>
              <w:t>no shares issued or outstanding as of December 31, 2019 and 2018</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150,000,000 shares authorized as of</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and 2018; 31,673,058 and 23,959,903 shares issued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December 31, 2019 and 2018, respectively; 31,642,806 and 23,806,628</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5"/>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outstanding as of December 31, 2019 and 2018, respectively</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330,714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193,921</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(144,704)</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(71,739)</w:t>
            </w:r>
          </w:p>
        </w:tc>
      </w:tr>
      <w:tr>
        <w:trPr>
          <w:trHeight w:val="218"/>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186,013</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122,184</w:t>
            </w:r>
          </w:p>
        </w:tc>
        <w:tc>
          <w:tcPr>
            <w:tcW w:w="120" w:type="dxa"/>
            <w:vAlign w:val="bottom"/>
            <w:tcBorders>
              <w:bottom w:val="single" w:sz="8" w:color="CFF0FC"/>
            </w:tcBorders>
          </w:tcPr>
          <w:p>
            <w:pPr>
              <w:spacing w:after="0"/>
              <w:rPr>
                <w:sz w:val="19"/>
                <w:szCs w:val="19"/>
                <w:color w:val="auto"/>
              </w:rPr>
            </w:pPr>
          </w:p>
        </w:tc>
      </w:tr>
      <w:tr>
        <w:trPr>
          <w:trHeight w:val="219"/>
        </w:trPr>
        <w:tc>
          <w:tcPr>
            <w:tcW w:w="7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AVROBIO,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54,974</w:t>
            </w:r>
          </w:p>
        </w:tc>
        <w:tc>
          <w:tcPr>
            <w:tcW w:w="28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(75,809)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(46,243)</w:t>
            </w:r>
          </w:p>
        </w:tc>
        <w:tc>
          <w:tcPr>
            <w:tcW w:w="0" w:type="dxa"/>
            <w:vAlign w:val="bottom"/>
          </w:tcPr>
          <w:p>
            <w:pPr>
              <w:spacing w:after="0"/>
              <w:rPr>
                <w:sz w:val="1"/>
                <w:szCs w:val="1"/>
                <w:color w:val="auto"/>
              </w:rPr>
            </w:pPr>
          </w:p>
        </w:tc>
      </w:tr>
      <w:tr>
        <w:trPr>
          <w:trHeight w:val="218"/>
        </w:trPr>
        <w:tc>
          <w:tcPr>
            <w:tcW w:w="774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Change in fair value of preferred stock warrant liability</w:t>
            </w:r>
          </w:p>
        </w:tc>
        <w:tc>
          <w:tcPr>
            <w:tcW w:w="36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7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7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40" w:type="dxa"/>
            <w:vAlign w:val="bottom"/>
            <w:vMerge w:val="continue"/>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(72,965)</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(46,361)</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jc w:val="right"/>
              <w:ind w:right="171"/>
              <w:spacing w:after="0" w:line="20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line="206" w:lineRule="exact"/>
              <w:rPr>
                <w:sz w:val="20"/>
                <w:szCs w:val="20"/>
                <w:color w:val="auto"/>
              </w:rPr>
            </w:pPr>
            <w:r>
              <w:rPr>
                <w:rFonts w:ascii="Arial" w:cs="Arial" w:eastAsia="Arial" w:hAnsi="Arial"/>
                <w:sz w:val="18"/>
                <w:szCs w:val="18"/>
                <w:color w:val="auto"/>
              </w:rPr>
              <w:t>(72,965)</w:t>
            </w:r>
          </w:p>
        </w:tc>
        <w:tc>
          <w:tcPr>
            <w:tcW w:w="360" w:type="dxa"/>
            <w:vAlign w:val="bottom"/>
            <w:shd w:val="clear" w:color="auto" w:fill="CFF0FC"/>
          </w:tcPr>
          <w:p>
            <w:pPr>
              <w:jc w:val="right"/>
              <w:ind w:right="171"/>
              <w:spacing w:after="0" w:line="20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(46,361)</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(72,965)</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(46,361)</w:t>
            </w: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0"/>
        </w:trPr>
        <w:tc>
          <w:tcPr>
            <w:tcW w:w="7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(72,965)</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(48,604)</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40" w:type="dxa"/>
            <w:vAlign w:val="bottom"/>
          </w:tcPr>
          <w:p>
            <w:pPr>
              <w:ind w:left="140"/>
              <w:spacing w:after="0"/>
              <w:rPr>
                <w:sz w:val="20"/>
                <w:szCs w:val="20"/>
                <w:color w:val="auto"/>
              </w:rPr>
            </w:pPr>
            <w:r>
              <w:rPr>
                <w:rFonts w:ascii="Arial" w:cs="Arial" w:eastAsia="Arial" w:hAnsi="Arial"/>
                <w:sz w:val="18"/>
                <w:szCs w:val="18"/>
                <w:color w:val="auto"/>
              </w:rPr>
              <w:t>diluted (Note 13)</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94"/>
        </w:trPr>
        <w:tc>
          <w:tcPr>
            <w:tcW w:w="774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Weighted-average number of common shares used in computing net loss</w:t>
            </w:r>
          </w:p>
        </w:tc>
        <w:tc>
          <w:tcPr>
            <w:tcW w:w="3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 attributable to common stockholders—basic and diluted</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27,432,489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jc w:val="center"/>
        <w:ind w:right="100"/>
        <w:spacing w:after="0"/>
        <w:rPr>
          <w:sz w:val="20"/>
          <w:szCs w:val="20"/>
          <w:color w:val="auto"/>
        </w:rPr>
      </w:pPr>
      <w:r>
        <w:rPr>
          <w:rFonts w:ascii="Arial" w:cs="Arial" w:eastAsia="Arial" w:hAnsi="Arial"/>
          <w:sz w:val="18"/>
          <w:szCs w:val="18"/>
          <w:b w:val="1"/>
          <w:bCs w:val="1"/>
          <w:color w:val="auto"/>
        </w:rPr>
        <w:t>AVROBIO,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STOCKHOLDERS’ (DEFICIT) EQUITY</w:t>
      </w:r>
    </w:p>
    <w:p>
      <w:pPr>
        <w:spacing w:after="0" w:line="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42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6"/>
              </w:rPr>
              <w:t>Series Seed</w:t>
            </w:r>
          </w:p>
        </w:tc>
        <w:tc>
          <w:tcPr>
            <w:tcW w:w="960" w:type="dxa"/>
            <w:vAlign w:val="bottom"/>
            <w:gridSpan w:val="4"/>
          </w:tcPr>
          <w:p>
            <w:pPr>
              <w:jc w:val="center"/>
              <w:ind w:left="390"/>
              <w:spacing w:after="0"/>
              <w:rPr>
                <w:sz w:val="20"/>
                <w:szCs w:val="20"/>
                <w:color w:val="auto"/>
              </w:rPr>
            </w:pPr>
            <w:r>
              <w:rPr>
                <w:rFonts w:ascii="Arial" w:cs="Arial" w:eastAsia="Arial" w:hAnsi="Arial"/>
                <w:sz w:val="13"/>
                <w:szCs w:val="13"/>
                <w:b w:val="1"/>
                <w:bCs w:val="1"/>
                <w:color w:val="auto"/>
                <w:w w:val="88"/>
              </w:rPr>
              <w:t>Series A</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left="370"/>
              <w:spacing w:after="0"/>
              <w:rPr>
                <w:sz w:val="20"/>
                <w:szCs w:val="20"/>
                <w:color w:val="auto"/>
              </w:rPr>
            </w:pPr>
            <w:r>
              <w:rPr>
                <w:rFonts w:ascii="Arial" w:cs="Arial" w:eastAsia="Arial" w:hAnsi="Arial"/>
                <w:sz w:val="13"/>
                <w:szCs w:val="13"/>
                <w:b w:val="1"/>
                <w:bCs w:val="1"/>
                <w:color w:val="auto"/>
                <w:w w:val="88"/>
              </w:rPr>
              <w:t>Series B</w:t>
            </w: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2800" w:type="dxa"/>
            <w:vAlign w:val="bottom"/>
          </w:tcPr>
          <w:p>
            <w:pPr>
              <w:spacing w:after="0"/>
              <w:rPr>
                <w:sz w:val="12"/>
                <w:szCs w:val="12"/>
                <w:color w:val="auto"/>
              </w:rPr>
            </w:pPr>
          </w:p>
        </w:tc>
        <w:tc>
          <w:tcPr>
            <w:tcW w:w="1420" w:type="dxa"/>
            <w:vAlign w:val="bottom"/>
            <w:gridSpan w:val="6"/>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Redeemable</w:t>
            </w:r>
          </w:p>
        </w:tc>
        <w:tc>
          <w:tcPr>
            <w:tcW w:w="1560" w:type="dxa"/>
            <w:vAlign w:val="bottom"/>
            <w:gridSpan w:val="6"/>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Redeemable</w:t>
            </w:r>
          </w:p>
        </w:tc>
        <w:tc>
          <w:tcPr>
            <w:tcW w:w="1560" w:type="dxa"/>
            <w:vAlign w:val="bottom"/>
            <w:tcBorders>
              <w:right w:val="single" w:sz="8" w:color="auto"/>
            </w:tcBorders>
            <w:gridSpan w:val="5"/>
          </w:tcPr>
          <w:p>
            <w:pPr>
              <w:jc w:val="center"/>
              <w:ind w:right="180"/>
              <w:spacing w:after="0" w:line="146" w:lineRule="exact"/>
              <w:rPr>
                <w:sz w:val="20"/>
                <w:szCs w:val="20"/>
                <w:color w:val="auto"/>
              </w:rPr>
            </w:pPr>
            <w:r>
              <w:rPr>
                <w:rFonts w:ascii="Arial" w:cs="Arial" w:eastAsia="Arial" w:hAnsi="Arial"/>
                <w:sz w:val="13"/>
                <w:szCs w:val="13"/>
                <w:b w:val="1"/>
                <w:bCs w:val="1"/>
                <w:color w:val="auto"/>
                <w:w w:val="91"/>
              </w:rPr>
              <w:t>Redeemable</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6"/>
        </w:trPr>
        <w:tc>
          <w:tcPr>
            <w:tcW w:w="2800" w:type="dxa"/>
            <w:vAlign w:val="bottom"/>
          </w:tcPr>
          <w:p>
            <w:pPr>
              <w:spacing w:after="0"/>
              <w:rPr>
                <w:sz w:val="12"/>
                <w:szCs w:val="12"/>
                <w:color w:val="auto"/>
              </w:rPr>
            </w:pPr>
          </w:p>
        </w:tc>
        <w:tc>
          <w:tcPr>
            <w:tcW w:w="1420" w:type="dxa"/>
            <w:vAlign w:val="bottom"/>
            <w:gridSpan w:val="6"/>
          </w:tcPr>
          <w:p>
            <w:pPr>
              <w:jc w:val="center"/>
              <w:ind w:right="120"/>
              <w:spacing w:after="0" w:line="146" w:lineRule="exact"/>
              <w:rPr>
                <w:sz w:val="20"/>
                <w:szCs w:val="20"/>
                <w:color w:val="auto"/>
              </w:rPr>
            </w:pPr>
            <w:r>
              <w:rPr>
                <w:rFonts w:ascii="Arial" w:cs="Arial" w:eastAsia="Arial" w:hAnsi="Arial"/>
                <w:sz w:val="13"/>
                <w:szCs w:val="13"/>
                <w:b w:val="1"/>
                <w:bCs w:val="1"/>
                <w:color w:val="auto"/>
                <w:w w:val="92"/>
              </w:rPr>
              <w:t>Convertible</w:t>
            </w:r>
          </w:p>
        </w:tc>
        <w:tc>
          <w:tcPr>
            <w:tcW w:w="1560" w:type="dxa"/>
            <w:vAlign w:val="bottom"/>
            <w:gridSpan w:val="6"/>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Convertible</w:t>
            </w:r>
          </w:p>
        </w:tc>
        <w:tc>
          <w:tcPr>
            <w:tcW w:w="1560" w:type="dxa"/>
            <w:vAlign w:val="bottom"/>
            <w:tcBorders>
              <w:right w:val="single" w:sz="8" w:color="auto"/>
            </w:tcBorders>
            <w:gridSpan w:val="5"/>
          </w:tcPr>
          <w:p>
            <w:pPr>
              <w:jc w:val="center"/>
              <w:ind w:right="180"/>
              <w:spacing w:after="0" w:line="146" w:lineRule="exact"/>
              <w:rPr>
                <w:sz w:val="20"/>
                <w:szCs w:val="20"/>
                <w:color w:val="auto"/>
              </w:rPr>
            </w:pPr>
            <w:r>
              <w:rPr>
                <w:rFonts w:ascii="Arial" w:cs="Arial" w:eastAsia="Arial" w:hAnsi="Arial"/>
                <w:sz w:val="13"/>
                <w:szCs w:val="13"/>
                <w:b w:val="1"/>
                <w:bCs w:val="1"/>
                <w:color w:val="auto"/>
                <w:w w:val="92"/>
              </w:rPr>
              <w:t>Convertible</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ind w:left="100"/>
              <w:spacing w:after="0" w:line="146"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360"/>
              <w:spacing w:after="0" w:line="146" w:lineRule="exact"/>
              <w:rPr>
                <w:sz w:val="20"/>
                <w:szCs w:val="20"/>
                <w:color w:val="auto"/>
              </w:rPr>
            </w:pPr>
            <w:r>
              <w:rPr>
                <w:rFonts w:ascii="Arial" w:cs="Arial" w:eastAsia="Arial" w:hAnsi="Arial"/>
                <w:sz w:val="13"/>
                <w:szCs w:val="13"/>
                <w:b w:val="1"/>
                <w:bCs w:val="1"/>
                <w:color w:val="auto"/>
              </w:rPr>
              <w:t>Total</w:t>
            </w:r>
          </w:p>
        </w:tc>
      </w:tr>
      <w:tr>
        <w:trPr>
          <w:trHeight w:val="159"/>
        </w:trPr>
        <w:tc>
          <w:tcPr>
            <w:tcW w:w="2800" w:type="dxa"/>
            <w:vAlign w:val="bottom"/>
          </w:tcPr>
          <w:p>
            <w:pPr>
              <w:spacing w:after="0"/>
              <w:rPr>
                <w:sz w:val="13"/>
                <w:szCs w:val="13"/>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20" w:type="dxa"/>
            <w:vAlign w:val="bottom"/>
          </w:tcPr>
          <w:p>
            <w:pPr>
              <w:spacing w:after="0"/>
              <w:rPr>
                <w:sz w:val="13"/>
                <w:szCs w:val="13"/>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20" w:type="dxa"/>
            <w:vAlign w:val="bottom"/>
          </w:tcPr>
          <w:p>
            <w:pPr>
              <w:spacing w:after="0"/>
              <w:rPr>
                <w:sz w:val="13"/>
                <w:szCs w:val="13"/>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4"/>
              </w:rPr>
              <w:t>Common Stock</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Paid-in</w:t>
            </w:r>
          </w:p>
        </w:tc>
        <w:tc>
          <w:tcPr>
            <w:tcW w:w="920" w:type="dxa"/>
            <w:vAlign w:val="bottom"/>
            <w:gridSpan w:val="4"/>
          </w:tcPr>
          <w:p>
            <w:pPr>
              <w:ind w:left="40"/>
              <w:spacing w:after="0"/>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Stockholders’</w:t>
            </w:r>
          </w:p>
        </w:tc>
      </w:tr>
      <w:tr>
        <w:trPr>
          <w:trHeight w:val="153"/>
        </w:trPr>
        <w:tc>
          <w:tcPr>
            <w:tcW w:w="28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Capital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(Deficit) Equity</w:t>
            </w:r>
          </w:p>
        </w:tc>
      </w:tr>
      <w:tr>
        <w:trPr>
          <w:trHeight w:val="153"/>
        </w:trPr>
        <w:tc>
          <w:tcPr>
            <w:tcW w:w="280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as of December 31, 2017</w:t>
            </w: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3,333,333</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1,500</w:t>
            </w: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31,450,499</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25,000</w:t>
            </w: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2,305,173</w:t>
            </w: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339</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(23,474)</w:t>
            </w: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(23,135)</w:t>
            </w:r>
          </w:p>
        </w:tc>
        <w:tc>
          <w:tcPr>
            <w:tcW w:w="60" w:type="dxa"/>
            <w:vAlign w:val="bottom"/>
            <w:tcBorders>
              <w:top w:val="single" w:sz="8" w:color="CFF0FC"/>
            </w:tcBorders>
            <w:shd w:val="clear" w:color="auto" w:fill="CFF0FC"/>
          </w:tcPr>
          <w:p>
            <w:pPr>
              <w:spacing w:after="0"/>
              <w:rPr>
                <w:sz w:val="13"/>
                <w:szCs w:val="13"/>
                <w:color w:val="auto"/>
              </w:rPr>
            </w:pPr>
          </w:p>
        </w:tc>
      </w:tr>
      <w:tr>
        <w:trPr>
          <w:trHeight w:val="141"/>
        </w:trPr>
        <w:tc>
          <w:tcPr>
            <w:tcW w:w="2800" w:type="dxa"/>
            <w:vAlign w:val="bottom"/>
          </w:tcPr>
          <w:p>
            <w:pPr>
              <w:ind w:left="240"/>
              <w:spacing w:after="0" w:line="141" w:lineRule="exact"/>
              <w:rPr>
                <w:sz w:val="20"/>
                <w:szCs w:val="20"/>
                <w:color w:val="auto"/>
              </w:rPr>
            </w:pPr>
            <w:r>
              <w:rPr>
                <w:rFonts w:ascii="Arial" w:cs="Arial" w:eastAsia="Arial" w:hAnsi="Arial"/>
                <w:sz w:val="14"/>
                <w:szCs w:val="14"/>
                <w:color w:val="auto"/>
                <w:w w:val="92"/>
              </w:rPr>
              <w:t>Issuance of series B redeemable convertible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6"/>
        </w:trPr>
        <w:tc>
          <w:tcPr>
            <w:tcW w:w="2800" w:type="dxa"/>
            <w:vAlign w:val="bottom"/>
          </w:tcPr>
          <w:p>
            <w:pPr>
              <w:ind w:left="360"/>
              <w:spacing w:after="0" w:line="146" w:lineRule="exact"/>
              <w:rPr>
                <w:sz w:val="20"/>
                <w:szCs w:val="20"/>
                <w:color w:val="auto"/>
              </w:rPr>
            </w:pPr>
            <w:r>
              <w:rPr>
                <w:rFonts w:ascii="Arial" w:cs="Arial" w:eastAsia="Arial" w:hAnsi="Arial"/>
                <w:sz w:val="14"/>
                <w:szCs w:val="14"/>
                <w:color w:val="auto"/>
                <w:w w:val="97"/>
              </w:rPr>
              <w:t>preferred stock, net of issuance costs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800" w:type="dxa"/>
            <w:vAlign w:val="bottom"/>
          </w:tcPr>
          <w:p>
            <w:pPr>
              <w:ind w:left="360"/>
              <w:spacing w:after="0"/>
              <w:rPr>
                <w:sz w:val="20"/>
                <w:szCs w:val="20"/>
                <w:color w:val="auto"/>
              </w:rPr>
            </w:pPr>
            <w:r>
              <w:rPr>
                <w:rFonts w:ascii="Arial" w:cs="Arial" w:eastAsia="Arial" w:hAnsi="Arial"/>
                <w:sz w:val="14"/>
                <w:szCs w:val="14"/>
                <w:color w:val="auto"/>
              </w:rPr>
              <w:t>$2,243</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28,285,557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58,257</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1"/>
        </w:trPr>
        <w:tc>
          <w:tcPr>
            <w:tcW w:w="280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w w:val="92"/>
              </w:rPr>
              <w:t>Issuance of series B redeemable convertible</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6"/>
        </w:trPr>
        <w:tc>
          <w:tcPr>
            <w:tcW w:w="2800" w:type="dxa"/>
            <w:vAlign w:val="bottom"/>
            <w:shd w:val="clear" w:color="auto" w:fill="CFF0FC"/>
          </w:tcPr>
          <w:p>
            <w:pPr>
              <w:ind w:left="360"/>
              <w:spacing w:after="0" w:line="146" w:lineRule="exact"/>
              <w:rPr>
                <w:sz w:val="20"/>
                <w:szCs w:val="20"/>
                <w:color w:val="auto"/>
              </w:rPr>
            </w:pPr>
            <w:r>
              <w:rPr>
                <w:rFonts w:ascii="Arial" w:cs="Arial" w:eastAsia="Arial" w:hAnsi="Arial"/>
                <w:sz w:val="14"/>
                <w:szCs w:val="14"/>
                <w:color w:val="auto"/>
                <w:w w:val="98"/>
              </w:rPr>
              <w:t>preferred stock to settle accrued liability</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5"/>
        </w:trPr>
        <w:tc>
          <w:tcPr>
            <w:tcW w:w="2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of license cost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233,765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41"/>
        </w:trPr>
        <w:tc>
          <w:tcPr>
            <w:tcW w:w="2800" w:type="dxa"/>
            <w:vAlign w:val="bottom"/>
          </w:tcPr>
          <w:p>
            <w:pPr>
              <w:ind w:left="240"/>
              <w:spacing w:after="0" w:line="141" w:lineRule="exact"/>
              <w:rPr>
                <w:sz w:val="20"/>
                <w:szCs w:val="20"/>
                <w:color w:val="auto"/>
              </w:rPr>
            </w:pPr>
            <w:r>
              <w:rPr>
                <w:rFonts w:ascii="Arial" w:cs="Arial" w:eastAsia="Arial" w:hAnsi="Arial"/>
                <w:sz w:val="14"/>
                <w:szCs w:val="14"/>
                <w:color w:val="auto"/>
              </w:rPr>
              <w:t>Accretion of issuance costs related to</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800" w:type="dxa"/>
            <w:vAlign w:val="bottom"/>
          </w:tcPr>
          <w:p>
            <w:pPr>
              <w:ind w:left="360"/>
              <w:spacing w:after="0"/>
              <w:rPr>
                <w:sz w:val="20"/>
                <w:szCs w:val="20"/>
                <w:color w:val="auto"/>
              </w:rPr>
            </w:pPr>
            <w:r>
              <w:rPr>
                <w:rFonts w:ascii="Arial" w:cs="Arial" w:eastAsia="Arial" w:hAnsi="Arial"/>
                <w:sz w:val="14"/>
                <w:szCs w:val="14"/>
                <w:color w:val="auto"/>
                <w:w w:val="99"/>
              </w:rPr>
              <w:t>redeemable convertible preferred stock</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2,243</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(1,904)</w:t>
            </w:r>
          </w:p>
        </w:tc>
        <w:tc>
          <w:tcPr>
            <w:tcW w:w="1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(2,243)</w:t>
            </w:r>
          </w:p>
        </w:tc>
      </w:tr>
      <w:tr>
        <w:trPr>
          <w:trHeight w:val="141"/>
        </w:trPr>
        <w:tc>
          <w:tcPr>
            <w:tcW w:w="280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Issuance of common stock upon IPO,</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5"/>
        </w:trPr>
        <w:tc>
          <w:tcPr>
            <w:tcW w:w="2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net of issuance costs of $2,628</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6,035,151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104,012</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104,013</w:t>
            </w:r>
          </w:p>
        </w:tc>
        <w:tc>
          <w:tcPr>
            <w:tcW w:w="60" w:type="dxa"/>
            <w:vAlign w:val="bottom"/>
            <w:shd w:val="clear" w:color="auto" w:fill="CFF0FC"/>
          </w:tcPr>
          <w:p>
            <w:pPr>
              <w:spacing w:after="0"/>
              <w:rPr>
                <w:sz w:val="14"/>
                <w:szCs w:val="14"/>
                <w:color w:val="auto"/>
              </w:rPr>
            </w:pPr>
          </w:p>
        </w:tc>
      </w:tr>
      <w:tr>
        <w:trPr>
          <w:trHeight w:val="159"/>
        </w:trPr>
        <w:tc>
          <w:tcPr>
            <w:tcW w:w="2800" w:type="dxa"/>
            <w:vAlign w:val="bottom"/>
          </w:tcPr>
          <w:p>
            <w:pPr>
              <w:ind w:left="240"/>
              <w:spacing w:after="0" w:line="159" w:lineRule="exact"/>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2,196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2,196</w:t>
            </w:r>
          </w:p>
        </w:tc>
        <w:tc>
          <w:tcPr>
            <w:tcW w:w="60" w:type="dxa"/>
            <w:vAlign w:val="bottom"/>
          </w:tcPr>
          <w:p>
            <w:pPr>
              <w:spacing w:after="0"/>
              <w:rPr>
                <w:sz w:val="13"/>
                <w:szCs w:val="13"/>
                <w:color w:val="auto"/>
              </w:rPr>
            </w:pPr>
          </w:p>
        </w:tc>
      </w:tr>
      <w:tr>
        <w:trPr>
          <w:trHeight w:val="141"/>
        </w:trPr>
        <w:tc>
          <w:tcPr>
            <w:tcW w:w="280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Reclassification of warrants to purchase</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6"/>
        </w:trPr>
        <w:tc>
          <w:tcPr>
            <w:tcW w:w="2800" w:type="dxa"/>
            <w:vAlign w:val="bottom"/>
            <w:shd w:val="clear" w:color="auto" w:fill="CFF0FC"/>
          </w:tcPr>
          <w:p>
            <w:pPr>
              <w:ind w:left="360"/>
              <w:spacing w:after="0" w:line="146" w:lineRule="exact"/>
              <w:rPr>
                <w:sz w:val="20"/>
                <w:szCs w:val="20"/>
                <w:color w:val="auto"/>
              </w:rPr>
            </w:pPr>
            <w:r>
              <w:rPr>
                <w:rFonts w:ascii="Arial" w:cs="Arial" w:eastAsia="Arial" w:hAnsi="Arial"/>
                <w:sz w:val="14"/>
                <w:szCs w:val="14"/>
                <w:color w:val="auto"/>
              </w:rPr>
              <w:t>redeemable convertible stock into</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5"/>
        </w:trPr>
        <w:tc>
          <w:tcPr>
            <w:tcW w:w="2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warrants to purchase common stock</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60" w:type="dxa"/>
            <w:vAlign w:val="bottom"/>
            <w:shd w:val="clear" w:color="auto" w:fill="CFF0FC"/>
          </w:tcPr>
          <w:p>
            <w:pPr>
              <w:spacing w:after="0"/>
              <w:rPr>
                <w:sz w:val="14"/>
                <w:szCs w:val="14"/>
                <w:color w:val="auto"/>
              </w:rPr>
            </w:pPr>
          </w:p>
        </w:tc>
      </w:tr>
      <w:tr>
        <w:trPr>
          <w:trHeight w:val="141"/>
        </w:trPr>
        <w:tc>
          <w:tcPr>
            <w:tcW w:w="2800" w:type="dxa"/>
            <w:vAlign w:val="bottom"/>
          </w:tcPr>
          <w:p>
            <w:pPr>
              <w:ind w:left="240"/>
              <w:spacing w:after="0" w:line="141" w:lineRule="exact"/>
              <w:rPr>
                <w:sz w:val="20"/>
                <w:szCs w:val="20"/>
                <w:color w:val="auto"/>
              </w:rPr>
            </w:pPr>
            <w:r>
              <w:rPr>
                <w:rFonts w:ascii="Arial" w:cs="Arial" w:eastAsia="Arial" w:hAnsi="Arial"/>
                <w:sz w:val="14"/>
                <w:szCs w:val="14"/>
                <w:color w:val="auto"/>
              </w:rPr>
              <w:t>Conversion of redeemable convertible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800" w:type="dxa"/>
            <w:vAlign w:val="bottom"/>
          </w:tcPr>
          <w:p>
            <w:pPr>
              <w:ind w:left="360"/>
              <w:spacing w:after="0"/>
              <w:rPr>
                <w:sz w:val="20"/>
                <w:szCs w:val="20"/>
                <w:color w:val="auto"/>
              </w:rPr>
            </w:pPr>
            <w:r>
              <w:rPr>
                <w:rFonts w:ascii="Arial" w:cs="Arial" w:eastAsia="Arial" w:hAnsi="Arial"/>
                <w:sz w:val="14"/>
                <w:szCs w:val="14"/>
                <w:color w:val="auto"/>
              </w:rPr>
              <w:t>preferred stock into common stock</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(3,333,333)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(1,500)</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(31,450,499)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(25,000)</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(28,519,322)</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5"/>
              </w:rPr>
              <w:t>(61,000)</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15,320,213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87,499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87,500</w:t>
            </w:r>
          </w:p>
        </w:tc>
        <w:tc>
          <w:tcPr>
            <w:tcW w:w="60" w:type="dxa"/>
            <w:vAlign w:val="bottom"/>
          </w:tcPr>
          <w:p>
            <w:pPr>
              <w:spacing w:after="0"/>
              <w:rPr>
                <w:sz w:val="14"/>
                <w:szCs w:val="14"/>
                <w:color w:val="auto"/>
              </w:rPr>
            </w:pPr>
          </w:p>
        </w:tc>
      </w:tr>
      <w:tr>
        <w:trPr>
          <w:trHeight w:val="141"/>
        </w:trPr>
        <w:tc>
          <w:tcPr>
            <w:tcW w:w="280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Exercise of warrants to purchase</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5"/>
        </w:trPr>
        <w:tc>
          <w:tcPr>
            <w:tcW w:w="2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common stock</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59"/>
        </w:trPr>
        <w:tc>
          <w:tcPr>
            <w:tcW w:w="2800" w:type="dxa"/>
            <w:vAlign w:val="bottom"/>
          </w:tcPr>
          <w:p>
            <w:pPr>
              <w:ind w:left="240"/>
              <w:spacing w:after="0" w:line="159" w:lineRule="exact"/>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123,026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59"/>
        </w:trPr>
        <w:tc>
          <w:tcPr>
            <w:tcW w:w="280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Exercise of stock options</w:t>
            </w:r>
          </w:p>
        </w:tc>
        <w:tc>
          <w:tcPr>
            <w:tcW w:w="78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20" w:type="dxa"/>
            <w:vAlign w:val="bottom"/>
            <w:tcBorders>
              <w:right w:val="single" w:sz="8" w:color="auto"/>
            </w:tcBorders>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16,974</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60" w:type="dxa"/>
            <w:vAlign w:val="bottom"/>
            <w:shd w:val="clear" w:color="auto" w:fill="CFF0FC"/>
          </w:tcPr>
          <w:p>
            <w:pPr>
              <w:spacing w:after="0"/>
              <w:rPr>
                <w:sz w:val="13"/>
                <w:szCs w:val="13"/>
                <w:color w:val="auto"/>
              </w:rPr>
            </w:pPr>
          </w:p>
        </w:tc>
      </w:tr>
      <w:tr>
        <w:trPr>
          <w:trHeight w:val="159"/>
        </w:trPr>
        <w:tc>
          <w:tcPr>
            <w:tcW w:w="2800" w:type="dxa"/>
            <w:vAlign w:val="bottom"/>
          </w:tcPr>
          <w:p>
            <w:pPr>
              <w:ind w:left="240"/>
              <w:spacing w:after="0" w:line="15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(46,361)</w:t>
            </w:r>
          </w:p>
        </w:tc>
        <w:tc>
          <w:tcPr>
            <w:tcW w:w="1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(46,361)</w:t>
            </w:r>
          </w:p>
        </w:tc>
      </w:tr>
      <w:tr>
        <w:trPr>
          <w:trHeight w:val="153"/>
        </w:trPr>
        <w:tc>
          <w:tcPr>
            <w:tcW w:w="280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as of December 31, 2018</w:t>
            </w: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94"/>
              </w:rPr>
              <w:t>23,806,628</w:t>
            </w: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98"/>
              </w:rPr>
              <w:t>193,921</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(71,739)</w:t>
            </w: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122,184</w:t>
            </w:r>
          </w:p>
        </w:tc>
        <w:tc>
          <w:tcPr>
            <w:tcW w:w="60" w:type="dxa"/>
            <w:vAlign w:val="bottom"/>
            <w:tcBorders>
              <w:top w:val="single" w:sz="8" w:color="CFF0FC"/>
            </w:tcBorders>
            <w:shd w:val="clear" w:color="auto" w:fill="CFF0FC"/>
          </w:tcPr>
          <w:p>
            <w:pPr>
              <w:spacing w:after="0"/>
              <w:rPr>
                <w:sz w:val="13"/>
                <w:szCs w:val="13"/>
                <w:color w:val="auto"/>
              </w:rPr>
            </w:pPr>
          </w:p>
        </w:tc>
      </w:tr>
      <w:tr>
        <w:trPr>
          <w:trHeight w:val="159"/>
        </w:trPr>
        <w:tc>
          <w:tcPr>
            <w:tcW w:w="2800" w:type="dxa"/>
            <w:vAlign w:val="bottom"/>
          </w:tcPr>
          <w:p>
            <w:pPr>
              <w:ind w:left="240"/>
              <w:spacing w:after="0" w:line="159" w:lineRule="exact"/>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123,024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59"/>
        </w:trPr>
        <w:tc>
          <w:tcPr>
            <w:tcW w:w="280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Exercise of stock options</w:t>
            </w:r>
          </w:p>
        </w:tc>
        <w:tc>
          <w:tcPr>
            <w:tcW w:w="78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20" w:type="dxa"/>
            <w:vAlign w:val="bottom"/>
            <w:tcBorders>
              <w:right w:val="single" w:sz="8" w:color="auto"/>
            </w:tcBorders>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236,483</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502</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502</w:t>
            </w:r>
          </w:p>
        </w:tc>
        <w:tc>
          <w:tcPr>
            <w:tcW w:w="60" w:type="dxa"/>
            <w:vAlign w:val="bottom"/>
            <w:shd w:val="clear" w:color="auto" w:fill="CFF0FC"/>
          </w:tcPr>
          <w:p>
            <w:pPr>
              <w:spacing w:after="0"/>
              <w:rPr>
                <w:sz w:val="13"/>
                <w:szCs w:val="13"/>
                <w:color w:val="auto"/>
              </w:rPr>
            </w:pPr>
          </w:p>
        </w:tc>
      </w:tr>
      <w:tr>
        <w:trPr>
          <w:trHeight w:val="141"/>
        </w:trPr>
        <w:tc>
          <w:tcPr>
            <w:tcW w:w="2800" w:type="dxa"/>
            <w:vAlign w:val="bottom"/>
          </w:tcPr>
          <w:p>
            <w:pPr>
              <w:ind w:left="240"/>
              <w:spacing w:after="0" w:line="141" w:lineRule="exact"/>
              <w:rPr>
                <w:sz w:val="20"/>
                <w:szCs w:val="20"/>
                <w:color w:val="auto"/>
              </w:rPr>
            </w:pPr>
            <w:r>
              <w:rPr>
                <w:rFonts w:ascii="Arial" w:cs="Arial" w:eastAsia="Arial" w:hAnsi="Arial"/>
                <w:sz w:val="14"/>
                <w:szCs w:val="14"/>
                <w:color w:val="auto"/>
              </w:rPr>
              <w:t>Issuance of common stock upon public</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800" w:type="dxa"/>
            <w:vAlign w:val="bottom"/>
          </w:tcPr>
          <w:p>
            <w:pPr>
              <w:ind w:left="360"/>
              <w:spacing w:after="0"/>
              <w:rPr>
                <w:sz w:val="20"/>
                <w:szCs w:val="20"/>
                <w:color w:val="auto"/>
              </w:rPr>
            </w:pPr>
            <w:r>
              <w:rPr>
                <w:rFonts w:ascii="Arial" w:cs="Arial" w:eastAsia="Arial" w:hAnsi="Arial"/>
                <w:sz w:val="14"/>
                <w:szCs w:val="14"/>
                <w:color w:val="auto"/>
              </w:rPr>
              <w:t>offering, net of offering costs of $525</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7,475,000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129,464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129,465</w:t>
            </w:r>
          </w:p>
        </w:tc>
        <w:tc>
          <w:tcPr>
            <w:tcW w:w="60" w:type="dxa"/>
            <w:vAlign w:val="bottom"/>
          </w:tcPr>
          <w:p>
            <w:pPr>
              <w:spacing w:after="0"/>
              <w:rPr>
                <w:sz w:val="14"/>
                <w:szCs w:val="14"/>
                <w:color w:val="auto"/>
              </w:rPr>
            </w:pPr>
          </w:p>
        </w:tc>
      </w:tr>
      <w:tr>
        <w:trPr>
          <w:trHeight w:val="141"/>
        </w:trPr>
        <w:tc>
          <w:tcPr>
            <w:tcW w:w="280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Issuance of common stock under 2018</w:t>
            </w: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5"/>
        </w:trPr>
        <w:tc>
          <w:tcPr>
            <w:tcW w:w="2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60" w:type="dxa"/>
            <w:vAlign w:val="bottom"/>
            <w:shd w:val="clear" w:color="auto" w:fill="CFF0FC"/>
          </w:tcPr>
          <w:p>
            <w:pPr>
              <w:spacing w:after="0"/>
              <w:rPr>
                <w:sz w:val="14"/>
                <w:szCs w:val="14"/>
                <w:color w:val="auto"/>
              </w:rPr>
            </w:pPr>
          </w:p>
        </w:tc>
      </w:tr>
      <w:tr>
        <w:trPr>
          <w:trHeight w:val="159"/>
        </w:trPr>
        <w:tc>
          <w:tcPr>
            <w:tcW w:w="2800" w:type="dxa"/>
            <w:vAlign w:val="bottom"/>
          </w:tcPr>
          <w:p>
            <w:pPr>
              <w:ind w:left="240"/>
              <w:spacing w:after="0" w:line="159" w:lineRule="exact"/>
              <w:rPr>
                <w:sz w:val="20"/>
                <w:szCs w:val="20"/>
                <w:color w:val="auto"/>
              </w:rPr>
            </w:pPr>
            <w:r>
              <w:rPr>
                <w:rFonts w:ascii="Arial" w:cs="Arial" w:eastAsia="Arial" w:hAnsi="Arial"/>
                <w:sz w:val="14"/>
                <w:szCs w:val="14"/>
                <w:color w:val="auto"/>
              </w:rPr>
              <w:t>Stock-based compensation expense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6,800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6,800</w:t>
            </w:r>
          </w:p>
        </w:tc>
        <w:tc>
          <w:tcPr>
            <w:tcW w:w="60" w:type="dxa"/>
            <w:vAlign w:val="bottom"/>
          </w:tcPr>
          <w:p>
            <w:pPr>
              <w:spacing w:after="0"/>
              <w:rPr>
                <w:sz w:val="13"/>
                <w:szCs w:val="13"/>
                <w:color w:val="auto"/>
              </w:rPr>
            </w:pPr>
          </w:p>
        </w:tc>
      </w:tr>
      <w:tr>
        <w:trPr>
          <w:trHeight w:val="159"/>
        </w:trPr>
        <w:tc>
          <w:tcPr>
            <w:tcW w:w="280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20" w:type="dxa"/>
            <w:vAlign w:val="bottom"/>
            <w:tcBorders>
              <w:right w:val="single" w:sz="8" w:color="auto"/>
            </w:tcBorders>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(72,965)</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(72,965)</w:t>
            </w: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Balance as of December 31, 2019</w:t>
            </w:r>
          </w:p>
        </w:tc>
        <w:tc>
          <w:tcPr>
            <w:tcW w:w="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94"/>
              </w:rPr>
              <w:t>31,642,806</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330,714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(144,704)</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186,013</w:t>
            </w:r>
          </w:p>
        </w:tc>
        <w:tc>
          <w:tcPr>
            <w:tcW w:w="60" w:type="dxa"/>
            <w:vAlign w:val="bottom"/>
          </w:tcPr>
          <w:p>
            <w:pPr>
              <w:spacing w:after="0"/>
              <w:rPr>
                <w:sz w:val="13"/>
                <w:szCs w:val="13"/>
                <w:color w:val="auto"/>
              </w:rPr>
            </w:pPr>
          </w:p>
        </w:tc>
      </w:tr>
    </w:tbl>
    <w:p>
      <w:pPr>
        <w:spacing w:after="0" w:line="1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340"/>
          </w:cols>
          <w:pgMar w:left="320" w:top="33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AVROBIO,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(72,965)</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(46,361)</w:t>
            </w: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6,800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Amortization of deferred offering costs</w:t>
            </w:r>
          </w:p>
        </w:tc>
        <w:tc>
          <w:tcPr>
            <w:tcW w:w="9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loss of property and equipment</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Deferred rent expense</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preferred stock warrant liability</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9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(4,888)</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(241)</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5"/>
        </w:trPr>
        <w:tc>
          <w:tcPr>
            <w:tcW w:w="7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tcPr>
          <w:p>
            <w:pPr>
              <w:ind w:left="24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(67,668)</w:t>
            </w: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(37,648)</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(1,585)</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77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74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(1,585)</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8"/>
        </w:trPr>
        <w:tc>
          <w:tcPr>
            <w:tcW w:w="7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redeemable convertible preferred stock, net of</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140"/>
              <w:spacing w:after="0"/>
              <w:rPr>
                <w:sz w:val="20"/>
                <w:szCs w:val="20"/>
                <w:color w:val="auto"/>
              </w:rPr>
            </w:pPr>
            <w:r>
              <w:rPr>
                <w:rFonts w:ascii="Arial" w:cs="Arial" w:eastAsia="Arial" w:hAnsi="Arial"/>
                <w:sz w:val="18"/>
                <w:szCs w:val="18"/>
                <w:color w:val="auto"/>
              </w:rPr>
              <w:t>offering, net of offering costs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129,465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104,013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Payment of dilution liability</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 shares under the employee stock purchase plan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129,994</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160,287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120,807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126,794</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187,535</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126,794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 included in accrued expenses and accounts payable</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Purchase of property and equipment paid for by landlord</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8" w:lineRule="exact"/>
        <w:rPr>
          <w:sz w:val="20"/>
          <w:szCs w:val="20"/>
          <w:color w:val="auto"/>
        </w:rPr>
      </w:pPr>
    </w:p>
    <w:p>
      <w:pPr>
        <w:ind w:right="560" w:firstLine="546"/>
        <w:spacing w:after="0" w:line="265"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80" w:lineRule="exact"/>
        <w:rPr>
          <w:sz w:val="20"/>
          <w:szCs w:val="20"/>
          <w:color w:val="auto"/>
        </w:rPr>
      </w:pPr>
    </w:p>
    <w:p>
      <w:pPr>
        <w:ind w:right="120" w:firstLine="546"/>
        <w:spacing w:after="0" w:line="313" w:lineRule="auto"/>
        <w:rPr>
          <w:sz w:val="20"/>
          <w:szCs w:val="20"/>
          <w:color w:val="auto"/>
        </w:rPr>
      </w:pPr>
      <w:r>
        <w:rPr>
          <w:rFonts w:ascii="Arial" w:cs="Arial" w:eastAsia="Arial" w:hAnsi="Arial"/>
          <w:sz w:val="15"/>
          <w:szCs w:val="15"/>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52" w:lineRule="exact"/>
        <w:rPr>
          <w:sz w:val="20"/>
          <w:szCs w:val="20"/>
          <w:color w:val="auto"/>
        </w:rPr>
      </w:pPr>
    </w:p>
    <w:p>
      <w:pPr>
        <w:ind w:firstLine="546"/>
        <w:spacing w:after="0" w:line="263" w:lineRule="auto"/>
        <w:rPr>
          <w:sz w:val="20"/>
          <w:szCs w:val="20"/>
          <w:color w:val="auto"/>
        </w:rPr>
      </w:pPr>
      <w:r>
        <w:rPr>
          <w:rFonts w:ascii="Arial" w:cs="Arial" w:eastAsia="Arial" w:hAnsi="Arial"/>
          <w:sz w:val="17"/>
          <w:szCs w:val="17"/>
          <w:color w:val="auto"/>
        </w:rPr>
        <w:t>Through December 31, 2019, the Company has funded its operations primarily with proceeds from the sale of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and common stock through the Company’s initial public offering (“IPO”). The Company has incurred recurring losses since its inception, including net losses of $72,965 and $46,361 for the years ended December 31, 2019 and 2018, respectively. In addition, as of December 31, 2019, the Company had an accumulated deficit of $144,704. Although the Company has incurred recurring losses and expects to continue to incur losses for the foreseeable future, the Company expects that its existing cash and cash equivalents on hand as of December 31, 2019 of $187,043, together with net proceeds from the follow on public offering completed in February 2020 (“the February 2020 Follow-On Offering”) (see Note 17) will be sufficient to fund current planned operations and capital expenditure requirements for at least the next twelve months from the filing date of this Annual Report on Form 10-K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370" w:lineRule="exact"/>
        <w:rPr>
          <w:sz w:val="20"/>
          <w:szCs w:val="20"/>
          <w:color w:val="auto"/>
        </w:rPr>
      </w:pPr>
    </w:p>
    <w:p>
      <w:pPr>
        <w:ind w:left="560" w:right="7720" w:hanging="554"/>
        <w:spacing w:after="0" w:line="373" w:lineRule="auto"/>
        <w:tabs>
          <w:tab w:leader="none" w:pos="19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240" w:firstLine="546"/>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2" w:lineRule="exact"/>
        <w:rPr>
          <w:sz w:val="20"/>
          <w:szCs w:val="20"/>
          <w:color w:val="auto"/>
        </w:rPr>
      </w:pPr>
    </w:p>
    <w:p>
      <w:pPr>
        <w:ind w:right="280" w:firstLine="546"/>
        <w:spacing w:after="0" w:line="265"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ind w:firstLine="546"/>
        <w:spacing w:after="0" w:line="24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4" w:name="page115"/>
    <w:bookmarkEnd w:id="1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2" w:lineRule="exact"/>
        <w:rPr>
          <w:sz w:val="20"/>
          <w:szCs w:val="20"/>
          <w:color w:val="auto"/>
        </w:rPr>
      </w:pPr>
    </w:p>
    <w:p>
      <w:pPr>
        <w:ind w:right="100" w:firstLine="546"/>
        <w:spacing w:after="0" w:line="256"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8" w:lineRule="exact"/>
        <w:rPr>
          <w:sz w:val="20"/>
          <w:szCs w:val="20"/>
          <w:color w:val="auto"/>
        </w:rPr>
      </w:pPr>
    </w:p>
    <w:p>
      <w:pPr>
        <w:ind w:right="460" w:firstLine="546"/>
        <w:spacing w:after="0" w:line="366" w:lineRule="auto"/>
        <w:rPr>
          <w:sz w:val="20"/>
          <w:szCs w:val="20"/>
          <w:color w:val="auto"/>
        </w:rPr>
      </w:pPr>
      <w:r>
        <w:rPr>
          <w:rFonts w:ascii="Arial" w:cs="Arial" w:eastAsia="Arial" w:hAnsi="Arial"/>
          <w:sz w:val="15"/>
          <w:szCs w:val="15"/>
          <w:color w:val="auto"/>
        </w:rPr>
        <w:t>As of both December 31, 2019 and 2018, restricted cash consisted of $492 used to secure the letters of credit for the benefit of the landlord in connection with the Company’s lease agreements (Note 14). These amounts are classified as other assets in the Company’s consolidated balance sheets.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2" w:lineRule="exact"/>
        <w:rPr>
          <w:sz w:val="20"/>
          <w:szCs w:val="20"/>
          <w:color w:val="auto"/>
        </w:rPr>
      </w:pPr>
    </w:p>
    <w:p>
      <w:pPr>
        <w:ind w:right="20" w:firstLine="546"/>
        <w:spacing w:after="0" w:line="313" w:lineRule="auto"/>
        <w:rPr>
          <w:sz w:val="20"/>
          <w:szCs w:val="20"/>
          <w:color w:val="auto"/>
        </w:rPr>
      </w:pPr>
      <w:r>
        <w:rPr>
          <w:rFonts w:ascii="Arial" w:cs="Arial" w:eastAsia="Arial" w:hAnsi="Arial"/>
          <w:sz w:val="15"/>
          <w:szCs w:val="15"/>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2" w:lineRule="exact"/>
        <w:rPr>
          <w:sz w:val="20"/>
          <w:szCs w:val="20"/>
          <w:color w:val="auto"/>
        </w:rPr>
      </w:pPr>
    </w:p>
    <w:p>
      <w:pPr>
        <w:ind w:right="20" w:firstLine="546"/>
        <w:spacing w:after="0" w:line="250"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2019, the Company recorded deferred issuance costs of $133 within other assets on the consolidated balance sheet related to a follow-on offering of common stock completed in February 2020. There were no amounts deferred as of December 31, 2018.</w:t>
      </w:r>
    </w:p>
    <w:p>
      <w:pPr>
        <w:spacing w:after="0" w:line="34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2" w:lineRule="exact"/>
        <w:rPr>
          <w:sz w:val="20"/>
          <w:szCs w:val="20"/>
          <w:color w:val="auto"/>
        </w:rPr>
      </w:pPr>
    </w:p>
    <w:p>
      <w:pPr>
        <w:ind w:right="140" w:firstLine="546"/>
        <w:spacing w:after="0" w:line="265"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3"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3660" w:type="dxa"/>
            <w:vAlign w:val="bottom"/>
            <w:tcBorders>
              <w:bottom w:val="single" w:sz="8" w:color="CFF0FC"/>
            </w:tcBorders>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1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3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5 years</w:t>
            </w:r>
          </w:p>
        </w:tc>
      </w:t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08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2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Lesser of lease term or 10 years</w:t>
            </w:r>
          </w:p>
        </w:tc>
      </w:tr>
    </w:tbl>
    <w:p>
      <w:pPr>
        <w:spacing w:after="0" w:line="200" w:lineRule="exact"/>
        <w:rPr>
          <w:sz w:val="20"/>
          <w:szCs w:val="20"/>
          <w:color w:val="auto"/>
        </w:rPr>
      </w:pPr>
    </w:p>
    <w:p>
      <w:pPr>
        <w:ind w:right="400" w:firstLine="546"/>
        <w:spacing w:after="0" w:line="256"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2" w:lineRule="exact"/>
        <w:rPr>
          <w:sz w:val="20"/>
          <w:szCs w:val="20"/>
          <w:color w:val="auto"/>
        </w:rPr>
      </w:pPr>
    </w:p>
    <w:p>
      <w:pPr>
        <w:ind w:firstLine="546"/>
        <w:spacing w:after="0" w:line="305" w:lineRule="auto"/>
        <w:rPr>
          <w:sz w:val="20"/>
          <w:szCs w:val="20"/>
          <w:color w:val="auto"/>
        </w:rPr>
      </w:pPr>
      <w:r>
        <w:rPr>
          <w:rFonts w:ascii="Arial" w:cs="Arial" w:eastAsia="Arial" w:hAnsi="Arial"/>
          <w:sz w:val="15"/>
          <w:szCs w:val="15"/>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2018, the Company recorded an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13"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impairment loss of $235 on long-lived assets related to leasehold improvements. The Company did not record any impairment loss during the year ended December 31, 2019.</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2" w:lineRule="exact"/>
        <w:rPr>
          <w:sz w:val="20"/>
          <w:szCs w:val="20"/>
          <w:color w:val="auto"/>
        </w:rPr>
      </w:pPr>
    </w:p>
    <w:p>
      <w:pPr>
        <w:ind w:right="40" w:firstLine="546"/>
        <w:spacing w:after="0" w:line="313" w:lineRule="auto"/>
        <w:rPr>
          <w:sz w:val="20"/>
          <w:szCs w:val="20"/>
          <w:color w:val="auto"/>
        </w:rPr>
      </w:pPr>
      <w:r>
        <w:rPr>
          <w:rFonts w:ascii="Arial" w:cs="Arial" w:eastAsia="Arial" w:hAnsi="Arial"/>
          <w:sz w:val="15"/>
          <w:szCs w:val="15"/>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44" w:lineRule="exact"/>
        <w:rPr>
          <w:sz w:val="20"/>
          <w:szCs w:val="20"/>
          <w:color w:val="auto"/>
        </w:rPr>
      </w:pPr>
    </w:p>
    <w:p>
      <w:pPr>
        <w:ind w:left="940" w:hanging="389"/>
        <w:spacing w:after="0"/>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1" w:lineRule="exact"/>
        <w:rPr>
          <w:rFonts w:ascii="Arial" w:cs="Arial" w:eastAsia="Arial" w:hAnsi="Arial"/>
          <w:sz w:val="18"/>
          <w:szCs w:val="18"/>
          <w:color w:val="auto"/>
        </w:rPr>
      </w:pPr>
    </w:p>
    <w:p>
      <w:pPr>
        <w:ind w:left="940" w:right="260" w:hanging="389"/>
        <w:spacing w:after="0" w:line="256"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Arial" w:cs="Arial" w:eastAsia="Arial" w:hAnsi="Arial"/>
          <w:sz w:val="18"/>
          <w:szCs w:val="18"/>
          <w:color w:val="auto"/>
        </w:rPr>
      </w:pPr>
    </w:p>
    <w:p>
      <w:pPr>
        <w:ind w:left="940" w:right="140" w:hanging="389"/>
        <w:spacing w:after="0" w:line="265"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80" w:lineRule="exact"/>
        <w:rPr>
          <w:sz w:val="20"/>
          <w:szCs w:val="20"/>
          <w:color w:val="auto"/>
        </w:rPr>
      </w:pPr>
    </w:p>
    <w:p>
      <w:pPr>
        <w:ind w:right="580" w:firstLine="546"/>
        <w:spacing w:after="0" w:line="218" w:lineRule="exact"/>
        <w:rPr>
          <w:sz w:val="20"/>
          <w:szCs w:val="20"/>
          <w:color w:val="auto"/>
        </w:rPr>
      </w:pPr>
      <w:r>
        <w:rPr>
          <w:rFonts w:ascii="Arial" w:cs="Arial" w:eastAsia="Arial" w:hAnsi="Arial"/>
          <w:sz w:val="15"/>
          <w:szCs w:val="15"/>
          <w:color w:val="auto"/>
        </w:rPr>
        <w:t>The carrying amounts of the Company’s financial instruments, which include cash and cash equivalents, restricted cash, accounts payable, and accrued expenses, approximated their fair values at December 31, 2019 and 2018 due to the short</w:t>
      </w:r>
      <w:r>
        <w:rPr>
          <w:rFonts w:ascii="MS PGothic" w:cs="MS PGothic" w:eastAsia="MS PGothic" w:hAnsi="MS PGothic"/>
          <w:sz w:val="15"/>
          <w:szCs w:val="15"/>
          <w:color w:val="auto"/>
        </w:rPr>
        <w:t>‑</w:t>
      </w:r>
      <w:r>
        <w:rPr>
          <w:rFonts w:ascii="Arial" w:cs="Arial" w:eastAsia="Arial" w:hAnsi="Arial"/>
          <w:sz w:val="15"/>
          <w:szCs w:val="15"/>
          <w:color w:val="auto"/>
        </w:rPr>
        <w:t>term nature of these instruments.</w:t>
      </w:r>
    </w:p>
    <w:p>
      <w:pPr>
        <w:spacing w:after="0" w:line="202" w:lineRule="exact"/>
        <w:rPr>
          <w:sz w:val="20"/>
          <w:szCs w:val="20"/>
          <w:color w:val="auto"/>
        </w:rPr>
      </w:pPr>
    </w:p>
    <w:p>
      <w:pPr>
        <w:ind w:right="580" w:firstLine="546"/>
        <w:spacing w:after="0" w:line="366" w:lineRule="auto"/>
        <w:rPr>
          <w:sz w:val="20"/>
          <w:szCs w:val="20"/>
          <w:color w:val="auto"/>
        </w:rPr>
      </w:pPr>
      <w:r>
        <w:rPr>
          <w:rFonts w:ascii="Arial" w:cs="Arial" w:eastAsia="Arial" w:hAnsi="Arial"/>
          <w:sz w:val="15"/>
          <w:szCs w:val="15"/>
          <w:color w:val="auto"/>
        </w:rPr>
        <w:t>The Company has evaluated the estimated fair value of financial instruments using available market information. The use of different market assumptions, estimation methodologies, or both, could have a significant effect on the estimated fair value amounts. See Note 3 for further discussion.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2"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2" w:lineRule="exact"/>
        <w:rPr>
          <w:sz w:val="20"/>
          <w:szCs w:val="20"/>
          <w:color w:val="auto"/>
        </w:rPr>
      </w:pPr>
    </w:p>
    <w:p>
      <w:pPr>
        <w:jc w:val="both"/>
        <w:ind w:right="100" w:firstLine="546"/>
        <w:spacing w:after="0" w:line="267"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83" w:lineRule="exact"/>
        <w:rPr>
          <w:sz w:val="20"/>
          <w:szCs w:val="20"/>
          <w:color w:val="auto"/>
        </w:rPr>
      </w:pPr>
    </w:p>
    <w:p>
      <w:pPr>
        <w:ind w:right="100" w:firstLine="546"/>
        <w:spacing w:after="0" w:line="250" w:lineRule="auto"/>
        <w:rPr>
          <w:sz w:val="20"/>
          <w:szCs w:val="20"/>
          <w:color w:val="auto"/>
        </w:rPr>
      </w:pPr>
      <w:r>
        <w:rPr>
          <w:rFonts w:ascii="Arial" w:cs="Arial" w:eastAsia="Arial" w:hAnsi="Arial"/>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right="340" w:firstLine="546"/>
        <w:spacing w:after="0" w:line="269"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9" w:lineRule="exact"/>
        <w:rPr>
          <w:sz w:val="20"/>
          <w:szCs w:val="20"/>
          <w:color w:val="auto"/>
        </w:rPr>
      </w:pPr>
    </w:p>
    <w:p>
      <w:pPr>
        <w:ind w:right="80" w:firstLine="546"/>
        <w:spacing w:after="0" w:line="309" w:lineRule="auto"/>
        <w:rPr>
          <w:sz w:val="20"/>
          <w:szCs w:val="20"/>
          <w:color w:val="auto"/>
        </w:rPr>
      </w:pPr>
      <w:r>
        <w:rPr>
          <w:rFonts w:ascii="Arial" w:cs="Arial" w:eastAsia="Arial" w:hAnsi="Arial"/>
          <w:sz w:val="15"/>
          <w:szCs w:val="15"/>
          <w:color w:val="auto"/>
        </w:rPr>
        <w:t xml:space="preserve">Prior to the adoption of Accounting Standards Update (“ASU”) No. 2018-07, </w:t>
      </w:r>
      <w:r>
        <w:rPr>
          <w:rFonts w:ascii="Arial" w:cs="Arial" w:eastAsia="Arial" w:hAnsi="Arial"/>
          <w:sz w:val="15"/>
          <w:szCs w:val="15"/>
          <w:i w:val="1"/>
          <w:iCs w:val="1"/>
          <w:color w:val="auto"/>
        </w:rPr>
        <w:t>Compensation-Stock Compensation (Topic 718): Improvements to</w:t>
      </w:r>
      <w:r>
        <w:rPr>
          <w:rFonts w:ascii="Arial" w:cs="Arial" w:eastAsia="Arial" w:hAnsi="Arial"/>
          <w:sz w:val="15"/>
          <w:szCs w:val="15"/>
          <w:color w:val="auto"/>
        </w:rPr>
        <w:t xml:space="preserve"> </w:t>
      </w:r>
      <w:r>
        <w:rPr>
          <w:rFonts w:ascii="Arial" w:cs="Arial" w:eastAsia="Arial" w:hAnsi="Arial"/>
          <w:sz w:val="15"/>
          <w:szCs w:val="15"/>
          <w:i w:val="1"/>
          <w:iCs w:val="1"/>
          <w:color w:val="auto"/>
        </w:rPr>
        <w:t>Nonemployee Share-Based Payment Accounting</w:t>
      </w:r>
      <w:r>
        <w:rPr>
          <w:rFonts w:ascii="Arial" w:cs="Arial" w:eastAsia="Arial" w:hAnsi="Arial"/>
          <w:sz w:val="15"/>
          <w:szCs w:val="15"/>
          <w:color w:val="auto"/>
        </w:rPr>
        <w:t>, the measurement date for non-employee awards was generally the date the services are completed, resulting</w:t>
      </w:r>
      <w:r>
        <w:rPr>
          <w:rFonts w:ascii="Arial" w:cs="Arial" w:eastAsia="Arial" w:hAnsi="Arial"/>
          <w:sz w:val="15"/>
          <w:szCs w:val="15"/>
          <w:i w:val="1"/>
          <w:iCs w:val="1"/>
          <w:color w:val="auto"/>
        </w:rPr>
        <w:t xml:space="preserve"> </w:t>
      </w:r>
      <w:r>
        <w:rPr>
          <w:rFonts w:ascii="Arial" w:cs="Arial" w:eastAsia="Arial" w:hAnsi="Arial"/>
          <w:sz w:val="15"/>
          <w:szCs w:val="15"/>
          <w:color w:val="auto"/>
        </w:rPr>
        <w:t>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55" w:lineRule="exact"/>
        <w:rPr>
          <w:sz w:val="20"/>
          <w:szCs w:val="20"/>
          <w:color w:val="auto"/>
        </w:rPr>
      </w:pPr>
    </w:p>
    <w:p>
      <w:pPr>
        <w:ind w:right="20" w:firstLine="546"/>
        <w:spacing w:after="0" w:line="265"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80" w:lineRule="exact"/>
        <w:rPr>
          <w:sz w:val="20"/>
          <w:szCs w:val="20"/>
          <w:color w:val="auto"/>
        </w:rPr>
      </w:pPr>
    </w:p>
    <w:p>
      <w:pPr>
        <w:ind w:right="60" w:firstLine="546"/>
        <w:spacing w:after="0" w:line="297" w:lineRule="auto"/>
        <w:rPr>
          <w:sz w:val="20"/>
          <w:szCs w:val="20"/>
          <w:color w:val="auto"/>
        </w:rPr>
      </w:pPr>
      <w:r>
        <w:rPr>
          <w:rFonts w:ascii="Arial" w:cs="Arial" w:eastAsia="Arial" w:hAnsi="Arial"/>
          <w:sz w:val="15"/>
          <w:szCs w:val="15"/>
          <w:color w:val="auto"/>
        </w:rPr>
        <w:t xml:space="preserve">Given the absence of an active market for the Company’s common stock prior to the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5"/>
          <w:szCs w:val="15"/>
          <w:i w:val="1"/>
          <w:iCs w:val="1"/>
          <w:color w:val="auto"/>
        </w:rPr>
        <w:t>Valuation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Privately-Held Company Equity Securities Issued as Compensation</w:t>
      </w:r>
      <w:r>
        <w:rPr>
          <w:rFonts w:ascii="Arial" w:cs="Arial" w:eastAsia="Arial" w:hAnsi="Arial"/>
          <w:sz w:val="15"/>
          <w:szCs w:val="15"/>
          <w:color w:val="auto"/>
        </w:rPr>
        <w:t>, to estimate the fair value of its common stock. Each valuation methodology includes</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w:t>
      </w:r>
    </w:p>
    <w:p>
      <w:pPr>
        <w:spacing w:after="0" w:line="2" w:lineRule="exact"/>
        <w:rPr>
          <w:sz w:val="20"/>
          <w:szCs w:val="20"/>
          <w:color w:val="auto"/>
        </w:rPr>
      </w:pPr>
    </w:p>
    <w:p>
      <w:pPr>
        <w:ind w:right="80" w:firstLine="6"/>
        <w:spacing w:after="0" w:line="281" w:lineRule="auto"/>
        <w:tabs>
          <w:tab w:leader="none" w:pos="25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208"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2019,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19" w:lineRule="exact"/>
        <w:rPr>
          <w:sz w:val="20"/>
          <w:szCs w:val="20"/>
          <w:color w:val="auto"/>
        </w:rPr>
      </w:pPr>
    </w:p>
    <w:p>
      <w:pPr>
        <w:ind w:right="20" w:firstLine="546"/>
        <w:spacing w:after="0" w:line="295" w:lineRule="auto"/>
        <w:rPr>
          <w:sz w:val="20"/>
          <w:szCs w:val="20"/>
          <w:color w:val="auto"/>
        </w:rPr>
      </w:pPr>
      <w:r>
        <w:rPr>
          <w:rFonts w:ascii="Arial" w:cs="Arial" w:eastAsia="Arial" w:hAnsi="Arial"/>
          <w:sz w:val="17"/>
          <w:szCs w:val="17"/>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2019.</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2" w:lineRule="exact"/>
        <w:rPr>
          <w:sz w:val="20"/>
          <w:szCs w:val="20"/>
          <w:color w:val="auto"/>
        </w:rPr>
      </w:pPr>
    </w:p>
    <w:p>
      <w:pPr>
        <w:jc w:val="both"/>
        <w:ind w:right="80" w:firstLine="546"/>
        <w:spacing w:after="0" w:line="251" w:lineRule="auto"/>
        <w:rPr>
          <w:sz w:val="20"/>
          <w:szCs w:val="20"/>
          <w:color w:val="auto"/>
        </w:rPr>
      </w:pPr>
      <w:r>
        <w:rPr>
          <w:rFonts w:ascii="Arial" w:cs="Arial" w:eastAsia="Arial" w:hAnsi="Arial"/>
          <w:sz w:val="18"/>
          <w:szCs w:val="18"/>
          <w:color w:val="auto"/>
        </w:rPr>
        <w:t>Prior to the IPO, the Company classified the warrant for the purchase of shares of its redeemable convertible preferred stock (see Note 7) as a liability on its consolidated balance sheets as the warrant was a free-standing financial instrument that may require the Company to transfer assets upon exercise. The preferred stock warrant liability was initially recorded at fair value upon the date of issuance and was subsequently remeasured to fair value at each reporting date. Changes in the fair value of the warrant to purchase preferred stock were recognized as a component of other income (expense), net in the consolidated statements of operations and comprehensive loss.</w:t>
      </w:r>
    </w:p>
    <w:p>
      <w:pPr>
        <w:spacing w:after="0" w:line="193" w:lineRule="exact"/>
        <w:rPr>
          <w:sz w:val="20"/>
          <w:szCs w:val="20"/>
          <w:color w:val="auto"/>
        </w:rPr>
      </w:pPr>
    </w:p>
    <w:p>
      <w:pPr>
        <w:ind w:right="80" w:firstLine="546"/>
        <w:spacing w:after="0" w:line="251" w:lineRule="auto"/>
        <w:rPr>
          <w:sz w:val="20"/>
          <w:szCs w:val="20"/>
          <w:color w:val="auto"/>
        </w:rPr>
      </w:pPr>
      <w:r>
        <w:rPr>
          <w:rFonts w:ascii="Arial" w:cs="Arial" w:eastAsia="Arial" w:hAnsi="Arial"/>
          <w:sz w:val="18"/>
          <w:szCs w:val="18"/>
          <w:color w:val="auto"/>
        </w:rPr>
        <w:t>The Company utilized the Black-Scholes option-pricing model, which incorporates assumptions and estimates, to value the warrant. The Company assessed these assumptions and estimates on a quarterly basis as additional information impacting the assumptions was obtained. Estimates and assumptions impacting the fair value measurement included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193" w:lineRule="exact"/>
        <w:rPr>
          <w:sz w:val="20"/>
          <w:szCs w:val="20"/>
          <w:color w:val="auto"/>
        </w:rPr>
      </w:pPr>
    </w:p>
    <w:p>
      <w:pPr>
        <w:ind w:right="20" w:firstLine="546"/>
        <w:spacing w:after="0" w:line="256" w:lineRule="auto"/>
        <w:rPr>
          <w:sz w:val="20"/>
          <w:szCs w:val="20"/>
          <w:color w:val="auto"/>
        </w:rPr>
      </w:pPr>
      <w:r>
        <w:rPr>
          <w:rFonts w:ascii="Arial" w:cs="Arial" w:eastAsia="Arial" w:hAnsi="Arial"/>
          <w:sz w:val="18"/>
          <w:szCs w:val="18"/>
          <w:color w:val="auto"/>
        </w:rPr>
        <w:t>Upon the IPO, the warrant to purchase preferred stock was converted to a warrant to purchase common stock. The carrying amount of the warrant to purchase preferred stock as of the date of IPO was transferred to the account of additional paid in capital. No further revaluation was needed for the warrant to purchase common stock.</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2"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2"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2019 and 2018, the Company recorded foreign exchange losses of $90 and $51, respectively, in other expense.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right="20" w:firstLine="546"/>
        <w:spacing w:after="0" w:line="251"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93" w:lineRule="exact"/>
        <w:rPr>
          <w:sz w:val="20"/>
          <w:szCs w:val="20"/>
          <w:color w:val="auto"/>
        </w:rPr>
      </w:pPr>
    </w:p>
    <w:p>
      <w:pPr>
        <w:ind w:right="60" w:firstLine="546"/>
        <w:spacing w:after="0" w:line="331" w:lineRule="auto"/>
        <w:rPr>
          <w:sz w:val="20"/>
          <w:szCs w:val="20"/>
          <w:color w:val="auto"/>
        </w:rPr>
      </w:pPr>
      <w:r>
        <w:rPr>
          <w:rFonts w:ascii="Arial" w:cs="Arial" w:eastAsia="Arial" w:hAnsi="Arial"/>
          <w:sz w:val="15"/>
          <w:szCs w:val="15"/>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2" w:lineRule="exact"/>
        <w:rPr>
          <w:sz w:val="20"/>
          <w:szCs w:val="20"/>
          <w:color w:val="auto"/>
        </w:rPr>
      </w:pPr>
    </w:p>
    <w:p>
      <w:pPr>
        <w:ind w:right="120" w:firstLine="546"/>
        <w:spacing w:after="0" w:line="267"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2" w:lineRule="exact"/>
        <w:rPr>
          <w:sz w:val="20"/>
          <w:szCs w:val="20"/>
          <w:color w:val="auto"/>
        </w:rPr>
      </w:pPr>
    </w:p>
    <w:p>
      <w:pPr>
        <w:ind w:right="180" w:firstLine="546"/>
        <w:spacing w:after="0" w:line="251"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93"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2" w:lineRule="exact"/>
        <w:rPr>
          <w:sz w:val="20"/>
          <w:szCs w:val="20"/>
          <w:color w:val="auto"/>
        </w:rPr>
      </w:pPr>
    </w:p>
    <w:p>
      <w:pPr>
        <w:ind w:right="20" w:firstLine="546"/>
        <w:spacing w:after="0" w:line="319" w:lineRule="auto"/>
        <w:rPr>
          <w:sz w:val="20"/>
          <w:szCs w:val="20"/>
          <w:color w:val="auto"/>
        </w:rPr>
      </w:pPr>
      <w:r>
        <w:rPr>
          <w:rFonts w:ascii="Arial" w:cs="Arial" w:eastAsia="Arial" w:hAnsi="Arial"/>
          <w:sz w:val="15"/>
          <w:szCs w:val="15"/>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as disclosed in these notes to the consolidated financial statements. See Note 17 for further information.</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2" w:lineRule="exact"/>
        <w:rPr>
          <w:sz w:val="20"/>
          <w:szCs w:val="20"/>
          <w:color w:val="auto"/>
        </w:rPr>
      </w:pPr>
    </w:p>
    <w:p>
      <w:pPr>
        <w:ind w:right="60" w:firstLine="546"/>
        <w:spacing w:after="0" w:line="265"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2" w:lineRule="exact"/>
        <w:rPr>
          <w:sz w:val="20"/>
          <w:szCs w:val="20"/>
          <w:color w:val="auto"/>
        </w:rPr>
      </w:pPr>
    </w:p>
    <w:p>
      <w:pPr>
        <w:ind w:right="60" w:firstLine="546"/>
        <w:spacing w:after="0" w:line="267"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2018-07”). ASU 2018-07 amends the FASB Accounting Standards Codification (“ASC”) to expand the scope of FASB ASC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to include accounting for share-based payment transactions for acquiring goods and services from non-employees. The amendments in ASU 2018-07 are effective for all entities for annual periods, and interim periods within those annual periods, beginning after December 15, 2018. Early adoption is permitted. The Company early adopted this guidance at the beginning of the fourth quarter of 2018. There was no material impact on the consolidated financial statements as a result of this adoption.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19" w:lineRule="exact"/>
        <w:rPr>
          <w:sz w:val="20"/>
          <w:szCs w:val="20"/>
          <w:color w:val="auto"/>
        </w:rPr>
      </w:pPr>
    </w:p>
    <w:p>
      <w:pPr>
        <w:ind w:firstLine="546"/>
        <w:spacing w:after="0" w:line="304"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(“ASU 2014-09”),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The Company early adopted ASU 2014-09 at the beginning of the fourth quarter of 2018. The adoption of ASU 2014-09 did not have an impact on the Company’s consolidated financial statements as the Company does not currently have any revenue-generating arrangements.</w:t>
      </w:r>
    </w:p>
    <w:p>
      <w:pPr>
        <w:spacing w:after="0" w:line="159" w:lineRule="exact"/>
        <w:rPr>
          <w:sz w:val="20"/>
          <w:szCs w:val="20"/>
          <w:color w:val="auto"/>
        </w:rPr>
      </w:pPr>
    </w:p>
    <w:p>
      <w:pPr>
        <w:ind w:right="40" w:firstLine="546"/>
        <w:spacing w:after="0" w:line="307"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adopted this guidance at the beginning of the fourth quarter of 2018. There was no material impact on the consolidated financial statements as a result of this adoption.</w:t>
      </w:r>
    </w:p>
    <w:p>
      <w:pPr>
        <w:spacing w:after="0" w:line="155"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which requires that a statement of cash flows explain the change during the period in the total of cash, cash equivalents and restricted cash. Therefore, amounts described as restricted cash should be included with cash and cash equivalents when reconciling the beginning of period and end of period amounts shown on the statement of cash flows. The Company early adopted this guidance at the beginning of the fourth quarter of 2018. ASU 2016-18 is effective on a retrospective basis. The cash, cash equivalents and restricted cash balances as of December 31, 2019 and 2018, which are presented in the Company’s consolidated statements of cash flows subsequent to the adoption of ASU 2016-18, consisted of the following:</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6"/>
              <w:spacing w:after="0" w:line="153"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126,302</w:t>
            </w:r>
          </w:p>
        </w:tc>
        <w:tc>
          <w:tcPr>
            <w:tcW w:w="80" w:type="dxa"/>
            <w:vAlign w:val="bottom"/>
            <w:shd w:val="clear" w:color="auto" w:fill="CFF0FC"/>
          </w:tcPr>
          <w:p>
            <w:pPr>
              <w:spacing w:after="0"/>
              <w:rPr>
                <w:sz w:val="19"/>
                <w:szCs w:val="19"/>
                <w:color w:val="auto"/>
              </w:rPr>
            </w:pPr>
          </w:p>
        </w:tc>
      </w:tr>
      <w:tr>
        <w:trPr>
          <w:trHeight w:val="225"/>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Borders>
              <w:bottom w:val="single" w:sz="8" w:color="CFF0FC"/>
            </w:tcBorders>
          </w:tcPr>
          <w:p>
            <w:pPr>
              <w:spacing w:after="0"/>
              <w:rPr>
                <w:sz w:val="19"/>
                <w:szCs w:val="19"/>
                <w:color w:val="auto"/>
              </w:rPr>
            </w:pPr>
          </w:p>
        </w:tc>
      </w:tr>
      <w:tr>
        <w:trPr>
          <w:trHeight w:val="21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187,535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126,794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2"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guidance is effective for fiscal years beginning after December 15, 2020, and interim periods within those fiscal years, with early adoption permitted. The Company is currently evaluating the impact that the adoption of ASU 2019-12 will have on its consolidated financial statements.</w:t>
      </w:r>
    </w:p>
    <w:p>
      <w:pPr>
        <w:spacing w:after="0" w:line="179" w:lineRule="exact"/>
        <w:rPr>
          <w:sz w:val="20"/>
          <w:szCs w:val="20"/>
          <w:color w:val="auto"/>
        </w:rPr>
      </w:pPr>
    </w:p>
    <w:p>
      <w:pPr>
        <w:ind w:right="40" w:firstLine="546"/>
        <w:spacing w:after="0" w:line="307"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 Disclosure Framework—Changes to the Disclosure</w:t>
      </w:r>
      <w:r>
        <w:rPr>
          <w:rFonts w:ascii="Arial" w:cs="Arial" w:eastAsia="Arial" w:hAnsi="Arial"/>
          <w:sz w:val="15"/>
          <w:szCs w:val="15"/>
          <w:color w:val="auto"/>
        </w:rPr>
        <w:t xml:space="preserve"> </w:t>
      </w:r>
      <w:r>
        <w:rPr>
          <w:rFonts w:ascii="Arial" w:cs="Arial" w:eastAsia="Arial" w:hAnsi="Arial"/>
          <w:sz w:val="15"/>
          <w:szCs w:val="15"/>
          <w:i w:val="1"/>
          <w:iCs w:val="1"/>
          <w:color w:val="auto"/>
        </w:rPr>
        <w:t>Requirements for Fair Value Measurement</w:t>
      </w:r>
      <w:r>
        <w:rPr>
          <w:rFonts w:ascii="Arial" w:cs="Arial" w:eastAsia="Arial" w:hAnsi="Arial"/>
          <w:sz w:val="15"/>
          <w:szCs w:val="15"/>
          <w:color w:val="auto"/>
        </w:rPr>
        <w:t>, or ASU 2018-13. The amendments in ASU 2018-13 eliminate, add, and modify certain disclosure requirements</w:t>
      </w:r>
      <w:r>
        <w:rPr>
          <w:rFonts w:ascii="Arial" w:cs="Arial" w:eastAsia="Arial" w:hAnsi="Arial"/>
          <w:sz w:val="15"/>
          <w:szCs w:val="15"/>
          <w:i w:val="1"/>
          <w:iCs w:val="1"/>
          <w:color w:val="auto"/>
        </w:rPr>
        <w:t xml:space="preserve"> </w:t>
      </w:r>
      <w:r>
        <w:rPr>
          <w:rFonts w:ascii="Arial" w:cs="Arial" w:eastAsia="Arial" w:hAnsi="Arial"/>
          <w:sz w:val="15"/>
          <w:szCs w:val="15"/>
          <w:color w:val="auto"/>
        </w:rPr>
        <w:t>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is currently evaluating the effects the adoption of ASU 2018-13 will have on its disclosures.</w:t>
      </w:r>
    </w:p>
    <w:p>
      <w:pPr>
        <w:spacing w:after="0" w:line="169" w:lineRule="exact"/>
        <w:rPr>
          <w:sz w:val="20"/>
          <w:szCs w:val="20"/>
          <w:color w:val="auto"/>
        </w:rPr>
      </w:pPr>
    </w:p>
    <w:p>
      <w:pPr>
        <w:ind w:firstLine="546"/>
        <w:spacing w:after="0" w:line="265" w:lineRule="auto"/>
        <w:rPr>
          <w:sz w:val="20"/>
          <w:szCs w:val="20"/>
          <w:color w:val="auto"/>
        </w:rPr>
      </w:pPr>
      <w:r>
        <w:rPr>
          <w:rFonts w:ascii="Arial" w:cs="Arial" w:eastAsia="Arial" w:hAnsi="Arial"/>
          <w:sz w:val="18"/>
          <w:szCs w:val="18"/>
          <w:color w:val="auto"/>
        </w:rPr>
        <w:t>In August 2018, the FASB issued ASU No. 2018-15, Intangible-Goodwill and Other Internal-Use Software (Subtopic 350-40) (“ASU 2018-15”). ASU 2018-15 updates guidance regarding accounting for implementation costs associated with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1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cloud computing arrangement that is a service contract. The amendments under ASU 2018-15 are effective for interim and annual fiscal periods beginning after December 15, 2019, with early adoption permitted. The Company does not expect the adoption of ASU 2018-15 to have a material impact on its consolidated financial statements.</w:t>
      </w:r>
    </w:p>
    <w:p>
      <w:pPr>
        <w:spacing w:after="0" w:line="188" w:lineRule="exact"/>
        <w:rPr>
          <w:sz w:val="20"/>
          <w:szCs w:val="20"/>
          <w:color w:val="auto"/>
        </w:rPr>
      </w:pPr>
    </w:p>
    <w:p>
      <w:pPr>
        <w:ind w:right="20" w:firstLine="546"/>
        <w:spacing w:after="0" w:line="267" w:lineRule="auto"/>
        <w:rPr>
          <w:sz w:val="20"/>
          <w:szCs w:val="20"/>
          <w:color w:val="auto"/>
        </w:rPr>
      </w:pPr>
      <w:r>
        <w:rPr>
          <w:rFonts w:ascii="Arial" w:cs="Arial" w:eastAsia="Arial" w:hAnsi="Arial"/>
          <w:sz w:val="17"/>
          <w:szCs w:val="17"/>
          <w:color w:val="auto"/>
        </w:rPr>
        <w:t>In November 2018, the FASB issued ASU No. 2018-18, Collaborative Arrangements (Topic 808)—Clarifying the Interaction between Topic 808 and Topic 606 (“ASU 2018-18”). The amendments in ASU 2018-18 clarify that certain transactions between collaborative arrangement participants should 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does not expect the adoption of ASU 2018-18 to have a material impact on its consolidated financial statements.</w:t>
      </w:r>
    </w:p>
    <w:p>
      <w:pPr>
        <w:spacing w:after="0" w:line="183" w:lineRule="exact"/>
        <w:rPr>
          <w:sz w:val="20"/>
          <w:szCs w:val="20"/>
          <w:color w:val="auto"/>
        </w:rPr>
      </w:pPr>
    </w:p>
    <w:p>
      <w:pPr>
        <w:ind w:firstLine="546"/>
        <w:spacing w:after="0" w:line="309" w:lineRule="auto"/>
        <w:rPr>
          <w:sz w:val="20"/>
          <w:szCs w:val="20"/>
          <w:color w:val="auto"/>
        </w:rPr>
      </w:pPr>
      <w:r>
        <w:rPr>
          <w:rFonts w:ascii="Arial" w:cs="Arial" w:eastAsia="Arial" w:hAnsi="Arial"/>
          <w:sz w:val="15"/>
          <w:szCs w:val="15"/>
          <w:color w:val="auto"/>
        </w:rPr>
        <w:t>In June 2016, the FASB issued ASU No. 2016-13, Financial Instruments—Credit Losses (Topic 326): Measurement of Credit Losses on Financial Instruments (“ASU 2016-13”). ASU 2016-13 requires that credit losses be reported as an allowance using an expected losses model, representing the 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The amendments under ASU 2016-13 are effective for interim and annual fiscal periods beginning after December 15, 2019. The Company does not expect the adoption of ASC 2016-13 to have a material impact on its consolidated financial statements.</w:t>
      </w:r>
    </w:p>
    <w:p>
      <w:pPr>
        <w:spacing w:after="0" w:line="155" w:lineRule="exact"/>
        <w:rPr>
          <w:sz w:val="20"/>
          <w:szCs w:val="20"/>
          <w:color w:val="auto"/>
        </w:rPr>
      </w:pPr>
    </w:p>
    <w:p>
      <w:pPr>
        <w:jc w:val="both"/>
        <w:ind w:firstLine="546"/>
        <w:spacing w:after="0" w:line="300" w:lineRule="auto"/>
        <w:rPr>
          <w:sz w:val="20"/>
          <w:szCs w:val="20"/>
          <w:color w:val="auto"/>
        </w:rPr>
      </w:pPr>
      <w:r>
        <w:rPr>
          <w:rFonts w:ascii="Arial" w:cs="Arial" w:eastAsia="Arial" w:hAnsi="Arial"/>
          <w:sz w:val="15"/>
          <w:szCs w:val="15"/>
          <w:color w:val="auto"/>
        </w:rPr>
        <w:t>In February 2016, the FASB issued ASU No. 2016-02, (Topic 842) Leases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 entities, ASU 2016-</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2021, and all interim periods thereafter. Early adoption is permitted. The Company is currently evaluating the impact that the adoption of ASU 2016-02 will have on its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18" w:lineRule="exact"/>
        <w:rPr>
          <w:sz w:val="20"/>
          <w:szCs w:val="20"/>
          <w:color w:val="auto"/>
        </w:rPr>
      </w:pPr>
    </w:p>
    <w:p>
      <w:pPr>
        <w:ind w:right="80" w:firstLine="546"/>
        <w:spacing w:after="0" w:line="265"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2019 and 2018:</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w w:val="91"/>
              </w:rPr>
              <w:t>Fair Value Measurements as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2019 Using:</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46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6"/>
              <w:spacing w:after="0" w:line="153"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60"/>
              <w:spacing w:after="0" w:line="153"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3"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3"/>
                <w:szCs w:val="13"/>
                <w:color w:val="auto"/>
              </w:rPr>
            </w:pPr>
          </w:p>
        </w:tc>
      </w:tr>
      <w:tr>
        <w:trPr>
          <w:trHeight w:val="21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34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186,797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669"/>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186,797</w:t>
            </w:r>
          </w:p>
        </w:tc>
        <w:tc>
          <w:tcPr>
            <w:tcW w:w="80" w:type="dxa"/>
            <w:vAlign w:val="bottom"/>
          </w:tcPr>
          <w:p>
            <w:pPr>
              <w:spacing w:after="0"/>
              <w:rPr>
                <w:sz w:val="19"/>
                <w:szCs w:val="19"/>
                <w:color w:val="auto"/>
              </w:rPr>
            </w:pPr>
          </w:p>
        </w:tc>
      </w:tr>
      <w:tr>
        <w:trPr>
          <w:trHeight w:val="226"/>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7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19"/>
                <w:szCs w:val="19"/>
                <w:color w:val="auto"/>
              </w:rPr>
            </w:pPr>
          </w:p>
        </w:tc>
      </w:tr>
      <w:tr>
        <w:trPr>
          <w:trHeight w:val="219"/>
        </w:trPr>
        <w:tc>
          <w:tcPr>
            <w:tcW w:w="3460" w:type="dxa"/>
            <w:vAlign w:val="bottom"/>
          </w:tcPr>
          <w:p>
            <w:pPr>
              <w:spacing w:after="0"/>
              <w:rPr>
                <w:sz w:val="19"/>
                <w:szCs w:val="19"/>
                <w:color w:val="auto"/>
              </w:rPr>
            </w:pPr>
          </w:p>
        </w:tc>
        <w:tc>
          <w:tcPr>
            <w:tcW w:w="1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187,289</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669"/>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187,289</w:t>
            </w: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6"/>
        </w:trPr>
        <w:tc>
          <w:tcPr>
            <w:tcW w:w="3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5"/>
          </w:tcPr>
          <w:p>
            <w:pPr>
              <w:ind w:left="60"/>
              <w:spacing w:after="0"/>
              <w:rPr>
                <w:sz w:val="20"/>
                <w:szCs w:val="20"/>
                <w:color w:val="auto"/>
              </w:rPr>
            </w:pPr>
            <w:r>
              <w:rPr>
                <w:rFonts w:ascii="Arial" w:cs="Arial" w:eastAsia="Arial" w:hAnsi="Arial"/>
                <w:sz w:val="14"/>
                <w:szCs w:val="14"/>
                <w:b w:val="1"/>
                <w:bCs w:val="1"/>
                <w:color w:val="auto"/>
                <w:w w:val="90"/>
              </w:rPr>
              <w:t>Fair Value Measurements as of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7"/>
              </w:rPr>
              <w:t>December 31, 2018 Using:</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49"/>
              <w:spacing w:after="0" w:line="153"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r>
      <w:tr>
        <w:trPr>
          <w:trHeight w:val="219"/>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7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34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126,047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89"/>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126,047</w:t>
            </w:r>
          </w:p>
        </w:tc>
        <w:tc>
          <w:tcPr>
            <w:tcW w:w="80" w:type="dxa"/>
            <w:vAlign w:val="bottom"/>
          </w:tcPr>
          <w:p>
            <w:pPr>
              <w:spacing w:after="0"/>
              <w:rPr>
                <w:sz w:val="19"/>
                <w:szCs w:val="19"/>
                <w:color w:val="auto"/>
              </w:rPr>
            </w:pPr>
          </w:p>
        </w:tc>
      </w:tr>
      <w:tr>
        <w:trPr>
          <w:trHeight w:val="226"/>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19"/>
                <w:szCs w:val="19"/>
                <w:color w:val="auto"/>
              </w:rPr>
            </w:pPr>
          </w:p>
        </w:tc>
      </w:tr>
      <w:tr>
        <w:trPr>
          <w:trHeight w:val="219"/>
        </w:trPr>
        <w:tc>
          <w:tcPr>
            <w:tcW w:w="3460" w:type="dxa"/>
            <w:vAlign w:val="bottom"/>
          </w:tcPr>
          <w:p>
            <w:pPr>
              <w:spacing w:after="0"/>
              <w:rPr>
                <w:sz w:val="19"/>
                <w:szCs w:val="19"/>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126,539</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89"/>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126,539</w:t>
            </w: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2018, there were no transfers between Level 1, Level 2 and Level 3.</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Valuation of the Warrant to Purchase Preferred Stock</w:t>
      </w:r>
    </w:p>
    <w:p>
      <w:pPr>
        <w:spacing w:after="0" w:line="112" w:lineRule="exact"/>
        <w:rPr>
          <w:sz w:val="20"/>
          <w:szCs w:val="20"/>
          <w:color w:val="auto"/>
        </w:rPr>
      </w:pPr>
    </w:p>
    <w:p>
      <w:pPr>
        <w:ind w:right="180" w:firstLine="546"/>
        <w:spacing w:after="0" w:line="278" w:lineRule="auto"/>
        <w:rPr>
          <w:sz w:val="20"/>
          <w:szCs w:val="20"/>
          <w:color w:val="auto"/>
        </w:rPr>
      </w:pPr>
      <w:r>
        <w:rPr>
          <w:rFonts w:ascii="Arial" w:cs="Arial" w:eastAsia="Arial" w:hAnsi="Arial"/>
          <w:sz w:val="17"/>
          <w:szCs w:val="17"/>
          <w:color w:val="auto"/>
        </w:rPr>
        <w:t>In connection with a loan and security agreement in 2017 (the “Loan Agreement”) (Note 7), the Company agreed to issue a warrant to the lender for the purchase shares of Series A Preferred Stock. The fair value of the warrant to purchase preferred stock was determined based on significant inputs not observable in the market, which represents a Level 3 measurement within the fair value hierarchy.</w:t>
      </w:r>
    </w:p>
    <w:p>
      <w:pPr>
        <w:spacing w:after="0" w:line="171" w:lineRule="exact"/>
        <w:rPr>
          <w:sz w:val="20"/>
          <w:szCs w:val="20"/>
          <w:color w:val="auto"/>
        </w:rPr>
      </w:pPr>
    </w:p>
    <w:p>
      <w:pPr>
        <w:ind w:right="20" w:firstLine="546"/>
        <w:spacing w:after="0" w:line="264" w:lineRule="auto"/>
        <w:rPr>
          <w:sz w:val="20"/>
          <w:szCs w:val="20"/>
          <w:color w:val="auto"/>
        </w:rPr>
      </w:pPr>
      <w:r>
        <w:rPr>
          <w:rFonts w:ascii="Arial" w:cs="Arial" w:eastAsia="Arial" w:hAnsi="Arial"/>
          <w:sz w:val="17"/>
          <w:szCs w:val="17"/>
          <w:color w:val="auto"/>
        </w:rPr>
        <w:t>In order to determine the fair value of the warrant to purchase preferred stock, the Company utilized available facts and circumstances to estimate the number of shares of Series A Preferred Stock for which the warrant would ultimately be exercisable. The Company then used the Black-Scholes option-pricing model, which incorporates assumptions and estimates, to value the warrant to purchase preferred stock. Estimates and assumptions impacting the fair value measurement included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estimated its expected stock volatility based on the historical volatility of publicly traded guideline companies for a term equal to the remaining contractual term of the warrant. The risk-free interest rate was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 Upon the IPO, the warrant to purchase preferred stock was converted to a warrant to purchase common stock. The carrying amount of warrant to purchase preferred stock as of the date of IPO was transferred to the account of additional paid in capital.</w:t>
      </w:r>
    </w:p>
    <w:p>
      <w:pPr>
        <w:spacing w:after="0" w:line="182" w:lineRule="exact"/>
        <w:rPr>
          <w:sz w:val="20"/>
          <w:szCs w:val="20"/>
          <w:color w:val="auto"/>
        </w:rPr>
      </w:pPr>
    </w:p>
    <w:p>
      <w:pPr>
        <w:ind w:right="440" w:firstLine="546"/>
        <w:spacing w:after="0" w:line="265"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was determined by Level 3 inputs:</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Warrant</w:t>
            </w:r>
          </w:p>
        </w:tc>
      </w:tr>
      <w:tr>
        <w:trPr>
          <w:trHeight w:val="169"/>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Liability</w:t>
            </w:r>
          </w:p>
        </w:tc>
      </w:tr>
      <w:tr>
        <w:trPr>
          <w:trHeight w:val="219"/>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54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r>
      <w:tr>
        <w:trPr>
          <w:trHeight w:val="214"/>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Conversion of preferred stock warrant to common</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5"/>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warrant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w:t>
            </w:r>
          </w:p>
        </w:tc>
      </w:tr>
      <w:tr>
        <w:trPr>
          <w:trHeight w:val="218"/>
        </w:trPr>
        <w:tc>
          <w:tcPr>
            <w:tcW w:w="548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Valuation of Derivative</w:t>
      </w:r>
    </w:p>
    <w:p>
      <w:pPr>
        <w:spacing w:after="0" w:line="112" w:lineRule="exact"/>
        <w:rPr>
          <w:sz w:val="20"/>
          <w:szCs w:val="20"/>
          <w:color w:val="auto"/>
        </w:rPr>
      </w:pPr>
    </w:p>
    <w:p>
      <w:pPr>
        <w:ind w:firstLine="546"/>
        <w:spacing w:after="0" w:line="274" w:lineRule="auto"/>
        <w:rPr>
          <w:sz w:val="20"/>
          <w:szCs w:val="20"/>
          <w:color w:val="auto"/>
        </w:rPr>
      </w:pPr>
      <w:r>
        <w:rPr>
          <w:rFonts w:ascii="Arial" w:cs="Arial" w:eastAsia="Arial" w:hAnsi="Arial"/>
          <w:sz w:val="17"/>
          <w:szCs w:val="17"/>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contained a provision requiring the Company to make a cash payment to UHN of up to $2,000 if UHN’s fully diluted ownership is reduced within specified percentages as part of an initial public offering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w:t>
      </w:r>
    </w:p>
    <w:p>
      <w:pPr>
        <w:spacing w:after="0" w:line="175" w:lineRule="exact"/>
        <w:rPr>
          <w:sz w:val="20"/>
          <w:szCs w:val="20"/>
          <w:color w:val="auto"/>
        </w:rPr>
      </w:pPr>
    </w:p>
    <w:p>
      <w:pPr>
        <w:jc w:val="both"/>
        <w:ind w:right="300" w:firstLine="546"/>
        <w:spacing w:after="0" w:line="331" w:lineRule="auto"/>
        <w:rPr>
          <w:sz w:val="20"/>
          <w:szCs w:val="20"/>
          <w:color w:val="auto"/>
        </w:rPr>
      </w:pPr>
      <w:r>
        <w:rPr>
          <w:rFonts w:ascii="Arial" w:cs="Arial" w:eastAsia="Arial" w:hAnsi="Arial"/>
          <w:sz w:val="15"/>
          <w:szCs w:val="15"/>
          <w:color w:val="auto"/>
        </w:rPr>
        <w:t>On June 21, 2018, in connection with the Company’s IPO, the Company remeasured the fair value of the derivative to $2,000 as the Company was required to pay the dilution payment as mentioned above, which the Company paid in July 2018. An increase in fair value of $1,629 was recorded in other expense in the accompanying consolidated statement of operations and comprehensive loss for the year ended December 31, 2018.</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Derivative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Liability</w:t>
            </w:r>
          </w:p>
        </w:tc>
        <w:tc>
          <w:tcPr>
            <w:tcW w:w="80" w:type="dxa"/>
            <w:vAlign w:val="bottom"/>
            <w:tcBorders>
              <w:bottom w:val="single" w:sz="8" w:color="CFF0FC"/>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6"/>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3740" w:type="dxa"/>
            <w:vAlign w:val="bottom"/>
            <w:gridSpan w:val="2"/>
          </w:tcPr>
          <w:p>
            <w:pPr>
              <w:ind w:left="560"/>
              <w:spacing w:after="0"/>
              <w:rPr>
                <w:sz w:val="20"/>
                <w:szCs w:val="20"/>
                <w:color w:val="auto"/>
              </w:rPr>
            </w:pPr>
            <w:r>
              <w:rPr>
                <w:rFonts w:ascii="Arial" w:cs="Arial" w:eastAsia="Arial" w:hAnsi="Arial"/>
                <w:sz w:val="18"/>
                <w:szCs w:val="18"/>
                <w:color w:val="auto"/>
              </w:rPr>
              <w:t>Balance as of December 31, 2018</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44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40" w:type="dxa"/>
            <w:vAlign w:val="bottom"/>
            <w:gridSpan w:val="3"/>
          </w:tcPr>
          <w:p>
            <w:pPr>
              <w:ind w:left="560"/>
              <w:spacing w:after="0"/>
              <w:rPr>
                <w:sz w:val="20"/>
                <w:szCs w:val="20"/>
                <w:color w:val="auto"/>
              </w:rPr>
            </w:pPr>
            <w:r>
              <w:rPr>
                <w:rFonts w:ascii="Arial" w:cs="Arial" w:eastAsia="Arial" w:hAnsi="Arial"/>
                <w:sz w:val="18"/>
                <w:szCs w:val="18"/>
                <w:color w:val="auto"/>
                <w:w w:val="87"/>
              </w:rPr>
              <w:t>Prepaid expenses and other current assets consisted of the following:</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318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326"/>
              <w:spacing w:after="0" w:line="153"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1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1,325</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Prepaid research and development costs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4,915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Interest income receivable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rent</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current assets</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3,718</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16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44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40" w:type="dxa"/>
            <w:vAlign w:val="bottom"/>
            <w:gridSpan w:val="3"/>
          </w:tcPr>
          <w:p>
            <w:pPr>
              <w:ind w:left="560"/>
              <w:spacing w:after="0"/>
              <w:rPr>
                <w:sz w:val="20"/>
                <w:szCs w:val="20"/>
                <w:color w:val="auto"/>
              </w:rPr>
            </w:pPr>
            <w:r>
              <w:rPr>
                <w:rFonts w:ascii="Arial" w:cs="Arial" w:eastAsia="Arial" w:hAnsi="Arial"/>
                <w:sz w:val="18"/>
                <w:szCs w:val="18"/>
                <w:color w:val="auto"/>
              </w:rPr>
              <w:t>Property and equipment, net consisted of the following:</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318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jc w:val="right"/>
              <w:ind w:right="40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1,624</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1,260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3,018</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(1,234)</w:t>
            </w: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3,696</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2,634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4"/>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9560" w:type="dxa"/>
            <w:vAlign w:val="bottom"/>
            <w:gridSpan w:val="13"/>
          </w:tcPr>
          <w:p>
            <w:pPr>
              <w:ind w:left="560"/>
              <w:spacing w:after="0"/>
              <w:rPr>
                <w:sz w:val="20"/>
                <w:szCs w:val="20"/>
                <w:color w:val="auto"/>
              </w:rPr>
            </w:pPr>
            <w:r>
              <w:rPr>
                <w:rFonts w:ascii="Arial" w:cs="Arial" w:eastAsia="Arial" w:hAnsi="Arial"/>
                <w:sz w:val="18"/>
                <w:szCs w:val="18"/>
                <w:color w:val="auto"/>
                <w:w w:val="90"/>
              </w:rPr>
              <w:t>Depreciation and amortization expense for the years ended December 31, 2019 and 2018 was $850 and $380, respectively.</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6. Accrued Expenses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40" w:type="dxa"/>
            <w:vAlign w:val="bottom"/>
            <w:gridSpan w:val="3"/>
          </w:tcPr>
          <w:p>
            <w:pPr>
              <w:ind w:left="560"/>
              <w:spacing w:after="0"/>
              <w:rPr>
                <w:sz w:val="20"/>
                <w:szCs w:val="20"/>
                <w:color w:val="auto"/>
              </w:rPr>
            </w:pPr>
            <w:r>
              <w:rPr>
                <w:rFonts w:ascii="Arial" w:cs="Arial" w:eastAsia="Arial" w:hAnsi="Arial"/>
                <w:sz w:val="18"/>
                <w:szCs w:val="18"/>
                <w:color w:val="auto"/>
              </w:rPr>
              <w:t>Accrued expenses consisted of the following:</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318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326"/>
              <w:spacing w:after="0" w:line="153"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1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2,616</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3,969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1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liabilities</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7,822</w:t>
            </w:r>
          </w:p>
        </w:tc>
        <w:tc>
          <w:tcPr>
            <w:tcW w:w="80" w:type="dxa"/>
            <w:vAlign w:val="bottom"/>
            <w:tcBorders>
              <w:left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60" w:type="dxa"/>
            <w:vAlign w:val="bottom"/>
            <w:gridSpan w:val="2"/>
          </w:tcPr>
          <w:p>
            <w:pPr>
              <w:jc w:val="right"/>
              <w:ind w:right="1450"/>
              <w:spacing w:after="0"/>
              <w:rPr>
                <w:sz w:val="20"/>
                <w:szCs w:val="20"/>
                <w:color w:val="auto"/>
              </w:rPr>
            </w:pPr>
            <w:r>
              <w:rPr>
                <w:rFonts w:ascii="Arial" w:cs="Arial" w:eastAsia="Arial" w:hAnsi="Arial"/>
                <w:sz w:val="18"/>
                <w:szCs w:val="18"/>
                <w:color w:val="auto"/>
                <w:w w:val="91"/>
              </w:rPr>
              <w:t>F-16</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3" w:name="page124"/>
    <w:bookmarkEnd w:id="12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18" w:lineRule="exact"/>
        <w:rPr>
          <w:sz w:val="20"/>
          <w:szCs w:val="20"/>
          <w:color w:val="auto"/>
        </w:rPr>
      </w:pPr>
    </w:p>
    <w:p>
      <w:pPr>
        <w:ind w:right="120" w:firstLine="546"/>
        <w:spacing w:after="0" w:line="331" w:lineRule="auto"/>
        <w:rPr>
          <w:sz w:val="20"/>
          <w:szCs w:val="20"/>
          <w:color w:val="auto"/>
        </w:rPr>
      </w:pPr>
      <w:r>
        <w:rPr>
          <w:rFonts w:ascii="Arial" w:cs="Arial" w:eastAsia="Arial" w:hAnsi="Arial"/>
          <w:sz w:val="15"/>
          <w:szCs w:val="15"/>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accrued interest at a floating per annum rate equal to the greater of 1% and the “prime rate,” as defined in the Loan Agreement, minus 3%.</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October 31, 2018, the Company had not drawn down from the facility and the Loan Agreement expired on October 31, 2018.</w:t>
      </w:r>
    </w:p>
    <w:p>
      <w:pPr>
        <w:spacing w:after="0" w:line="218" w:lineRule="exact"/>
        <w:rPr>
          <w:sz w:val="20"/>
          <w:szCs w:val="20"/>
          <w:color w:val="auto"/>
        </w:rPr>
      </w:pPr>
    </w:p>
    <w:p>
      <w:pPr>
        <w:ind w:right="60" w:firstLine="546"/>
        <w:spacing w:after="0" w:line="249" w:lineRule="auto"/>
        <w:rPr>
          <w:sz w:val="20"/>
          <w:szCs w:val="20"/>
          <w:color w:val="auto"/>
        </w:rPr>
      </w:pPr>
      <w:r>
        <w:rPr>
          <w:rFonts w:ascii="Arial" w:cs="Arial" w:eastAsia="Arial" w:hAnsi="Arial"/>
          <w:sz w:val="18"/>
          <w:szCs w:val="18"/>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was initially exercisable for the purchase of up to 28,305 shares of Series A Preferred Stock and could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Upon closing of the IPO, the carrying amount of the warrant to purchase preferred stock as of the date of IPO was transferred to the account of additional paid in capital (Note 3).</w:t>
      </w:r>
    </w:p>
    <w:p>
      <w:pPr>
        <w:spacing w:after="0" w:line="197" w:lineRule="exact"/>
        <w:rPr>
          <w:sz w:val="20"/>
          <w:szCs w:val="20"/>
          <w:color w:val="auto"/>
        </w:rPr>
      </w:pPr>
    </w:p>
    <w:p>
      <w:pPr>
        <w:ind w:right="60" w:firstLine="546"/>
        <w:spacing w:after="0" w:line="278" w:lineRule="auto"/>
        <w:rPr>
          <w:sz w:val="20"/>
          <w:szCs w:val="20"/>
          <w:color w:val="auto"/>
        </w:rPr>
      </w:pPr>
      <w:r>
        <w:rPr>
          <w:rFonts w:ascii="Arial" w:cs="Arial" w:eastAsia="Arial" w:hAnsi="Arial"/>
          <w:sz w:val="17"/>
          <w:szCs w:val="17"/>
          <w:color w:val="auto"/>
        </w:rPr>
        <w:t>The Company recognized a loss of $162 in the consolidated statements of operations and comprehensive loss for the year ended December 31, 2018 related to the change in fair value of the warrant. On July 13, 2018, the lender of the Loan Agreement exercised its common stock warrants to purchase 6,850 shares of common stock on a net basis, resulting in the issuance of 6,091 shares of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18" w:lineRule="exact"/>
        <w:rPr>
          <w:sz w:val="20"/>
          <w:szCs w:val="20"/>
          <w:color w:val="auto"/>
        </w:rPr>
      </w:pPr>
    </w:p>
    <w:p>
      <w:pPr>
        <w:ind w:right="100" w:firstLine="546"/>
        <w:spacing w:after="0" w:line="256" w:lineRule="auto"/>
        <w:rPr>
          <w:sz w:val="20"/>
          <w:szCs w:val="20"/>
          <w:color w:val="auto"/>
        </w:rPr>
      </w:pPr>
      <w:r>
        <w:rPr>
          <w:rFonts w:ascii="Arial" w:cs="Arial" w:eastAsia="Arial" w:hAnsi="Arial"/>
          <w:sz w:val="18"/>
          <w:szCs w:val="18"/>
          <w:color w:val="auto"/>
        </w:rPr>
        <w:t>Prior to the IPO, the authorized capital stock of the Company included 63,491,857 shares of $0.0001 par value preferred stock, of which 3,333,333 shares have been designated as Series Seed Preferred Stock, 31,639,202 shares have been designated as Series A Preferred Stock and 28,519,322 shares have been designated as Series B Preferred Stock.</w:t>
      </w:r>
    </w:p>
    <w:p>
      <w:pPr>
        <w:spacing w:after="0" w:line="188" w:lineRule="exact"/>
        <w:rPr>
          <w:sz w:val="20"/>
          <w:szCs w:val="20"/>
          <w:color w:val="auto"/>
        </w:rPr>
      </w:pPr>
    </w:p>
    <w:p>
      <w:pPr>
        <w:ind w:right="80" w:firstLine="546"/>
        <w:spacing w:after="0" w:line="256" w:lineRule="auto"/>
        <w:rPr>
          <w:sz w:val="20"/>
          <w:szCs w:val="20"/>
          <w:color w:val="auto"/>
        </w:rPr>
      </w:pPr>
      <w:r>
        <w:rPr>
          <w:rFonts w:ascii="Arial" w:cs="Arial" w:eastAsia="Arial" w:hAnsi="Arial"/>
          <w:sz w:val="18"/>
          <w:szCs w:val="18"/>
          <w:color w:val="auto"/>
        </w:rPr>
        <w:t>On January 19, 2018, the Company entered into a stock purchase agreement for the sale of 28,285,557 shares of Series B Preferred Stock for $2.1389 per share. The total gross proceeds received were $60,500 and issuance costs were $2,243. In addition, the Company issued 233,765 shares of Series B Preferred Stock to BioMarin as required by the Company’s license agreement with BioMarin (Note 11).</w:t>
      </w:r>
    </w:p>
    <w:p>
      <w:pPr>
        <w:spacing w:after="0" w:line="214" w:lineRule="exact"/>
        <w:rPr>
          <w:sz w:val="20"/>
          <w:szCs w:val="20"/>
          <w:color w:val="auto"/>
        </w:rPr>
      </w:pPr>
    </w:p>
    <w:p>
      <w:pPr>
        <w:ind w:right="280" w:firstLine="546"/>
        <w:spacing w:after="0" w:line="252" w:lineRule="auto"/>
        <w:rPr>
          <w:sz w:val="20"/>
          <w:szCs w:val="20"/>
          <w:color w:val="auto"/>
        </w:rPr>
      </w:pPr>
      <w:r>
        <w:rPr>
          <w:rFonts w:ascii="Arial" w:cs="Arial" w:eastAsia="Arial" w:hAnsi="Arial"/>
          <w:sz w:val="18"/>
          <w:szCs w:val="18"/>
          <w:color w:val="auto"/>
        </w:rPr>
        <w:t>Upon closing of the IPO, all outstanding shares of Preferred Stock were converted into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18" w:lineRule="exact"/>
        <w:rPr>
          <w:sz w:val="20"/>
          <w:szCs w:val="20"/>
          <w:color w:val="auto"/>
        </w:rPr>
      </w:pPr>
    </w:p>
    <w:p>
      <w:pPr>
        <w:ind w:right="180" w:firstLine="546"/>
        <w:spacing w:after="0" w:line="366" w:lineRule="auto"/>
        <w:rPr>
          <w:sz w:val="20"/>
          <w:szCs w:val="20"/>
          <w:color w:val="auto"/>
        </w:rPr>
      </w:pPr>
      <w:r>
        <w:rPr>
          <w:rFonts w:ascii="Arial" w:cs="Arial" w:eastAsia="Arial" w:hAnsi="Arial"/>
          <w:sz w:val="15"/>
          <w:szCs w:val="15"/>
          <w:color w:val="auto"/>
        </w:rPr>
        <w:t>As of December 31, 2019 and 2018, the authorized capital stock of the Company included 150,000,000 shares of common stock, $0.0001 par value, and 10,000 shares of undesignated preferred stock. As of December 31, 2019 and 2018, no undesignated shares of preferred stock were outstanding.</w:t>
      </w:r>
    </w:p>
    <w:p>
      <w:pPr>
        <w:spacing w:after="0" w:line="111"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 December 31, 2019, no cash dividends have been declared or paid.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2" w:lineRule="exact"/>
        <w:rPr>
          <w:sz w:val="20"/>
          <w:szCs w:val="20"/>
          <w:color w:val="auto"/>
        </w:rPr>
      </w:pPr>
    </w:p>
    <w:p>
      <w:pPr>
        <w:ind w:right="240" w:firstLine="546"/>
        <w:spacing w:after="0" w:line="317" w:lineRule="auto"/>
        <w:rPr>
          <w:sz w:val="20"/>
          <w:szCs w:val="20"/>
          <w:color w:val="auto"/>
        </w:rPr>
      </w:pPr>
      <w:r>
        <w:rPr>
          <w:rFonts w:ascii="Arial" w:cs="Arial" w:eastAsia="Arial" w:hAnsi="Arial"/>
          <w:sz w:val="15"/>
          <w:szCs w:val="15"/>
          <w:color w:val="auto"/>
        </w:rPr>
        <w:t>On June 20, 2018, the Company’s registration statement on Form S-1 relating to its IPO was declared effective by the SEC. The IPO closed on June 25, 2018 and the Company issued and sold 5,247,958 common shares at a public offering price of $19.00 per share for net proceeds of $90,103 after deducting underwriting discounts and commissions of $6,980 and other offering expenses of approximately $2,628. Simultaneously, on June 25, 2018, the Company issued and sold 787,193 additional common shares, pursuant to the full exercise of the underwriters’ option to purchase additional shares, for net proceeds of $13,910 after deducting underwriting discounts and commissions of $1,047. The aggregate net proceeds to the Company from the IPO, after deducting underwriting discounts and commissions and other offering costs, were $104,013.</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12" w:lineRule="exact"/>
        <w:rPr>
          <w:sz w:val="20"/>
          <w:szCs w:val="20"/>
          <w:color w:val="auto"/>
        </w:rPr>
      </w:pPr>
    </w:p>
    <w:p>
      <w:pPr>
        <w:ind w:right="140" w:firstLine="546"/>
        <w:spacing w:after="0" w:line="258" w:lineRule="auto"/>
        <w:rPr>
          <w:sz w:val="20"/>
          <w:szCs w:val="20"/>
          <w:color w:val="auto"/>
        </w:rPr>
      </w:pPr>
      <w:r>
        <w:rPr>
          <w:rFonts w:ascii="Arial" w:cs="Arial" w:eastAsia="Arial" w:hAnsi="Arial"/>
          <w:sz w:val="18"/>
          <w:szCs w:val="18"/>
          <w:color w:val="auto"/>
        </w:rPr>
        <w:t>In July 2019, the Company closed an underwritten public offering of 7,475,000 shares of its common stock at a public offering price of $18.50 per share, which included 975,000 shares of the Company’s common stock resulting from the full exercise of the underwriters’ option to purchase additional shares at the public offering price, less underwriting discounts and commissions (the “July 2019 Follow-on Offering”). The net proceeds to the Company from the July 2019 Follow-on Offering, after deducting underwriting discounts and commissions and other offering expenses payable by the Company, were approximately $129,500.</w:t>
      </w:r>
    </w:p>
    <w:p>
      <w:pPr>
        <w:spacing w:after="0" w:line="3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2019 and 2018, the Company has reserved the following shares of common stock for future issuance: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22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35"/>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153,276</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3,414,445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2,164,101</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7740" w:type="dxa"/>
            <w:vAlign w:val="bottom"/>
          </w:tcPr>
          <w:p>
            <w:pPr>
              <w:ind w:left="140"/>
              <w:spacing w:after="0"/>
              <w:rPr>
                <w:sz w:val="20"/>
                <w:szCs w:val="20"/>
                <w:color w:val="auto"/>
              </w:rPr>
            </w:pPr>
            <w:r>
              <w:rPr>
                <w:rFonts w:ascii="Arial" w:cs="Arial" w:eastAsia="Arial" w:hAnsi="Arial"/>
                <w:sz w:val="18"/>
                <w:szCs w:val="18"/>
                <w:color w:val="auto"/>
              </w:rPr>
              <w:t>and Incentive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332,513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385,561</w:t>
            </w:r>
          </w:p>
        </w:tc>
        <w:tc>
          <w:tcPr>
            <w:tcW w:w="120" w:type="dxa"/>
            <w:vAlign w:val="bottom"/>
          </w:tcPr>
          <w:p>
            <w:pPr>
              <w:spacing w:after="0"/>
              <w:rPr>
                <w:sz w:val="19"/>
                <w:szCs w:val="19"/>
                <w:color w:val="auto"/>
              </w:rPr>
            </w:pPr>
          </w:p>
        </w:tc>
      </w:tr>
      <w:tr>
        <w:trPr>
          <w:trHeight w:val="214"/>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Employee</w:t>
            </w: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5"/>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Purchase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459,595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223,200</w:t>
            </w:r>
          </w:p>
        </w:tc>
        <w:tc>
          <w:tcPr>
            <w:tcW w:w="120" w:type="dxa"/>
            <w:vAlign w:val="bottom"/>
            <w:shd w:val="clear" w:color="auto" w:fill="CFF0FC"/>
          </w:tcPr>
          <w:p>
            <w:pPr>
              <w:spacing w:after="0"/>
              <w:rPr>
                <w:sz w:val="19"/>
                <w:szCs w:val="19"/>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Shares reserved for issuance under the 2019 Inducement</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7740" w:type="dxa"/>
            <w:vAlign w:val="bottom"/>
          </w:tcPr>
          <w:p>
            <w:pPr>
              <w:ind w:left="140"/>
              <w:spacing w:after="0"/>
              <w:rPr>
                <w:sz w:val="20"/>
                <w:szCs w:val="20"/>
                <w:color w:val="auto"/>
              </w:rPr>
            </w:pPr>
            <w:r>
              <w:rPr>
                <w:rFonts w:ascii="Arial" w:cs="Arial" w:eastAsia="Arial" w:hAnsi="Arial"/>
                <w:sz w:val="18"/>
                <w:szCs w:val="18"/>
                <w:color w:val="auto"/>
              </w:rPr>
              <w:t>Plan</w:t>
            </w:r>
          </w:p>
        </w:tc>
        <w:tc>
          <w:tcPr>
            <w:tcW w:w="1540" w:type="dxa"/>
            <w:vAlign w:val="bottom"/>
          </w:tcPr>
          <w:p>
            <w:pPr>
              <w:jc w:val="right"/>
              <w:spacing w:after="0"/>
              <w:rPr>
                <w:sz w:val="20"/>
                <w:szCs w:val="20"/>
                <w:color w:val="auto"/>
              </w:rPr>
            </w:pPr>
            <w:r>
              <w:rPr>
                <w:rFonts w:ascii="Arial" w:cs="Arial" w:eastAsia="Arial" w:hAnsi="Arial"/>
                <w:sz w:val="18"/>
                <w:szCs w:val="18"/>
                <w:color w:val="auto"/>
              </w:rPr>
              <w:t>1,800,000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7"/>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w:t>
            </w: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future issuance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6,039,105</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2,926,138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2" w:lineRule="exact"/>
        <w:rPr>
          <w:sz w:val="20"/>
          <w:szCs w:val="20"/>
          <w:color w:val="auto"/>
        </w:rPr>
      </w:pPr>
    </w:p>
    <w:p>
      <w:pPr>
        <w:ind w:right="420" w:firstLine="546"/>
        <w:spacing w:after="0" w:line="319" w:lineRule="auto"/>
        <w:rPr>
          <w:sz w:val="20"/>
          <w:szCs w:val="20"/>
          <w:color w:val="auto"/>
        </w:rPr>
      </w:pPr>
      <w:r>
        <w:rPr>
          <w:rFonts w:ascii="Arial" w:cs="Arial" w:eastAsia="Arial" w:hAnsi="Arial"/>
          <w:sz w:val="15"/>
          <w:szCs w:val="15"/>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45" w:lineRule="exact"/>
        <w:rPr>
          <w:sz w:val="20"/>
          <w:szCs w:val="20"/>
          <w:color w:val="auto"/>
        </w:rPr>
      </w:pPr>
    </w:p>
    <w:p>
      <w:pPr>
        <w:ind w:right="120" w:firstLine="546"/>
        <w:spacing w:after="0" w:line="265"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will be made under 2015 plan.</w:t>
      </w:r>
    </w:p>
    <w:p>
      <w:pPr>
        <w:spacing w:after="0" w:line="180" w:lineRule="exact"/>
        <w:rPr>
          <w:sz w:val="20"/>
          <w:szCs w:val="20"/>
          <w:color w:val="auto"/>
        </w:rPr>
      </w:pPr>
    </w:p>
    <w:p>
      <w:pPr>
        <w:jc w:val="both"/>
        <w:ind w:right="20" w:firstLine="546"/>
        <w:spacing w:after="0" w:line="256"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2"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w:t>
      </w:r>
    </w:p>
    <w:p>
      <w:pPr>
        <w:spacing w:after="0" w:line="193" w:lineRule="exact"/>
        <w:rPr>
          <w:sz w:val="20"/>
          <w:szCs w:val="20"/>
          <w:color w:val="auto"/>
        </w:rPr>
      </w:pPr>
    </w:p>
    <w:p>
      <w:pPr>
        <w:ind w:right="120" w:firstLine="546"/>
        <w:spacing w:after="0" w:line="251"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93" w:lineRule="exact"/>
        <w:rPr>
          <w:sz w:val="20"/>
          <w:szCs w:val="20"/>
          <w:color w:val="auto"/>
        </w:rPr>
      </w:pPr>
    </w:p>
    <w:p>
      <w:pPr>
        <w:ind w:right="80" w:firstLine="546"/>
        <w:spacing w:after="0" w:line="265" w:lineRule="auto"/>
        <w:rPr>
          <w:sz w:val="20"/>
          <w:szCs w:val="20"/>
          <w:color w:val="auto"/>
        </w:rPr>
      </w:pPr>
      <w:r>
        <w:rPr>
          <w:rFonts w:ascii="Arial" w:cs="Arial" w:eastAsia="Arial" w:hAnsi="Arial"/>
          <w:sz w:val="18"/>
          <w:szCs w:val="18"/>
          <w:color w:val="auto"/>
        </w:rPr>
        <w:t>The number of options available for future grant under the 2018 Plan was 332,513 as of December 31, 2019, which does not include the shares added to the 2018 Plan reserve on January 1, 2020 as a result of the Plan Evergreen for the year ended December 31, 2019.</w:t>
      </w:r>
    </w:p>
    <w:p>
      <w:pPr>
        <w:spacing w:after="0" w:line="180" w:lineRule="exact"/>
        <w:rPr>
          <w:sz w:val="20"/>
          <w:szCs w:val="20"/>
          <w:color w:val="auto"/>
        </w:rPr>
      </w:pPr>
    </w:p>
    <w:p>
      <w:pPr>
        <w:ind w:right="360" w:firstLine="546"/>
        <w:spacing w:after="0" w:line="265" w:lineRule="auto"/>
        <w:rPr>
          <w:sz w:val="20"/>
          <w:szCs w:val="20"/>
          <w:color w:val="auto"/>
        </w:rPr>
      </w:pPr>
      <w:r>
        <w:rPr>
          <w:rFonts w:ascii="Arial" w:cs="Arial" w:eastAsia="Arial" w:hAnsi="Arial"/>
          <w:sz w:val="18"/>
          <w:szCs w:val="18"/>
          <w:color w:val="auto"/>
        </w:rPr>
        <w:t>During the years ended December 31, 2019 and 2018, the Company granted options to purchase 1,677,967 and, 1,277,528 shares, respectively, of common stock to employees, nonemployees and members of the Board.</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2" w:lineRule="exact"/>
        <w:rPr>
          <w:sz w:val="20"/>
          <w:szCs w:val="20"/>
          <w:color w:val="auto"/>
        </w:rPr>
      </w:pPr>
    </w:p>
    <w:p>
      <w:pPr>
        <w:ind w:firstLine="546"/>
        <w:spacing w:after="0" w:line="265" w:lineRule="auto"/>
        <w:rPr>
          <w:sz w:val="20"/>
          <w:szCs w:val="20"/>
          <w:color w:val="auto"/>
        </w:rPr>
      </w:pPr>
      <w:r>
        <w:rPr>
          <w:rFonts w:ascii="Arial" w:cs="Arial" w:eastAsia="Arial" w:hAnsi="Arial"/>
          <w:sz w:val="17"/>
          <w:szCs w:val="17"/>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The number of shares reserved under the ESPP is subject to adjustment in the event of a stock split, stock dividend or other change in our capitalization.</w:t>
      </w:r>
    </w:p>
    <w:p>
      <w:pPr>
        <w:spacing w:after="0" w:line="186" w:lineRule="exact"/>
        <w:rPr>
          <w:sz w:val="20"/>
          <w:szCs w:val="20"/>
          <w:color w:val="auto"/>
        </w:rPr>
      </w:pPr>
    </w:p>
    <w:p>
      <w:pPr>
        <w:ind w:firstLine="546"/>
        <w:spacing w:after="0" w:line="252" w:lineRule="auto"/>
        <w:rPr>
          <w:sz w:val="20"/>
          <w:szCs w:val="20"/>
          <w:color w:val="auto"/>
        </w:rPr>
      </w:pPr>
      <w:r>
        <w:rPr>
          <w:rFonts w:ascii="Arial" w:cs="Arial" w:eastAsia="Arial" w:hAnsi="Arial"/>
          <w:sz w:val="18"/>
          <w:szCs w:val="18"/>
          <w:color w:val="auto"/>
        </w:rPr>
        <w:t>During the years ended December 31, 2019 and 2018, the Company issued 1,671 and 0 shares, respectively of common stock. The total number of common shares that may be issued under the ESPP was 461,266 shares as of December 31, 2019, of which 459,595 shares remained available for future grant, and which does not include the shares added to the ESPP reserve on January 1, 2020 as a result of the ESPP Evergreen for the year ended December 31, 2019.</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Inducement Plan</w:t>
      </w:r>
    </w:p>
    <w:p>
      <w:pPr>
        <w:spacing w:after="0" w:line="125" w:lineRule="exact"/>
        <w:rPr>
          <w:sz w:val="20"/>
          <w:szCs w:val="20"/>
          <w:color w:val="auto"/>
        </w:rPr>
      </w:pPr>
    </w:p>
    <w:p>
      <w:pPr>
        <w:jc w:val="both"/>
        <w:ind w:right="120" w:firstLine="546"/>
        <w:spacing w:after="0" w:line="272" w:lineRule="auto"/>
        <w:rPr>
          <w:sz w:val="20"/>
          <w:szCs w:val="20"/>
          <w:color w:val="auto"/>
        </w:rPr>
      </w:pPr>
      <w:r>
        <w:rPr>
          <w:rFonts w:ascii="Arial" w:cs="Arial" w:eastAsia="Arial" w:hAnsi="Arial"/>
          <w:sz w:val="17"/>
          <w:szCs w:val="17"/>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initially reserved 1,800,000 shares of its common stock for the issuance of awards under the 2019 Plan.</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options available for future grant under the 2019 Plan was 1,800,000 as of December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2" w:lineRule="exact"/>
        <w:rPr>
          <w:sz w:val="20"/>
          <w:szCs w:val="20"/>
          <w:color w:val="auto"/>
        </w:rPr>
      </w:pPr>
    </w:p>
    <w:p>
      <w:pPr>
        <w:ind w:firstLine="546"/>
        <w:spacing w:after="0" w:line="265"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3"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Year Ended</w:t>
      </w:r>
    </w:p>
    <w:p>
      <w:pPr>
        <w:jc w:val="center"/>
        <w:ind w:left="5080"/>
        <w:spacing w:after="0" w:line="229"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3"/>
        </w:trPr>
        <w:tc>
          <w:tcPr>
            <w:tcW w:w="52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5"/>
              <w:spacing w:after="0" w:line="153"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FF0FC"/>
          </w:tcPr>
          <w:p>
            <w:pPr>
              <w:spacing w:after="0"/>
              <w:rPr>
                <w:sz w:val="19"/>
                <w:szCs w:val="19"/>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r>
      <w:tr>
        <w:trPr>
          <w:trHeight w:val="22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76.83%</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81.60%</w:t>
            </w: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2019:</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5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2,164,101</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1,667,967</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(236,483)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(181,140)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3,414,445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3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7.26</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14,702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vMerge w:val="continue"/>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977,229</w:t>
            </w:r>
          </w:p>
        </w:tc>
        <w:tc>
          <w:tcPr>
            <w:tcW w:w="1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546"/>
        <w:spacing w:after="0" w:line="256"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aggregate intrinsic value of options exercised during the years ended December 31, 2019 and 2018 was $3,514 and $410, respectively.</w:t>
      </w:r>
    </w:p>
    <w:p>
      <w:pPr>
        <w:spacing w:after="0" w:line="230" w:lineRule="exact"/>
        <w:rPr>
          <w:sz w:val="20"/>
          <w:szCs w:val="20"/>
          <w:color w:val="auto"/>
        </w:rPr>
      </w:pPr>
    </w:p>
    <w:p>
      <w:pPr>
        <w:ind w:right="40" w:firstLine="546"/>
        <w:spacing w:after="0" w:line="265"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2019 and 2018 was $11.61 and $10.91, respectively.</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2" w:lineRule="exact"/>
        <w:rPr>
          <w:sz w:val="20"/>
          <w:szCs w:val="20"/>
          <w:color w:val="auto"/>
        </w:rPr>
      </w:pPr>
    </w:p>
    <w:p>
      <w:pPr>
        <w:ind w:right="80" w:firstLine="546"/>
        <w:spacing w:after="0" w:line="319" w:lineRule="auto"/>
        <w:rPr>
          <w:sz w:val="20"/>
          <w:szCs w:val="20"/>
          <w:color w:val="auto"/>
        </w:rPr>
      </w:pPr>
      <w:r>
        <w:rPr>
          <w:rFonts w:ascii="Arial" w:cs="Arial" w:eastAsia="Arial" w:hAnsi="Arial"/>
          <w:sz w:val="15"/>
          <w:szCs w:val="15"/>
          <w:color w:val="auto"/>
        </w:rPr>
        <w:t>The Company has granted restricted common stock with time-based vesting conditions to certain employees of the Company. The purchase price of the restricted stock awards are determined by the Board.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7" w:name="page128"/>
    <w:bookmarkEnd w:id="12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2019:</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as of December 31, 2018</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153,275</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(123,023)</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fair value of restricted common stock vested during the years ended December 31, 2019 and 2018 was $50 and $52, respectively.</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21"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Year Ended</w:t>
      </w:r>
    </w:p>
    <w:p>
      <w:pPr>
        <w:jc w:val="center"/>
        <w:ind w:left="5300"/>
        <w:spacing w:after="0" w:line="229"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3"/>
        </w:trPr>
        <w:tc>
          <w:tcPr>
            <w:tcW w:w="538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3,646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FF0FC"/>
          </w:tcPr>
          <w:p>
            <w:pPr>
              <w:spacing w:after="0"/>
              <w:rPr>
                <w:sz w:val="19"/>
                <w:szCs w:val="19"/>
                <w:color w:val="auto"/>
              </w:rPr>
            </w:pPr>
          </w:p>
        </w:tc>
      </w:tr>
      <w:tr>
        <w:trPr>
          <w:trHeight w:val="225"/>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3,154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Borders>
              <w:bottom w:val="single" w:sz="8" w:color="CFF0FC"/>
            </w:tcBorders>
          </w:tcPr>
          <w:p>
            <w:pPr>
              <w:spacing w:after="0"/>
              <w:rPr>
                <w:sz w:val="19"/>
                <w:szCs w:val="19"/>
                <w:color w:val="auto"/>
              </w:rPr>
            </w:pPr>
          </w:p>
        </w:tc>
      </w:tr>
      <w:tr>
        <w:trPr>
          <w:trHeight w:val="21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6,800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80" w:firstLine="546"/>
        <w:spacing w:after="0" w:line="265" w:lineRule="auto"/>
        <w:rPr>
          <w:sz w:val="20"/>
          <w:szCs w:val="20"/>
          <w:color w:val="auto"/>
        </w:rPr>
      </w:pPr>
      <w:r>
        <w:rPr>
          <w:rFonts w:ascii="Arial" w:cs="Arial" w:eastAsia="Arial" w:hAnsi="Arial"/>
          <w:sz w:val="18"/>
          <w:szCs w:val="18"/>
          <w:color w:val="auto"/>
        </w:rPr>
        <w:t>As of December 31, 2019, total unrecognized compensation cost related to unvested stock-based awards was $22,878, which is expected to be recognized over a weighted-average period of 3.14 years.</w:t>
      </w:r>
    </w:p>
    <w:p>
      <w:pPr>
        <w:spacing w:after="0" w:line="281" w:lineRule="exact"/>
        <w:rPr>
          <w:sz w:val="20"/>
          <w:szCs w:val="20"/>
          <w:color w:val="auto"/>
        </w:rPr>
      </w:pPr>
    </w:p>
    <w:p>
      <w:pPr>
        <w:ind w:left="560" w:right="8560" w:hanging="554"/>
        <w:spacing w:after="0" w:line="446" w:lineRule="auto"/>
        <w:tabs>
          <w:tab w:leader="none" w:pos="271"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Agreements </w:t>
      </w:r>
      <w:r>
        <w:rPr>
          <w:rFonts w:ascii="Arial" w:cs="Arial" w:eastAsia="Arial" w:hAnsi="Arial"/>
          <w:sz w:val="15"/>
          <w:szCs w:val="15"/>
          <w:b w:val="1"/>
          <w:bCs w:val="1"/>
          <w:i w:val="1"/>
          <w:iCs w:val="1"/>
          <w:color w:val="auto"/>
        </w:rPr>
        <w:t xml:space="preserve">Agreements with UHN </w:t>
      </w:r>
      <w:r>
        <w:rPr>
          <w:rFonts w:ascii="Arial" w:cs="Arial" w:eastAsia="Arial" w:hAnsi="Arial"/>
          <w:sz w:val="15"/>
          <w:szCs w:val="15"/>
          <w:i w:val="1"/>
          <w:iCs w:val="1"/>
          <w:color w:val="auto"/>
        </w:rPr>
        <w:t>Fabry License Agreement—</w:t>
      </w:r>
    </w:p>
    <w:p>
      <w:pPr>
        <w:spacing w:after="0" w:line="1"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28" w:name="page129"/>
    <w:bookmarkEnd w:id="12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19" w:lineRule="exact"/>
        <w:rPr>
          <w:sz w:val="20"/>
          <w:szCs w:val="20"/>
          <w:color w:val="auto"/>
        </w:rPr>
      </w:pPr>
    </w:p>
    <w:p>
      <w:pPr>
        <w:ind w:right="120" w:firstLine="546"/>
        <w:spacing w:after="0" w:line="250"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4" w:lineRule="exact"/>
        <w:rPr>
          <w:sz w:val="20"/>
          <w:szCs w:val="20"/>
          <w:color w:val="auto"/>
        </w:rPr>
      </w:pPr>
    </w:p>
    <w:p>
      <w:pPr>
        <w:ind w:right="20" w:firstLine="546"/>
        <w:spacing w:after="0" w:line="313" w:lineRule="auto"/>
        <w:rPr>
          <w:sz w:val="20"/>
          <w:szCs w:val="20"/>
          <w:color w:val="auto"/>
        </w:rPr>
      </w:pPr>
      <w:r>
        <w:rPr>
          <w:rFonts w:ascii="Arial" w:cs="Arial" w:eastAsia="Arial" w:hAnsi="Arial"/>
          <w:sz w:val="15"/>
          <w:szCs w:val="15"/>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50" w:lineRule="exact"/>
        <w:rPr>
          <w:sz w:val="20"/>
          <w:szCs w:val="20"/>
          <w:color w:val="auto"/>
        </w:rPr>
      </w:pPr>
    </w:p>
    <w:p>
      <w:pPr>
        <w:ind w:firstLine="546"/>
        <w:spacing w:after="0" w:line="319" w:lineRule="auto"/>
        <w:rPr>
          <w:sz w:val="20"/>
          <w:szCs w:val="20"/>
          <w:color w:val="auto"/>
        </w:rPr>
      </w:pPr>
      <w:r>
        <w:rPr>
          <w:rFonts w:ascii="Arial" w:cs="Arial" w:eastAsia="Arial" w:hAnsi="Arial"/>
          <w:sz w:val="15"/>
          <w:szCs w:val="15"/>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45" w:lineRule="exact"/>
        <w:rPr>
          <w:sz w:val="20"/>
          <w:szCs w:val="20"/>
          <w:color w:val="auto"/>
        </w:rPr>
      </w:pPr>
    </w:p>
    <w:p>
      <w:pPr>
        <w:jc w:val="both"/>
        <w:ind w:right="140" w:firstLine="546"/>
        <w:spacing w:after="0" w:line="271" w:lineRule="auto"/>
        <w:rPr>
          <w:sz w:val="20"/>
          <w:szCs w:val="20"/>
          <w:color w:val="auto"/>
        </w:rPr>
      </w:pPr>
      <w:r>
        <w:rPr>
          <w:rFonts w:ascii="Arial" w:cs="Arial" w:eastAsia="Arial" w:hAnsi="Arial"/>
          <w:sz w:val="18"/>
          <w:szCs w:val="18"/>
          <w:color w:val="auto"/>
        </w:rPr>
        <w:t>For the years ended December 31, 2019 and 2018, the Company recorded research and development expense related to this agreement with UHN of $783 and $15, respectively, which consists of reimbursable funded study trial costs and license maintenance fees. No milestone fees were incurred related to the Fabry license agreement in the years ended December 31, 2019 and 2018.</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Interleukin 12 License Agreement—</w:t>
      </w:r>
    </w:p>
    <w:p>
      <w:pPr>
        <w:spacing w:after="0" w:line="112"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was considered a derivative instrument and was initially recorded at fair value of $49 (Note 3).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372"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9" w:lineRule="exact"/>
        <w:rPr>
          <w:sz w:val="20"/>
          <w:szCs w:val="20"/>
          <w:color w:val="auto"/>
        </w:rPr>
      </w:pPr>
    </w:p>
    <w:p>
      <w:pPr>
        <w:jc w:val="both"/>
        <w:ind w:right="120" w:firstLine="546"/>
        <w:spacing w:after="0" w:line="271" w:lineRule="auto"/>
        <w:rPr>
          <w:sz w:val="20"/>
          <w:szCs w:val="20"/>
          <w:color w:val="auto"/>
        </w:rPr>
      </w:pPr>
      <w:r>
        <w:rPr>
          <w:rFonts w:ascii="Arial" w:cs="Arial" w:eastAsia="Arial" w:hAnsi="Arial"/>
          <w:sz w:val="18"/>
          <w:szCs w:val="18"/>
          <w:color w:val="auto"/>
        </w:rPr>
        <w:t>For the years ended December 31, 2019 and 2018, the Company recorded research and development expense related to this agreement with UHN of $38 and $41, respectively, which consists of license maintenance fees. No milestone fees were incurred related to the Interleukin 12 license agreement in the years ended December 31, 2019 and 2018.</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2" w:lineRule="exact"/>
        <w:rPr>
          <w:sz w:val="20"/>
          <w:szCs w:val="20"/>
          <w:color w:val="auto"/>
        </w:rPr>
      </w:pPr>
    </w:p>
    <w:p>
      <w:pPr>
        <w:ind w:right="40" w:firstLine="546"/>
        <w:spacing w:after="0" w:line="264"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The Company recorded research and development expense related to this agreement with BioMarin of $1,000 related to the license for the year ended December 31, 2017. No expenses related to the license were recorded for the years ended December 31, 2019 and 2018.</w:t>
      </w:r>
    </w:p>
    <w:p>
      <w:pPr>
        <w:spacing w:after="0" w:line="185" w:lineRule="exact"/>
        <w:rPr>
          <w:sz w:val="20"/>
          <w:szCs w:val="20"/>
          <w:color w:val="auto"/>
        </w:rPr>
      </w:pPr>
    </w:p>
    <w:p>
      <w:pPr>
        <w:ind w:right="40" w:firstLine="546"/>
        <w:spacing w:after="0" w:line="267"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2" w:lineRule="exact"/>
        <w:rPr>
          <w:sz w:val="20"/>
          <w:szCs w:val="20"/>
          <w:color w:val="auto"/>
        </w:rPr>
      </w:pPr>
    </w:p>
    <w:p>
      <w:pPr>
        <w:ind w:right="40" w:firstLine="546"/>
        <w:spacing w:after="0" w:line="264"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For the year ended December 31, 2019, the Company recorded research and development expense of $2,000 , which related to milestone payments.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 expense related to the license was recorded for the year ended December 31, 2018.</w:t>
      </w:r>
    </w:p>
    <w:p>
      <w:pPr>
        <w:spacing w:after="0" w:line="31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2" w:lineRule="exact"/>
        <w:rPr>
          <w:sz w:val="20"/>
          <w:szCs w:val="20"/>
          <w:color w:val="auto"/>
        </w:rPr>
      </w:pPr>
    </w:p>
    <w:p>
      <w:pPr>
        <w:ind w:firstLine="546"/>
        <w:spacing w:after="0" w:line="303" w:lineRule="auto"/>
        <w:rPr>
          <w:sz w:val="20"/>
          <w:szCs w:val="20"/>
          <w:color w:val="auto"/>
        </w:rPr>
      </w:pPr>
      <w:r>
        <w:rPr>
          <w:rFonts w:ascii="Arial" w:cs="Arial" w:eastAsia="Arial" w:hAnsi="Arial"/>
          <w:sz w:val="15"/>
          <w:szCs w:val="15"/>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2019 and 2018.</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18" w:lineRule="exact"/>
        <w:rPr>
          <w:sz w:val="20"/>
          <w:szCs w:val="20"/>
          <w:color w:val="auto"/>
        </w:rPr>
      </w:pPr>
    </w:p>
    <w:p>
      <w:pPr>
        <w:ind w:right="180" w:firstLine="546"/>
        <w:spacing w:after="0" w:line="256" w:lineRule="auto"/>
        <w:rPr>
          <w:sz w:val="20"/>
          <w:szCs w:val="20"/>
          <w:color w:val="auto"/>
        </w:rPr>
      </w:pPr>
      <w:r>
        <w:rPr>
          <w:rFonts w:ascii="Arial" w:cs="Arial" w:eastAsia="Arial" w:hAnsi="Arial"/>
          <w:sz w:val="18"/>
          <w:szCs w:val="18"/>
          <w:color w:val="auto"/>
        </w:rPr>
        <w:t xml:space="preserve">For the years ended December 31, 2019 and 2018, the Company did not record a current or deferred income tax expense or (benefit) due to current and historical losses incurred by the Company. The Company’s operations are predominantly based in the United States and the Company’s foreign subsidiaries generated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losses for the years ended December 31, 2019 and 2018.</w:t>
      </w:r>
    </w:p>
    <w:p>
      <w:pPr>
        <w:spacing w:after="0" w:line="188" w:lineRule="exact"/>
        <w:rPr>
          <w:sz w:val="20"/>
          <w:szCs w:val="20"/>
          <w:color w:val="auto"/>
        </w:rPr>
      </w:pPr>
    </w:p>
    <w:p>
      <w:pPr>
        <w:ind w:right="80" w:firstLine="546"/>
        <w:spacing w:after="0" w:line="265"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83"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Year Ended</w:t>
      </w:r>
    </w:p>
    <w:p>
      <w:pPr>
        <w:jc w:val="center"/>
        <w:ind w:left="5080"/>
        <w:spacing w:after="0" w:line="229"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3"/>
        </w:trPr>
        <w:tc>
          <w:tcPr>
            <w:tcW w:w="526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1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income tax expense at statutory rate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5"/>
        </w:trPr>
        <w:tc>
          <w:tcPr>
            <w:tcW w:w="594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26"/>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r>
      <w:tr>
        <w:trPr>
          <w:trHeight w:val="225"/>
        </w:trPr>
        <w:tc>
          <w:tcPr>
            <w:tcW w:w="5940" w:type="dxa"/>
            <w:vAlign w:val="bottom"/>
            <w:gridSpan w:val="2"/>
          </w:tcPr>
          <w:p>
            <w:pPr>
              <w:spacing w:after="0"/>
              <w:rPr>
                <w:sz w:val="20"/>
                <w:szCs w:val="20"/>
                <w:color w:val="auto"/>
              </w:rPr>
            </w:pPr>
            <w:r>
              <w:rPr>
                <w:rFonts w:ascii="Arial" w:cs="Arial" w:eastAsia="Arial" w:hAnsi="Arial"/>
                <w:sz w:val="18"/>
                <w:szCs w:val="18"/>
                <w:color w:val="auto"/>
              </w:rPr>
              <w:t>U.S.—TCJA</w:t>
            </w: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26"/>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r>
        <w:trPr>
          <w:trHeight w:val="225"/>
        </w:trPr>
        <w:tc>
          <w:tcPr>
            <w:tcW w:w="5940" w:type="dxa"/>
            <w:vAlign w:val="bottom"/>
            <w:gridSpan w:val="2"/>
          </w:tcPr>
          <w:p>
            <w:pPr>
              <w:spacing w:after="0"/>
              <w:rPr>
                <w:sz w:val="20"/>
                <w:szCs w:val="20"/>
                <w:color w:val="auto"/>
              </w:rPr>
            </w:pPr>
            <w:r>
              <w:rPr>
                <w:rFonts w:ascii="Arial" w:cs="Arial" w:eastAsia="Arial" w:hAnsi="Arial"/>
                <w:sz w:val="18"/>
                <w:szCs w:val="18"/>
                <w:color w:val="auto"/>
              </w:rPr>
              <w:t>Research and development tax credits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6"/>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-27.6%</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Provision to Return</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52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9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33,594</w:t>
            </w:r>
          </w:p>
        </w:tc>
        <w:tc>
          <w:tcPr>
            <w:tcW w:w="200" w:type="dxa"/>
            <w:vAlign w:val="bottom"/>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Equity based compensation</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Derivative liability</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Licensing agreements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Accruals and other</w:t>
            </w:r>
          </w:p>
        </w:tc>
        <w:tc>
          <w:tcPr>
            <w:tcW w:w="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(38,425)</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(18,457)</w:t>
            </w:r>
          </w:p>
        </w:tc>
        <w:tc>
          <w:tcPr>
            <w:tcW w:w="0" w:type="dxa"/>
            <w:vAlign w:val="bottom"/>
          </w:tcPr>
          <w:p>
            <w:pPr>
              <w:spacing w:after="0"/>
              <w:rPr>
                <w:sz w:val="1"/>
                <w:szCs w:val="1"/>
                <w:color w:val="auto"/>
              </w:rPr>
            </w:pPr>
          </w:p>
        </w:tc>
      </w:tr>
      <w:tr>
        <w:trPr>
          <w:trHeight w:val="219"/>
        </w:trPr>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assets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(209)</w:t>
            </w: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8"/>
        </w:trPr>
        <w:tc>
          <w:tcPr>
            <w:tcW w:w="46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7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546"/>
        <w:spacing w:after="0" w:line="251"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2019 and 2018,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2019 and 2018. The valuation allowance increased $19,968 and $11,991 during the years ended December 31, 2019 and 2018, respectively, due primarily to net operating losses generated.</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31" w:name="page132"/>
    <w:bookmarkEnd w:id="13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19" w:lineRule="exact"/>
        <w:rPr>
          <w:sz w:val="20"/>
          <w:szCs w:val="20"/>
          <w:color w:val="auto"/>
        </w:rPr>
      </w:pPr>
    </w:p>
    <w:p>
      <w:pPr>
        <w:ind w:right="100" w:firstLine="546"/>
        <w:spacing w:after="0" w:line="267" w:lineRule="auto"/>
        <w:rPr>
          <w:sz w:val="20"/>
          <w:szCs w:val="20"/>
          <w:color w:val="auto"/>
        </w:rPr>
      </w:pPr>
      <w:r>
        <w:rPr>
          <w:rFonts w:ascii="Arial" w:cs="Arial" w:eastAsia="Arial" w:hAnsi="Arial"/>
          <w:sz w:val="17"/>
          <w:szCs w:val="17"/>
          <w:color w:val="auto"/>
        </w:rPr>
        <w:t>As of December 31, 2019 and 2018, the Company had U.S. federal net operating loss carryforwards of $121,836 and $57,279, respectively, that may be available to offset future income tax liabilities. The U.S. federal tax operating loss carryforwards of approximately $17,743 will expire at various dates through 2037. Approximately $104,093 of the U.S. federal tax operating losses can be carried forward indefinitely. As of December 31, 2019 and 2018, the Company also had U.S. state net operating loss carryforwards of $115,129 and $54,212, respectively, which may be available to offset future taxable income. These losses expire at various dates through 2039. As of December 31, 2019 and 2018, the Company had foreign net operating loss carryforwards of $2,440 and $1,201, respectively. The foreign net operating losses can be carried forward indefinitely.</w:t>
      </w:r>
    </w:p>
    <w:p>
      <w:pPr>
        <w:spacing w:after="0" w:line="183" w:lineRule="exact"/>
        <w:rPr>
          <w:sz w:val="20"/>
          <w:szCs w:val="20"/>
          <w:color w:val="auto"/>
        </w:rPr>
      </w:pPr>
    </w:p>
    <w:p>
      <w:pPr>
        <w:ind w:right="140" w:firstLine="546"/>
        <w:spacing w:after="0" w:line="265" w:lineRule="auto"/>
        <w:rPr>
          <w:sz w:val="20"/>
          <w:szCs w:val="20"/>
          <w:color w:val="auto"/>
        </w:rPr>
      </w:pPr>
      <w:r>
        <w:rPr>
          <w:rFonts w:ascii="Arial" w:cs="Arial" w:eastAsia="Arial" w:hAnsi="Arial"/>
          <w:sz w:val="17"/>
          <w:szCs w:val="17"/>
          <w:color w:val="auto"/>
        </w:rPr>
        <w:t>As of December 31, 2019 and 2018, the Company has federal research and development tax credit carryforwards of $1,547 and $339, respectively. Included in the $1,547 of federal tax credit carryforwards are $530 of orphan drug credits.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2019 and 2018, the Company had state research and development tax credit carryforwards of approximately $214 and $146, respectively, available to reduce future tax liabilities which expire at various dates through 2033. For all years through December 31, 2019, the Company generated research credits but has not conducted a study to document the qualified activities. This study may result in an adjustment to the Company’s research and development credit carryforwards.</w:t>
      </w:r>
    </w:p>
    <w:p>
      <w:pPr>
        <w:spacing w:after="0" w:line="186"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As the Company carries out extensive research and development activities, it seeks to benefit from the Australian research and development tax credit cash rebate regime. Under this regime, the Company’s Australian subsidiary, AVROBIO Australia, may be eligible to surrender the trading losses that arise from its research and development activities for a payable tax credit of up to approximately 43.5% of eligible research and development expenditures. Qualifying expenditures largely comprise employment costs for research staff, consumables, certain internal overhead costs and subcontracted expenditures as part of research projects for which the Company does not receive income. For the year ended December 31, 2019, the Company recorded $0.9 million in research and development tax credits as an offset to research and development expenses.</w:t>
      </w:r>
    </w:p>
    <w:p>
      <w:pPr>
        <w:spacing w:after="0" w:line="183" w:lineRule="exact"/>
        <w:rPr>
          <w:sz w:val="20"/>
          <w:szCs w:val="20"/>
          <w:color w:val="auto"/>
        </w:rPr>
      </w:pPr>
    </w:p>
    <w:p>
      <w:pPr>
        <w:ind w:right="40" w:firstLine="546"/>
        <w:spacing w:after="0" w:line="265"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86"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The Company files income tax returns in the United States, Australia and Canada, and in several states. The foreign, federal and state income tax returns are generally subject to tax examinations for the tax years ended December 31, 2016 through December 31, 2018.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18" w:lineRule="exact"/>
        <w:rPr>
          <w:sz w:val="20"/>
          <w:szCs w:val="20"/>
          <w:color w:val="auto"/>
        </w:rPr>
      </w:pPr>
    </w:p>
    <w:p>
      <w:pPr>
        <w:ind w:right="40" w:firstLine="546"/>
        <w:spacing w:after="0" w:line="252" w:lineRule="auto"/>
        <w:rPr>
          <w:sz w:val="20"/>
          <w:szCs w:val="20"/>
          <w:color w:val="auto"/>
        </w:rPr>
      </w:pPr>
      <w:r>
        <w:rPr>
          <w:rFonts w:ascii="Arial" w:cs="Arial" w:eastAsia="Arial" w:hAnsi="Arial"/>
          <w:sz w:val="18"/>
          <w:szCs w:val="18"/>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93" w:lineRule="exact"/>
        <w:rPr>
          <w:sz w:val="20"/>
          <w:szCs w:val="20"/>
          <w:color w:val="auto"/>
        </w:rPr>
      </w:pPr>
    </w:p>
    <w:p>
      <w:pPr>
        <w:ind w:right="340" w:firstLine="546"/>
        <w:spacing w:after="0" w:line="265"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10"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Year Ended</w:t>
      </w:r>
    </w:p>
    <w:p>
      <w:pPr>
        <w:jc w:val="center"/>
        <w:ind w:left="5400"/>
        <w:spacing w:after="0" w:line="229"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3"/>
        </w:trPr>
        <w:tc>
          <w:tcPr>
            <w:tcW w:w="548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57"/>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1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3,414,445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2,164,101</w:t>
            </w:r>
          </w:p>
        </w:tc>
        <w:tc>
          <w:tcPr>
            <w:tcW w:w="80" w:type="dxa"/>
            <w:vAlign w:val="bottom"/>
            <w:shd w:val="clear" w:color="auto" w:fill="CFF0FC"/>
          </w:tcPr>
          <w:p>
            <w:pPr>
              <w:spacing w:after="0"/>
              <w:rPr>
                <w:sz w:val="19"/>
                <w:szCs w:val="19"/>
                <w:color w:val="auto"/>
              </w:rPr>
            </w:pPr>
          </w:p>
        </w:tc>
      </w:tr>
      <w:tr>
        <w:trPr>
          <w:trHeight w:val="225"/>
        </w:trPr>
        <w:tc>
          <w:tcPr>
            <w:tcW w:w="548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32,552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153,276</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0" w:right="8480" w:hanging="554"/>
        <w:spacing w:after="0" w:line="447" w:lineRule="auto"/>
        <w:tabs>
          <w:tab w:leader="none" w:pos="28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Agreements</w:t>
      </w:r>
    </w:p>
    <w:p>
      <w:pPr>
        <w:spacing w:after="0" w:line="1" w:lineRule="exact"/>
        <w:rPr>
          <w:sz w:val="20"/>
          <w:szCs w:val="20"/>
          <w:color w:val="auto"/>
        </w:rPr>
      </w:pPr>
    </w:p>
    <w:p>
      <w:pPr>
        <w:ind w:right="60" w:firstLine="546"/>
        <w:spacing w:after="0" w:line="319" w:lineRule="auto"/>
        <w:rPr>
          <w:sz w:val="20"/>
          <w:szCs w:val="20"/>
          <w:color w:val="auto"/>
        </w:rPr>
      </w:pPr>
      <w:r>
        <w:rPr>
          <w:rFonts w:ascii="Arial" w:cs="Arial" w:eastAsia="Arial" w:hAnsi="Arial"/>
          <w:sz w:val="15"/>
          <w:szCs w:val="15"/>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 On December 4, 2018, the Company terminated the sub-lease without any penalty. The leasehold improvement cost was written off to rental expenses during the year ended December 31, 2018.</w:t>
      </w:r>
    </w:p>
    <w:p>
      <w:pPr>
        <w:spacing w:after="0" w:line="145" w:lineRule="exact"/>
        <w:rPr>
          <w:sz w:val="20"/>
          <w:szCs w:val="20"/>
          <w:color w:val="auto"/>
        </w:rPr>
      </w:pPr>
    </w:p>
    <w:p>
      <w:pPr>
        <w:ind w:right="80" w:firstLine="546"/>
        <w:spacing w:after="0" w:line="249"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as of December 31, 2019 and 2018. In contemplation of this agreement, the Company terminated its prior lease agreement.</w:t>
      </w:r>
    </w:p>
    <w:p>
      <w:pPr>
        <w:spacing w:after="0" w:line="197" w:lineRule="exact"/>
        <w:rPr>
          <w:sz w:val="20"/>
          <w:szCs w:val="20"/>
          <w:color w:val="auto"/>
        </w:rPr>
      </w:pPr>
    </w:p>
    <w:p>
      <w:pPr>
        <w:ind w:right="40" w:firstLine="546"/>
        <w:spacing w:after="0" w:line="278" w:lineRule="auto"/>
        <w:rPr>
          <w:sz w:val="20"/>
          <w:szCs w:val="20"/>
          <w:color w:val="auto"/>
        </w:rPr>
      </w:pPr>
      <w:r>
        <w:rPr>
          <w:rFonts w:ascii="Arial" w:cs="Arial" w:eastAsia="Arial" w:hAnsi="Arial"/>
          <w:sz w:val="17"/>
          <w:szCs w:val="17"/>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December 31, 2019 and 2018.</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recorded rent expense of $2,257 and $1,295 during the years ended December 31, 2019 and 2018, respectively.</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future minimum lease payments due under operating leases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60" w:type="dxa"/>
            <w:vAlign w:val="bottom"/>
            <w:gridSpan w:val="2"/>
          </w:tcPr>
          <w:p>
            <w:pPr>
              <w:ind w:left="2260"/>
              <w:spacing w:after="0"/>
              <w:rPr>
                <w:sz w:val="20"/>
                <w:szCs w:val="20"/>
                <w:color w:val="auto"/>
              </w:rPr>
            </w:pPr>
            <w:r>
              <w:rPr>
                <w:rFonts w:ascii="Arial" w:cs="Arial" w:eastAsia="Arial" w:hAnsi="Arial"/>
                <w:sz w:val="14"/>
                <w:szCs w:val="14"/>
                <w:b w:val="1"/>
                <w:bCs w:val="1"/>
                <w:color w:val="auto"/>
              </w:rPr>
              <w:t>Year Ending December 31,</w:t>
            </w:r>
          </w:p>
        </w:tc>
        <w:tc>
          <w:tcPr>
            <w:tcW w:w="3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26"/>
        </w:trPr>
        <w:tc>
          <w:tcPr>
            <w:tcW w:w="226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2260" w:type="dxa"/>
            <w:vAlign w:val="bottom"/>
          </w:tcPr>
          <w:p>
            <w:pPr>
              <w:spacing w:after="0"/>
              <w:rPr>
                <w:sz w:val="19"/>
                <w:szCs w:val="19"/>
                <w:color w:val="auto"/>
              </w:rPr>
            </w:pPr>
          </w:p>
        </w:tc>
      </w:tr>
      <w:tr>
        <w:trPr>
          <w:trHeight w:val="225"/>
        </w:trPr>
        <w:tc>
          <w:tcPr>
            <w:tcW w:w="4660" w:type="dxa"/>
            <w:vAlign w:val="bottom"/>
            <w:gridSpan w:val="2"/>
          </w:tcPr>
          <w:p>
            <w:pPr>
              <w:ind w:left="2260"/>
              <w:spacing w:after="0"/>
              <w:rPr>
                <w:sz w:val="20"/>
                <w:szCs w:val="20"/>
                <w:color w:val="auto"/>
              </w:rPr>
            </w:pPr>
            <w:r>
              <w:rPr>
                <w:rFonts w:ascii="Arial" w:cs="Arial" w:eastAsia="Arial" w:hAnsi="Arial"/>
                <w:sz w:val="18"/>
                <w:szCs w:val="18"/>
                <w:color w:val="auto"/>
              </w:rPr>
              <w:t>2021</w:t>
            </w:r>
          </w:p>
        </w:tc>
        <w:tc>
          <w:tcPr>
            <w:tcW w:w="3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2260" w:type="dxa"/>
            <w:vAlign w:val="bottom"/>
          </w:tcPr>
          <w:p>
            <w:pPr>
              <w:spacing w:after="0"/>
              <w:rPr>
                <w:sz w:val="19"/>
                <w:szCs w:val="19"/>
                <w:color w:val="auto"/>
              </w:rPr>
            </w:pPr>
          </w:p>
        </w:tc>
      </w:tr>
      <w:tr>
        <w:trPr>
          <w:trHeight w:val="226"/>
        </w:trPr>
        <w:tc>
          <w:tcPr>
            <w:tcW w:w="226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260" w:type="dxa"/>
            <w:vAlign w:val="bottom"/>
          </w:tcPr>
          <w:p>
            <w:pPr>
              <w:spacing w:after="0"/>
              <w:rPr>
                <w:sz w:val="19"/>
                <w:szCs w:val="19"/>
                <w:color w:val="auto"/>
              </w:rPr>
            </w:pPr>
          </w:p>
        </w:tc>
      </w:tr>
      <w:tr>
        <w:trPr>
          <w:trHeight w:val="225"/>
        </w:trPr>
        <w:tc>
          <w:tcPr>
            <w:tcW w:w="4660" w:type="dxa"/>
            <w:vAlign w:val="bottom"/>
            <w:gridSpan w:val="2"/>
          </w:tcPr>
          <w:p>
            <w:pPr>
              <w:ind w:left="2260"/>
              <w:spacing w:after="0"/>
              <w:rPr>
                <w:sz w:val="20"/>
                <w:szCs w:val="20"/>
                <w:color w:val="auto"/>
              </w:rPr>
            </w:pPr>
            <w:r>
              <w:rPr>
                <w:rFonts w:ascii="Arial" w:cs="Arial" w:eastAsia="Arial" w:hAnsi="Arial"/>
                <w:sz w:val="18"/>
                <w:szCs w:val="18"/>
                <w:color w:val="auto"/>
              </w:rPr>
              <w:t>2023</w:t>
            </w:r>
          </w:p>
        </w:tc>
        <w:tc>
          <w:tcPr>
            <w:tcW w:w="3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2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9"/>
        </w:trPr>
        <w:tc>
          <w:tcPr>
            <w:tcW w:w="2260" w:type="dxa"/>
            <w:vAlign w:val="bottom"/>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22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04"/>
        </w:trPr>
        <w:tc>
          <w:tcPr>
            <w:tcW w:w="2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520" w:type="dxa"/>
            <w:vAlign w:val="bottom"/>
            <w:gridSpan w:val="2"/>
          </w:tcPr>
          <w:p>
            <w:pPr>
              <w:jc w:val="right"/>
              <w:ind w:right="2380"/>
              <w:spacing w:after="0"/>
              <w:rPr>
                <w:sz w:val="20"/>
                <w:szCs w:val="20"/>
                <w:color w:val="auto"/>
              </w:rPr>
            </w:pPr>
            <w:r>
              <w:rPr>
                <w:rFonts w:ascii="Arial" w:cs="Arial" w:eastAsia="Arial" w:hAnsi="Arial"/>
                <w:sz w:val="18"/>
                <w:szCs w:val="18"/>
                <w:color w:val="auto"/>
              </w:rPr>
              <w:t>F-26</w:t>
            </w:r>
          </w:p>
        </w:tc>
        <w:tc>
          <w:tcPr>
            <w:tcW w:w="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4"/>
        </w:trPr>
        <w:tc>
          <w:tcPr>
            <w:tcW w:w="226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3" w:name="page134"/>
    <w:bookmarkEnd w:id="13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jc w:val="both"/>
        <w:ind w:right="140" w:firstLine="546"/>
        <w:spacing w:after="0" w:line="256"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2019 and 2018, and to the best of its knowledge, no material legal proceedings are currently pending or threatened.</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2" w:lineRule="exact"/>
        <w:rPr>
          <w:sz w:val="20"/>
          <w:szCs w:val="20"/>
          <w:color w:val="auto"/>
        </w:rPr>
      </w:pPr>
    </w:p>
    <w:p>
      <w:pPr>
        <w:ind w:right="40" w:firstLine="546"/>
        <w:spacing w:after="0" w:line="256"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2019 and 2018, or royalties on future sales of specified products. No milestone or royalty payments under these agreements are expected to be payable in the immediate future. See Note 11 for discussion of these arrangements.</w:t>
      </w:r>
    </w:p>
    <w:p>
      <w:pPr>
        <w:spacing w:after="0" w:line="188" w:lineRule="exact"/>
        <w:rPr>
          <w:sz w:val="20"/>
          <w:szCs w:val="20"/>
          <w:color w:val="auto"/>
        </w:rPr>
      </w:pPr>
    </w:p>
    <w:p>
      <w:pPr>
        <w:ind w:right="80" w:firstLine="546"/>
        <w:spacing w:after="0" w:line="309" w:lineRule="auto"/>
        <w:rPr>
          <w:sz w:val="20"/>
          <w:szCs w:val="20"/>
          <w:color w:val="auto"/>
        </w:rPr>
      </w:pPr>
      <w:r>
        <w:rPr>
          <w:rFonts w:ascii="Arial" w:cs="Arial" w:eastAsia="Arial" w:hAnsi="Arial"/>
          <w:sz w:val="15"/>
          <w:szCs w:val="15"/>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55" w:lineRule="exact"/>
        <w:rPr>
          <w:sz w:val="20"/>
          <w:szCs w:val="20"/>
          <w:color w:val="auto"/>
        </w:rPr>
      </w:pPr>
    </w:p>
    <w:p>
      <w:pPr>
        <w:ind w:left="280" w:hanging="274"/>
        <w:spacing w:after="0"/>
        <w:tabs>
          <w:tab w:leader="none" w:pos="2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2" w:lineRule="exact"/>
        <w:rPr>
          <w:sz w:val="20"/>
          <w:szCs w:val="20"/>
          <w:color w:val="auto"/>
        </w:rPr>
      </w:pPr>
    </w:p>
    <w:p>
      <w:pPr>
        <w:ind w:right="80" w:firstLine="546"/>
        <w:spacing w:after="0" w:line="252" w:lineRule="auto"/>
        <w:rPr>
          <w:sz w:val="20"/>
          <w:szCs w:val="20"/>
          <w:color w:val="auto"/>
        </w:rPr>
      </w:pPr>
      <w:r>
        <w:rPr>
          <w:rFonts w:ascii="Arial" w:cs="Arial" w:eastAsia="Arial" w:hAnsi="Arial"/>
          <w:sz w:val="18"/>
          <w:szCs w:val="18"/>
          <w:color w:val="auto"/>
        </w:rPr>
        <w:t>In connection with the Company’s entry into a license agreement with UHN on January 27, 2016, the Company issued UHN 1,161,665 shares of its common stock. Upon the closing of the IPO, as UHN’s fully-diluted percentage ownership of the Company was reduced within a range of specified percentages, the Company was obligated to pay UHN an amount of $2,000, which was paid in July 2018. See Note 3 for further discussion on the accounting treatment for this provision.</w:t>
      </w:r>
    </w:p>
    <w:p>
      <w:pPr>
        <w:spacing w:after="0" w:line="193" w:lineRule="exact"/>
        <w:rPr>
          <w:sz w:val="20"/>
          <w:szCs w:val="20"/>
          <w:color w:val="auto"/>
        </w:rPr>
      </w:pPr>
    </w:p>
    <w:p>
      <w:pPr>
        <w:ind w:right="100" w:firstLine="546"/>
        <w:spacing w:after="0" w:line="295" w:lineRule="auto"/>
        <w:rPr>
          <w:sz w:val="20"/>
          <w:szCs w:val="20"/>
          <w:color w:val="auto"/>
        </w:rPr>
      </w:pPr>
      <w:r>
        <w:rPr>
          <w:rFonts w:ascii="Arial" w:cs="Arial" w:eastAsia="Arial" w:hAnsi="Arial"/>
          <w:sz w:val="17"/>
          <w:szCs w:val="17"/>
          <w:color w:val="auto"/>
        </w:rPr>
        <w:t>For the years ended December 31, 2019 and 2018, the Company recognized $821 and $56, respectively, of research and development expense related to the license agreements with UHN. Refer to Note 11 for additional information regarding the UHN license agreements.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Others</w:t>
      </w:r>
    </w:p>
    <w:p>
      <w:pPr>
        <w:spacing w:after="0" w:line="112" w:lineRule="exact"/>
        <w:rPr>
          <w:sz w:val="20"/>
          <w:szCs w:val="20"/>
          <w:color w:val="auto"/>
        </w:rPr>
      </w:pPr>
    </w:p>
    <w:p>
      <w:pPr>
        <w:ind w:right="140" w:firstLine="546"/>
        <w:spacing w:after="0" w:line="265" w:lineRule="auto"/>
        <w:rPr>
          <w:sz w:val="20"/>
          <w:szCs w:val="20"/>
          <w:color w:val="auto"/>
        </w:rPr>
      </w:pPr>
      <w:r>
        <w:rPr>
          <w:rFonts w:ascii="Arial" w:cs="Arial" w:eastAsia="Arial" w:hAnsi="Arial"/>
          <w:sz w:val="18"/>
          <w:szCs w:val="18"/>
          <w:color w:val="auto"/>
        </w:rPr>
        <w:t>For the years ended December 31, 2019 and 2018, the Company recorded expenses of $1,451 and $348, respectively, related to a sublease to rent lab space, provided by an entity affiliated with a member of the board.</w:t>
      </w:r>
    </w:p>
    <w:p>
      <w:pPr>
        <w:spacing w:after="0" w:line="180" w:lineRule="exact"/>
        <w:rPr>
          <w:sz w:val="20"/>
          <w:szCs w:val="20"/>
          <w:color w:val="auto"/>
        </w:rPr>
      </w:pPr>
    </w:p>
    <w:p>
      <w:pPr>
        <w:ind w:firstLine="546"/>
        <w:spacing w:after="0" w:line="296" w:lineRule="auto"/>
        <w:rPr>
          <w:sz w:val="20"/>
          <w:szCs w:val="20"/>
          <w:color w:val="auto"/>
        </w:rPr>
      </w:pPr>
      <w:r>
        <w:rPr>
          <w:rFonts w:ascii="Arial" w:cs="Arial" w:eastAsia="Arial" w:hAnsi="Arial"/>
          <w:sz w:val="18"/>
          <w:szCs w:val="18"/>
          <w:color w:val="auto"/>
        </w:rPr>
        <w:t>For the years ended December 31, 2019 and 2018, the Company recorded expenses of $0 and $40, respectively, related to consulting services provided by an entity affiliated with an officer of the Company and a member of the Board.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Benefit Plans</w:t>
      </w:r>
    </w:p>
    <w:p>
      <w:pPr>
        <w:spacing w:after="0" w:line="118" w:lineRule="exact"/>
        <w:rPr>
          <w:sz w:val="20"/>
          <w:szCs w:val="20"/>
          <w:color w:val="auto"/>
        </w:rPr>
      </w:pPr>
    </w:p>
    <w:p>
      <w:pPr>
        <w:ind w:right="240" w:firstLine="546"/>
        <w:spacing w:after="0" w:line="319" w:lineRule="auto"/>
        <w:rPr>
          <w:sz w:val="20"/>
          <w:szCs w:val="20"/>
          <w:color w:val="auto"/>
        </w:rPr>
      </w:pPr>
      <w:r>
        <w:rPr>
          <w:rFonts w:ascii="Arial" w:cs="Arial" w:eastAsia="Arial" w:hAnsi="Arial"/>
          <w:sz w:val="15"/>
          <w:szCs w:val="15"/>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In August 2018, the Company’s Board approved a company matching contribution of up to 3%, effective October 1, 2018. The Company made matching contributions of $224 and $35 to the plan during the years ended December 31, 2019 and 2018, respectively.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18" w:lineRule="exact"/>
        <w:rPr>
          <w:sz w:val="20"/>
          <w:szCs w:val="20"/>
          <w:color w:val="auto"/>
        </w:rPr>
      </w:pPr>
    </w:p>
    <w:p>
      <w:pPr>
        <w:ind w:right="20" w:firstLine="546"/>
        <w:spacing w:after="0" w:line="256" w:lineRule="auto"/>
        <w:rPr>
          <w:sz w:val="20"/>
          <w:szCs w:val="20"/>
          <w:color w:val="auto"/>
        </w:rPr>
      </w:pPr>
      <w:r>
        <w:rPr>
          <w:rFonts w:ascii="Arial" w:cs="Arial" w:eastAsia="Arial" w:hAnsi="Arial"/>
          <w:sz w:val="18"/>
          <w:szCs w:val="18"/>
          <w:color w:val="auto"/>
        </w:rPr>
        <w:t>On December 20, 2019, the Company filed a shelf registration statement on Form S-3 with the SEC (the “December 2019 Shelf,” which covers the offering, issuance and sale by the Company of up to an aggregate of $250.0 million of the Company’s common stock, preferred stock, debt securities, warrants and/or units. The December 2019 Shelf was declared effective by the SEC on January 14, 2020.</w:t>
      </w:r>
    </w:p>
    <w:p>
      <w:pPr>
        <w:spacing w:after="0" w:line="188" w:lineRule="exact"/>
        <w:rPr>
          <w:sz w:val="20"/>
          <w:szCs w:val="20"/>
          <w:color w:val="auto"/>
        </w:rPr>
      </w:pPr>
    </w:p>
    <w:p>
      <w:pPr>
        <w:ind w:firstLine="546"/>
        <w:spacing w:after="0" w:line="278" w:lineRule="auto"/>
        <w:rPr>
          <w:sz w:val="20"/>
          <w:szCs w:val="20"/>
          <w:color w:val="auto"/>
        </w:rPr>
      </w:pPr>
      <w:r>
        <w:rPr>
          <w:rFonts w:ascii="Arial" w:cs="Arial" w:eastAsia="Arial" w:hAnsi="Arial"/>
          <w:sz w:val="17"/>
          <w:szCs w:val="17"/>
          <w:color w:val="auto"/>
        </w:rPr>
        <w:t>In February 2020, the Company closed an underwritten public offering of 4,350,000 shares of its common stock at a public offering price of $23.00 per share, less underwriting discounts and commissions. The net proceeds to the Company from this offering, after deducting underwriting discounts and commissions and other estimated offering expenses payable by the Company, were approximately $93,547.</w:t>
      </w: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gridSpan w:val="24"/>
            <w:vMerge w:val="restart"/>
          </w:tcPr>
          <w:p>
            <w:pPr>
              <w:ind w:left="560"/>
              <w:spacing w:after="0"/>
              <w:rPr>
                <w:sz w:val="20"/>
                <w:szCs w:val="20"/>
                <w:color w:val="auto"/>
              </w:rPr>
            </w:pPr>
            <w:r>
              <w:rPr>
                <w:rFonts w:ascii="Arial" w:cs="Arial" w:eastAsia="Arial" w:hAnsi="Arial"/>
                <w:sz w:val="14"/>
                <w:szCs w:val="14"/>
                <w:b w:val="1"/>
                <w:bCs w:val="1"/>
                <w:color w:val="auto"/>
              </w:rPr>
              <w:t>EXHIBIT INDEX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NO.</w:t>
            </w: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gridSpan w:val="2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Borders>
              <w:top w:val="single" w:sz="8" w:color="auto"/>
            </w:tcBorders>
          </w:tcPr>
          <w:p>
            <w:pPr>
              <w:ind w:left="220"/>
              <w:spacing w:after="0" w:line="166" w:lineRule="exact"/>
              <w:rPr>
                <w:sz w:val="20"/>
                <w:szCs w:val="20"/>
                <w:color w:val="auto"/>
              </w:rPr>
            </w:pPr>
            <w:r>
              <w:rPr>
                <w:rFonts w:ascii="Arial" w:cs="Arial" w:eastAsia="Arial" w:hAnsi="Arial"/>
                <w:sz w:val="18"/>
                <w:szCs w:val="18"/>
                <w:color w:val="auto"/>
              </w:rPr>
              <w:t>3.1</w:t>
            </w:r>
          </w:p>
        </w:tc>
        <w:tc>
          <w:tcPr>
            <w:tcW w:w="380" w:type="dxa"/>
            <w:vAlign w:val="bottom"/>
          </w:tcPr>
          <w:p>
            <w:pPr>
              <w:spacing w:after="0"/>
              <w:rPr>
                <w:sz w:val="14"/>
                <w:szCs w:val="14"/>
                <w:color w:val="auto"/>
              </w:rPr>
            </w:pPr>
          </w:p>
        </w:tc>
        <w:tc>
          <w:tcPr>
            <w:tcW w:w="9800" w:type="dxa"/>
            <w:vAlign w:val="bottom"/>
            <w:tcBorders>
              <w:top w:val="single" w:sz="8" w:color="auto"/>
            </w:tcBorders>
            <w:gridSpan w:val="28"/>
          </w:tcPr>
          <w:p>
            <w:pPr>
              <w:spacing w:after="0" w:line="16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Fourth Amended and Restated Certificate of Incorporation of the Registrant (filed as Exhibit 3.1 to the Registrant’s Current Report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80" w:type="dxa"/>
            <w:vAlign w:val="bottom"/>
            <w:tcBorders>
              <w:top w:val="single" w:sz="8" w:color="0000EE"/>
            </w:tcBorders>
            <w:gridSpan w:val="18"/>
          </w:tcPr>
          <w:p>
            <w:pPr>
              <w:spacing w:after="0" w:line="193" w:lineRule="exact"/>
              <w:rPr>
                <w:rFonts w:ascii="Arial" w:cs="Arial" w:eastAsia="Arial" w:hAnsi="Arial"/>
                <w:sz w:val="18"/>
                <w:szCs w:val="18"/>
                <w:color w:val="0000EE"/>
              </w:rPr>
            </w:pPr>
            <w:hyperlink r:id="rId172">
              <w:r>
                <w:rPr>
                  <w:rFonts w:ascii="Arial" w:cs="Arial" w:eastAsia="Arial" w:hAnsi="Arial"/>
                  <w:sz w:val="18"/>
                  <w:szCs w:val="18"/>
                  <w:color w:val="0000EE"/>
                </w:rPr>
                <w:t>Form 8-K filed on June 25, 2018 (File No. 001-38537) and incorporated herein by reference)</w:t>
              </w:r>
            </w:hyperlink>
          </w:p>
        </w:tc>
        <w:tc>
          <w:tcPr>
            <w:tcW w:w="32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22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140" w:type="dxa"/>
            <w:vAlign w:val="bottom"/>
            <w:tcBorders>
              <w:bottom w:val="single" w:sz="8" w:color="0000EE"/>
            </w:tcBorders>
            <w:gridSpan w:val="12"/>
          </w:tcPr>
          <w:p>
            <w:pPr>
              <w:spacing w:after="0"/>
              <w:rPr>
                <w:rFonts w:ascii="Arial" w:cs="Arial" w:eastAsia="Arial" w:hAnsi="Arial"/>
                <w:sz w:val="18"/>
                <w:szCs w:val="18"/>
                <w:color w:val="0000EE"/>
                <w:w w:val="89"/>
              </w:rPr>
            </w:pPr>
            <w:hyperlink r:id="rId173">
              <w:r>
                <w:rPr>
                  <w:rFonts w:ascii="Arial" w:cs="Arial" w:eastAsia="Arial" w:hAnsi="Arial"/>
                  <w:sz w:val="18"/>
                  <w:szCs w:val="18"/>
                  <w:color w:val="0000EE"/>
                  <w:w w:val="89"/>
                </w:rPr>
                <w:t>Amended and Restated By-laws (filed as Exhibit 3.2 to the Registrant’s Current Report on Form 8-K filed on June 25, 2018 (File</w:t>
              </w:r>
            </w:hyperlink>
          </w:p>
        </w:tc>
        <w:tc>
          <w:tcPr>
            <w:tcW w:w="66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tcBorders>
              <w:bottom w:val="single" w:sz="8" w:color="0000EE"/>
            </w:tcBorders>
            <w:gridSpan w:val="4"/>
          </w:tcPr>
          <w:p>
            <w:pPr>
              <w:spacing w:after="0" w:line="193"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No. 001-38537) and incorporated herein by reference)</w:t>
              </w:r>
            </w:hyperlink>
          </w:p>
        </w:tc>
        <w:tc>
          <w:tcPr>
            <w:tcW w:w="5960" w:type="dxa"/>
            <w:vAlign w:val="bottom"/>
            <w:gridSpan w:val="2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22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660" w:type="dxa"/>
            <w:vAlign w:val="bottom"/>
            <w:tcBorders>
              <w:bottom w:val="single" w:sz="8" w:color="0000EE"/>
            </w:tcBorders>
            <w:gridSpan w:val="23"/>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Form of Specimen Common Stock Certificate (filed as Exhibit 4.1 to the Registrant’s Second Amendment to the Registration Statement</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rPr>
            </w:pPr>
            <w:hyperlink r:id="rId174">
              <w:r>
                <w:rPr>
                  <w:rFonts w:ascii="Arial" w:cs="Arial" w:eastAsia="Arial" w:hAnsi="Arial"/>
                  <w:sz w:val="18"/>
                  <w:szCs w:val="18"/>
                  <w:color w:val="0000EE"/>
                </w:rPr>
                <w:t>on Form S-1 filed on June 11, 2018 (File No. 333-225213) and incorporated herein by reference)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22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Second Amended and Restated Investors’ Rights Agreement among the Registrant and certain of its stockholders, dated January 9,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60" w:type="dxa"/>
            <w:vAlign w:val="bottom"/>
            <w:tcBorders>
              <w:top w:val="single" w:sz="8" w:color="0000EE"/>
            </w:tcBorders>
            <w:gridSpan w:val="23"/>
          </w:tcPr>
          <w:p>
            <w:pPr>
              <w:spacing w:after="0" w:line="193" w:lineRule="exact"/>
              <w:rPr>
                <w:rFonts w:ascii="Arial" w:cs="Arial" w:eastAsia="Arial" w:hAnsi="Arial"/>
                <w:sz w:val="18"/>
                <w:szCs w:val="18"/>
                <w:color w:val="0000EE"/>
                <w:w w:val="97"/>
              </w:rPr>
            </w:pPr>
            <w:hyperlink r:id="rId175">
              <w:r>
                <w:rPr>
                  <w:rFonts w:ascii="Arial" w:cs="Arial" w:eastAsia="Arial" w:hAnsi="Arial"/>
                  <w:sz w:val="18"/>
                  <w:szCs w:val="18"/>
                  <w:color w:val="0000EE"/>
                  <w:w w:val="97"/>
                </w:rPr>
                <w:t>(filed as Exhibit 4.2 to the Registrant’s Registration Statement on Form S-1 filed on May 25, 2018 (File No. 333-225213) and</w:t>
              </w:r>
            </w:hyperlink>
          </w:p>
        </w:tc>
        <w:tc>
          <w:tcPr>
            <w:tcW w:w="14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40" w:type="dxa"/>
            <w:vAlign w:val="bottom"/>
            <w:tcBorders>
              <w:top w:val="single" w:sz="8" w:color="0000EE"/>
            </w:tcBorders>
            <w:gridSpan w:val="9"/>
          </w:tcPr>
          <w:p>
            <w:pPr>
              <w:spacing w:after="0" w:line="193" w:lineRule="exact"/>
              <w:rPr>
                <w:rFonts w:ascii="Arial" w:cs="Arial" w:eastAsia="Arial" w:hAnsi="Arial"/>
                <w:sz w:val="18"/>
                <w:szCs w:val="18"/>
                <w:color w:val="0000EE"/>
              </w:rPr>
            </w:pPr>
            <w:hyperlink r:id="rId175">
              <w:r>
                <w:rPr>
                  <w:rFonts w:ascii="Arial" w:cs="Arial" w:eastAsia="Arial" w:hAnsi="Arial"/>
                  <w:sz w:val="18"/>
                  <w:szCs w:val="18"/>
                  <w:color w:val="0000EE"/>
                </w:rPr>
                <w:t>incorporated herein by reference)</w:t>
              </w:r>
            </w:hyperlink>
          </w:p>
        </w:tc>
        <w:tc>
          <w:tcPr>
            <w:tcW w:w="860" w:type="dxa"/>
            <w:vAlign w:val="bottom"/>
            <w:gridSpan w:val="1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22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Description of Securities Registered Pursuant to Section 12 of the Securities Exchange Act of 1934,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w w:val="88"/>
              </w:rPr>
            </w:pPr>
            <w:hyperlink r:id="rId176">
              <w:r>
                <w:rPr>
                  <w:rFonts w:ascii="Arial" w:cs="Arial" w:eastAsia="Arial" w:hAnsi="Arial"/>
                  <w:sz w:val="18"/>
                  <w:szCs w:val="18"/>
                  <w:color w:val="0000EE"/>
                  <w:w w:val="88"/>
                </w:rPr>
                <w:t>2015 Amended and Restated Stock Option and Grant Plan, as amended, and forms of award agreements thereunder (filed as Exhibit 10.1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700" w:type="dxa"/>
            <w:vAlign w:val="bottom"/>
            <w:tcBorders>
              <w:top w:val="single" w:sz="8" w:color="0000EE"/>
            </w:tcBorders>
            <w:gridSpan w:val="25"/>
          </w:tcPr>
          <w:p>
            <w:pPr>
              <w:spacing w:after="0" w:line="193" w:lineRule="exact"/>
              <w:rPr>
                <w:rFonts w:ascii="Arial" w:cs="Arial" w:eastAsia="Arial" w:hAnsi="Arial"/>
                <w:sz w:val="18"/>
                <w:szCs w:val="18"/>
                <w:color w:val="0000EE"/>
                <w:w w:val="95"/>
              </w:rPr>
            </w:pPr>
            <w:hyperlink r:id="rId176">
              <w:r>
                <w:rPr>
                  <w:rFonts w:ascii="Arial" w:cs="Arial" w:eastAsia="Arial" w:hAnsi="Arial"/>
                  <w:sz w:val="18"/>
                  <w:szCs w:val="18"/>
                  <w:color w:val="0000EE"/>
                  <w:w w:val="95"/>
                </w:rPr>
                <w:t>to the Registrant’s Registration Statement on Form S-1 filed on May 25, 2018 (File No. 333-225213) and incorporated herein by</w:t>
              </w:r>
            </w:hyperlink>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5"/>
              </w:rPr>
            </w:pPr>
            <w:hyperlink r:id="rId176">
              <w:r>
                <w:rPr>
                  <w:rFonts w:ascii="Arial" w:cs="Arial" w:eastAsia="Arial" w:hAnsi="Arial"/>
                  <w:sz w:val="18"/>
                  <w:szCs w:val="18"/>
                  <w:color w:val="0000EE"/>
                  <w:w w:val="85"/>
                </w:rPr>
                <w:t>reference)</w:t>
              </w:r>
            </w:hyperlink>
          </w:p>
        </w:tc>
        <w:tc>
          <w:tcPr>
            <w:tcW w:w="8380" w:type="dxa"/>
            <w:vAlign w:val="bottom"/>
            <w:tcBorders>
              <w:top w:val="single" w:sz="8" w:color="0000EE"/>
            </w:tcBorders>
            <w:gridSpan w:val="10"/>
          </w:tcPr>
          <w:p>
            <w:pPr>
              <w:spacing w:after="0"/>
              <w:rPr>
                <w:sz w:val="16"/>
                <w:szCs w:val="16"/>
                <w:color w:val="auto"/>
              </w:rPr>
            </w:pPr>
          </w:p>
        </w:tc>
        <w:tc>
          <w:tcPr>
            <w:tcW w:w="700" w:type="dxa"/>
            <w:vAlign w:val="bottom"/>
            <w:gridSpan w:val="1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220" w:type="dxa"/>
            <w:vAlign w:val="bottom"/>
            <w:tcBorders>
              <w:bottom w:val="single" w:sz="8" w:color="0000EE"/>
            </w:tcBorders>
            <w:gridSpan w:val="14"/>
          </w:tcPr>
          <w:p>
            <w:pPr>
              <w:spacing w:after="0"/>
              <w:rPr>
                <w:rFonts w:ascii="Arial" w:cs="Arial" w:eastAsia="Arial" w:hAnsi="Arial"/>
                <w:sz w:val="18"/>
                <w:szCs w:val="18"/>
                <w:color w:val="0000EE"/>
                <w:w w:val="88"/>
              </w:rPr>
            </w:pPr>
            <w:hyperlink r:id="rId177">
              <w:r>
                <w:rPr>
                  <w:rFonts w:ascii="Arial" w:cs="Arial" w:eastAsia="Arial" w:hAnsi="Arial"/>
                  <w:sz w:val="18"/>
                  <w:szCs w:val="18"/>
                  <w:color w:val="0000EE"/>
                  <w:w w:val="88"/>
                </w:rPr>
                <w:t>2018 Stock Option and Incentive Plan and forms of award agreements thereunder (filed as Exhibit 10.2 to the Registrant’s Second</w:t>
              </w:r>
            </w:hyperlink>
          </w:p>
        </w:tc>
        <w:tc>
          <w:tcPr>
            <w:tcW w:w="5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w w:val="95"/>
              </w:rPr>
            </w:pPr>
            <w:hyperlink r:id="rId177">
              <w:r>
                <w:rPr>
                  <w:rFonts w:ascii="Arial" w:cs="Arial" w:eastAsia="Arial" w:hAnsi="Arial"/>
                  <w:sz w:val="18"/>
                  <w:szCs w:val="18"/>
                  <w:color w:val="0000EE"/>
                  <w:w w:val="95"/>
                </w:rPr>
                <w:t>Amendment to the Registration Statement on Form S-1 filed on June 11, 2018 (File No. 333-225213) and incorporated herein by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5"/>
              </w:rPr>
            </w:pPr>
            <w:hyperlink r:id="rId177">
              <w:r>
                <w:rPr>
                  <w:rFonts w:ascii="Arial" w:cs="Arial" w:eastAsia="Arial" w:hAnsi="Arial"/>
                  <w:sz w:val="18"/>
                  <w:szCs w:val="18"/>
                  <w:color w:val="0000EE"/>
                  <w:w w:val="85"/>
                </w:rPr>
                <w:t>reference)</w:t>
              </w:r>
            </w:hyperlink>
          </w:p>
        </w:tc>
        <w:tc>
          <w:tcPr>
            <w:tcW w:w="8440" w:type="dxa"/>
            <w:vAlign w:val="bottom"/>
            <w:tcBorders>
              <w:top w:val="single" w:sz="8" w:color="0000EE"/>
            </w:tcBorders>
            <w:gridSpan w:val="12"/>
          </w:tcPr>
          <w:p>
            <w:pPr>
              <w:spacing w:after="0"/>
              <w:rPr>
                <w:sz w:val="16"/>
                <w:szCs w:val="16"/>
                <w:color w:val="auto"/>
              </w:rPr>
            </w:pPr>
          </w:p>
        </w:tc>
        <w:tc>
          <w:tcPr>
            <w:tcW w:w="640" w:type="dxa"/>
            <w:vAlign w:val="bottom"/>
            <w:gridSpan w:val="1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Senior Executive Cash Incentive Bonus Plan (filed as Exhibit 10.3 to the Registrant’s Second Amendment to the Registration Statement</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rPr>
            </w:pPr>
            <w:hyperlink r:id="rId178">
              <w:r>
                <w:rPr>
                  <w:rFonts w:ascii="Arial" w:cs="Arial" w:eastAsia="Arial" w:hAnsi="Arial"/>
                  <w:sz w:val="18"/>
                  <w:szCs w:val="18"/>
                  <w:color w:val="0000EE"/>
                </w:rPr>
                <w:t>on Form S-1 filed on June 11, 2018 (File No. 333-225213) and incorporated herein by reference)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Form of Indemnification Agreement (filed as Exhibit 10.4 to the Registrant’s Second Amendment to the Registration Statement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2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S-1 filed on June 11, 2018 (File No. 333-225213) and incorporated herein by reference)</w:t>
              </w:r>
            </w:hyperlink>
          </w:p>
        </w:tc>
        <w:tc>
          <w:tcPr>
            <w:tcW w:w="3460" w:type="dxa"/>
            <w:vAlign w:val="bottom"/>
            <w:tcBorders>
              <w:top w:val="single" w:sz="8" w:color="0000EE"/>
            </w:tcBorders>
            <w:gridSpan w:val="19"/>
          </w:tcPr>
          <w:p>
            <w:pPr>
              <w:spacing w:after="0"/>
              <w:rPr>
                <w:sz w:val="16"/>
                <w:szCs w:val="16"/>
                <w:color w:val="auto"/>
              </w:rPr>
            </w:pPr>
          </w:p>
        </w:tc>
        <w:tc>
          <w:tcPr>
            <w:tcW w:w="1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10.5†</w:t>
            </w:r>
          </w:p>
        </w:tc>
        <w:tc>
          <w:tcPr>
            <w:tcW w:w="9800" w:type="dxa"/>
            <w:vAlign w:val="bottom"/>
            <w:gridSpan w:val="28"/>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Exclusive License Agreement, by and between the Registrant and University Health Network, dated November 4, 2016,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680" w:type="dxa"/>
            <w:vAlign w:val="bottom"/>
            <w:gridSpan w:val="7"/>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(filed as Exhibit 10.5 to the Registrant’s First Amendment to the Registration Statement on Form S-1 filed on June 1, 2018 (File No. 333-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88"/>
              </w:rPr>
            </w:pPr>
            <w:hyperlink r:id="rId180">
              <w:r>
                <w:rPr>
                  <w:rFonts w:ascii="Arial" w:cs="Arial" w:eastAsia="Arial" w:hAnsi="Arial"/>
                  <w:sz w:val="18"/>
                  <w:szCs w:val="18"/>
                  <w:color w:val="0000EE"/>
                  <w:w w:val="88"/>
                </w:rPr>
                <w:t>225213) and incorporated herein by reference)</w:t>
              </w:r>
            </w:hyperlink>
          </w:p>
        </w:tc>
        <w:tc>
          <w:tcPr>
            <w:tcW w:w="6480" w:type="dxa"/>
            <w:vAlign w:val="bottom"/>
            <w:tcBorders>
              <w:top w:val="single" w:sz="8" w:color="0000EE"/>
            </w:tcBorders>
            <w:gridSpan w:val="2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10.6†</w:t>
            </w:r>
          </w:p>
        </w:tc>
        <w:tc>
          <w:tcPr>
            <w:tcW w:w="9800" w:type="dxa"/>
            <w:vAlign w:val="bottom"/>
            <w:gridSpan w:val="28"/>
          </w:tcPr>
          <w:p>
            <w:pPr>
              <w:spacing w:after="0"/>
              <w:rPr>
                <w:rFonts w:ascii="Arial" w:cs="Arial" w:eastAsia="Arial" w:hAnsi="Arial"/>
                <w:sz w:val="18"/>
                <w:szCs w:val="18"/>
                <w:color w:val="0000EE"/>
                <w:w w:val="89"/>
              </w:rPr>
            </w:pPr>
            <w:hyperlink r:id="rId181">
              <w:r>
                <w:rPr>
                  <w:rFonts w:ascii="Arial" w:cs="Arial" w:eastAsia="Arial" w:hAnsi="Arial"/>
                  <w:sz w:val="18"/>
                  <w:szCs w:val="18"/>
                  <w:color w:val="0000EE"/>
                  <w:w w:val="89"/>
                </w:rPr>
                <w:t>License Agreement, by and between the Registrant and BioMarin Pharmaceutical Inc., dated August 31, 2017 (filed as Exhibit 10.6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80" w:type="dxa"/>
            <w:vAlign w:val="bottom"/>
            <w:tcBorders>
              <w:top w:val="single" w:sz="8" w:color="0000EE"/>
              <w:bottom w:val="single" w:sz="8" w:color="0000EE"/>
            </w:tcBorders>
            <w:gridSpan w:val="10"/>
          </w:tcPr>
          <w:p>
            <w:pPr>
              <w:spacing w:after="0" w:line="193" w:lineRule="exact"/>
              <w:rPr>
                <w:rFonts w:ascii="Arial" w:cs="Arial" w:eastAsia="Arial" w:hAnsi="Arial"/>
                <w:sz w:val="18"/>
                <w:szCs w:val="18"/>
                <w:color w:val="0000EE"/>
                <w:w w:val="89"/>
              </w:rPr>
            </w:pPr>
            <w:hyperlink r:id="rId181">
              <w:r>
                <w:rPr>
                  <w:rFonts w:ascii="Arial" w:cs="Arial" w:eastAsia="Arial" w:hAnsi="Arial"/>
                  <w:sz w:val="18"/>
                  <w:szCs w:val="18"/>
                  <w:color w:val="0000EE"/>
                  <w:w w:val="89"/>
                </w:rPr>
                <w:t>Registrant’s Second Amendment to the Registration Statement on Form S-1 filed on June 11, 2018 (File No. 333-225213) and</w:t>
              </w:r>
            </w:hyperlink>
          </w:p>
        </w:tc>
        <w:tc>
          <w:tcPr>
            <w:tcW w:w="780" w:type="dxa"/>
            <w:vAlign w:val="bottom"/>
            <w:tcBorders>
              <w:top w:val="single" w:sz="8" w:color="0000EE"/>
            </w:tcBorders>
            <w:gridSpan w:val="16"/>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rPr>
            </w:pPr>
            <w:hyperlink r:id="rId181">
              <w:r>
                <w:rPr>
                  <w:rFonts w:ascii="Arial" w:cs="Arial" w:eastAsia="Arial" w:hAnsi="Arial"/>
                  <w:sz w:val="18"/>
                  <w:szCs w:val="18"/>
                  <w:color w:val="0000EE"/>
                </w:rPr>
                <w:t>incorporated herein by reference)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10.7††</w:t>
            </w:r>
          </w:p>
        </w:tc>
        <w:tc>
          <w:tcPr>
            <w:tcW w:w="94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46">
              <w:r>
                <w:rPr>
                  <w:rFonts w:ascii="Arial" w:cs="Arial" w:eastAsia="Arial" w:hAnsi="Arial"/>
                  <w:sz w:val="18"/>
                  <w:szCs w:val="18"/>
                  <w:color w:val="0000EE"/>
                  <w:w w:val="88"/>
                </w:rPr>
                <w:t>Amendment No. 1 to License Agreement, by and between the Registrant and BioMarin Pharmaceutical Inc., dated February 21, 2018</w:t>
              </w:r>
            </w:hyperlink>
          </w:p>
        </w:tc>
        <w:tc>
          <w:tcPr>
            <w:tcW w:w="3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10.8††</w:t>
            </w:r>
          </w:p>
        </w:tc>
        <w:tc>
          <w:tcPr>
            <w:tcW w:w="92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51">
              <w:r>
                <w:rPr>
                  <w:rFonts w:ascii="Arial" w:cs="Arial" w:eastAsia="Arial" w:hAnsi="Arial"/>
                  <w:sz w:val="18"/>
                  <w:szCs w:val="18"/>
                  <w:color w:val="0000EE"/>
                  <w:w w:val="88"/>
                </w:rPr>
                <w:t>Amendment No. 2 to License Agreement, by and between the Registrant and BioMarin Pharmaceutical Inc., dated January 7, 2020</w:t>
              </w:r>
            </w:hyperlink>
          </w:p>
        </w:tc>
        <w:tc>
          <w:tcPr>
            <w:tcW w:w="5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10.9†</w:t>
            </w:r>
          </w:p>
        </w:tc>
        <w:tc>
          <w:tcPr>
            <w:tcW w:w="9540" w:type="dxa"/>
            <w:vAlign w:val="bottom"/>
            <w:tcBorders>
              <w:bottom w:val="single" w:sz="8" w:color="0000EE"/>
            </w:tcBorders>
            <w:gridSpan w:val="20"/>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Exclusive License Agreement, by and among the Registrant, Stefan Karlsson and Maria Dahl, dated January 30, 2017 (filed as Exhibit</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500" w:type="dxa"/>
            <w:vAlign w:val="bottom"/>
            <w:tcBorders>
              <w:bottom w:val="single" w:sz="8" w:color="0000EE"/>
            </w:tcBorders>
            <w:gridSpan w:val="19"/>
          </w:tcPr>
          <w:p>
            <w:pPr>
              <w:spacing w:after="0" w:line="193"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7</w:t>
              </w:r>
              <w:r>
                <w:rPr>
                  <w:rFonts w:ascii="Arial" w:cs="Arial" w:eastAsia="Arial" w:hAnsi="Arial"/>
                  <w:sz w:val="18"/>
                  <w:szCs w:val="18"/>
                  <w:color w:val="0000EE"/>
                  <w:w w:val="89"/>
                </w:rPr>
                <w:t xml:space="preserve"> to the Registrant’s Registration Statement on Form S-1 filed on May 25, 2018 (File No. 333-225213) and incorporated herein by</w:t>
              </w:r>
            </w:hyperlink>
          </w:p>
        </w:tc>
        <w:tc>
          <w:tcPr>
            <w:tcW w:w="300" w:type="dxa"/>
            <w:vAlign w:val="bottom"/>
            <w:gridSpan w:val="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bottom w:val="single" w:sz="8" w:color="0000EE"/>
            </w:tcBorders>
          </w:tcPr>
          <w:p>
            <w:pPr>
              <w:spacing w:after="0" w:line="193" w:lineRule="exact"/>
              <w:rPr>
                <w:rFonts w:ascii="Arial" w:cs="Arial" w:eastAsia="Arial" w:hAnsi="Arial"/>
                <w:sz w:val="18"/>
                <w:szCs w:val="18"/>
                <w:color w:val="0000EE"/>
                <w:w w:val="85"/>
              </w:rPr>
            </w:pPr>
            <w:hyperlink r:id="rId182">
              <w:r>
                <w:rPr>
                  <w:rFonts w:ascii="Arial" w:cs="Arial" w:eastAsia="Arial" w:hAnsi="Arial"/>
                  <w:sz w:val="18"/>
                  <w:szCs w:val="18"/>
                  <w:color w:val="0000EE"/>
                  <w:w w:val="85"/>
                </w:rPr>
                <w:t>reference)</w:t>
              </w:r>
            </w:hyperlink>
          </w:p>
        </w:tc>
        <w:tc>
          <w:tcPr>
            <w:tcW w:w="9080" w:type="dxa"/>
            <w:vAlign w:val="bottom"/>
            <w:gridSpan w:val="2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9580" w:type="dxa"/>
            <w:vAlign w:val="bottom"/>
            <w:tcBorders>
              <w:bottom w:val="single" w:sz="8" w:color="0000EE"/>
            </w:tcBorders>
            <w:gridSpan w:val="21"/>
          </w:tcPr>
          <w:p>
            <w:pPr>
              <w:spacing w:after="0"/>
              <w:rPr>
                <w:rFonts w:ascii="Arial" w:cs="Arial" w:eastAsia="Arial" w:hAnsi="Arial"/>
                <w:sz w:val="18"/>
                <w:szCs w:val="18"/>
                <w:color w:val="0000EE"/>
                <w:w w:val="88"/>
              </w:rPr>
            </w:pPr>
            <w:hyperlink r:id="rId183">
              <w:r>
                <w:rPr>
                  <w:rFonts w:ascii="Arial" w:cs="Arial" w:eastAsia="Arial" w:hAnsi="Arial"/>
                  <w:sz w:val="18"/>
                  <w:szCs w:val="18"/>
                  <w:color w:val="0000EE"/>
                  <w:w w:val="88"/>
                </w:rPr>
                <w:t>License Agreement, by and between the Registrant and GenStem Therapeutics, Inc., dated October 2, 2017 (filed as Exhibit 10.8 to the</w:t>
              </w:r>
            </w:hyperlink>
          </w:p>
        </w:tc>
        <w:tc>
          <w:tcPr>
            <w:tcW w:w="2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Registrant’s Registration Statement on Form S-1 filed on May 25, 2018 (File No. 333-225213) and incorporated herein by reference)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20" w:type="dxa"/>
            <w:vAlign w:val="bottom"/>
            <w:gridSpan w:val="1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24"/>
                <w:szCs w:val="24"/>
                <w:color w:val="auto"/>
              </w:rPr>
            </w:pPr>
          </w:p>
        </w:tc>
        <w:tc>
          <w:tcPr>
            <w:tcW w:w="9800" w:type="dxa"/>
            <w:vAlign w:val="bottom"/>
            <w:tcBorders>
              <w:bottom w:val="single" w:sz="8" w:color="0000EE"/>
            </w:tcBorders>
            <w:gridSpan w:val="28"/>
          </w:tcPr>
          <w:p>
            <w:pPr>
              <w:spacing w:after="0"/>
              <w:rPr>
                <w:rFonts w:ascii="Arial" w:cs="Arial" w:eastAsia="Arial" w:hAnsi="Arial"/>
                <w:sz w:val="18"/>
                <w:szCs w:val="18"/>
                <w:color w:val="0000EE"/>
                <w:w w:val="88"/>
              </w:rPr>
            </w:pPr>
            <w:hyperlink r:id="rId184">
              <w:r>
                <w:rPr>
                  <w:rFonts w:ascii="Arial" w:cs="Arial" w:eastAsia="Arial" w:hAnsi="Arial"/>
                  <w:sz w:val="18"/>
                  <w:szCs w:val="18"/>
                  <w:color w:val="0000EE"/>
                  <w:w w:val="88"/>
                </w:rPr>
                <w:t>Amended and Restated Employment Agreement, by and between the Registrant and Geoff MacKay, effective as of June 25, 2018 (filed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gridSpan w:val="28"/>
          </w:tcPr>
          <w:p>
            <w:pPr>
              <w:spacing w:after="0" w:line="193"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Exhibit 10.9 to the Registrant’s Second Amendment to the Registration Statement on Form S-1 filed on June 11, 2018 (File No. 333-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225213) and incorporated herein by reference)</w:t>
              </w:r>
            </w:hyperlink>
          </w:p>
        </w:tc>
        <w:tc>
          <w:tcPr>
            <w:tcW w:w="6160" w:type="dxa"/>
            <w:vAlign w:val="bottom"/>
            <w:tcBorders>
              <w:top w:val="single" w:sz="8" w:color="0000EE"/>
            </w:tcBorders>
            <w:gridSpan w:val="14"/>
          </w:tcPr>
          <w:p>
            <w:pPr>
              <w:spacing w:after="0"/>
              <w:rPr>
                <w:sz w:val="16"/>
                <w:szCs w:val="16"/>
                <w:color w:val="auto"/>
              </w:rPr>
            </w:pPr>
          </w:p>
        </w:tc>
        <w:tc>
          <w:tcPr>
            <w:tcW w:w="3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w w:val="94"/>
              </w:rPr>
            </w:pPr>
            <w:hyperlink r:id="rId185">
              <w:r>
                <w:rPr>
                  <w:rFonts w:ascii="Arial" w:cs="Arial" w:eastAsia="Arial" w:hAnsi="Arial"/>
                  <w:sz w:val="18"/>
                  <w:szCs w:val="18"/>
                  <w:color w:val="0000EE"/>
                  <w:w w:val="94"/>
                </w:rPr>
                <w:t>Employment Agreement, by and between the Registrant and Erik Ostrowski, dated December 17, 2018 (filed as Exhibit 10.1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80" w:type="dxa"/>
            <w:vAlign w:val="bottom"/>
            <w:tcBorders>
              <w:top w:val="single" w:sz="8" w:color="0000EE"/>
            </w:tcBorders>
            <w:gridSpan w:val="15"/>
          </w:tcPr>
          <w:p>
            <w:pPr>
              <w:spacing w:after="0" w:line="193"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Registrant’s Current Report on Form 8-K filed on December 21, 2018 (File No. 001-38537) and incorporated herein by reference)</w:t>
              </w:r>
            </w:hyperlink>
          </w:p>
        </w:tc>
        <w:tc>
          <w:tcPr>
            <w:tcW w:w="52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tcBorders>
              <w:top w:val="single" w:sz="8" w:color="0000EE"/>
            </w:tcBorders>
            <w:gridSpan w:val="5"/>
          </w:tcPr>
          <w:p>
            <w:pPr>
              <w:ind w:left="4060"/>
              <w:spacing w:after="0"/>
              <w:rPr>
                <w:sz w:val="20"/>
                <w:szCs w:val="20"/>
                <w:color w:val="auto"/>
              </w:rPr>
            </w:pPr>
            <w:r>
              <w:rPr>
                <w:rFonts w:ascii="Arial" w:cs="Arial" w:eastAsia="Arial" w:hAnsi="Arial"/>
                <w:sz w:val="18"/>
                <w:szCs w:val="18"/>
                <w:color w:val="auto"/>
              </w:rPr>
              <w:t>105</w:t>
            </w: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20" w:type="dxa"/>
            <w:vAlign w:val="bottom"/>
            <w:gridSpan w:val="17"/>
            <w:vMerge w:val="restart"/>
          </w:tcPr>
          <w:p>
            <w:pPr>
              <w:ind w:left="10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1060" w:type="dxa"/>
            <w:vAlign w:val="bottom"/>
          </w:tcPr>
          <w:p>
            <w:pPr>
              <w:ind w:left="14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9340" w:type="dxa"/>
            <w:vAlign w:val="bottom"/>
            <w:tcBorders>
              <w:bottom w:val="single" w:sz="8" w:color="0000EE"/>
            </w:tcBorders>
            <w:gridSpan w:val="12"/>
          </w:tcPr>
          <w:p>
            <w:pPr>
              <w:spacing w:after="0"/>
              <w:rPr>
                <w:rFonts w:ascii="Arial" w:cs="Arial" w:eastAsia="Arial" w:hAnsi="Arial"/>
                <w:sz w:val="18"/>
                <w:szCs w:val="18"/>
                <w:color w:val="0000EE"/>
                <w:w w:val="88"/>
              </w:rPr>
            </w:pPr>
            <w:hyperlink r:id="rId188">
              <w:r>
                <w:rPr>
                  <w:rFonts w:ascii="Arial" w:cs="Arial" w:eastAsia="Arial" w:hAnsi="Arial"/>
                  <w:sz w:val="18"/>
                  <w:szCs w:val="18"/>
                  <w:color w:val="0000EE"/>
                  <w:w w:val="88"/>
                </w:rPr>
                <w:t>Employment Agreement, by and between the Registrant and Steven Avruch, dated December 17, 2018 (filed as Exhibit 10.13 to the</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780" w:type="dxa"/>
            <w:vAlign w:val="bottom"/>
            <w:gridSpan w:val="20"/>
          </w:tcPr>
          <w:p>
            <w:pPr>
              <w:spacing w:after="0" w:line="193"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Registrant’s Annual Report on Form 10-K filed on March 25, 2019 (File No. 001-38537) and incorporated herein by reference)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Consulting Agreement, by and between the Registrant and Birgitte Volck, M.D., Ph.D., dated December 17, 2018 (filed as Exhibit 10.14</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60" w:type="dxa"/>
            <w:vAlign w:val="bottom"/>
            <w:tcBorders>
              <w:bottom w:val="single" w:sz="8" w:color="0000EE"/>
            </w:tcBorders>
            <w:gridSpan w:val="15"/>
          </w:tcPr>
          <w:p>
            <w:pPr>
              <w:spacing w:after="0" w:line="193"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to the Registrant’s Annual Report on Form 10-K filed on March 25, 2019 (File No. 001-38537) and incorporated herein by reference)</w:t>
              </w:r>
            </w:hyperlink>
          </w:p>
        </w:tc>
        <w:tc>
          <w:tcPr>
            <w:tcW w:w="3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9360" w:type="dxa"/>
            <w:vAlign w:val="bottom"/>
            <w:tcBorders>
              <w:bottom w:val="single" w:sz="8" w:color="0000EE"/>
            </w:tcBorders>
            <w:gridSpan w:val="13"/>
          </w:tcPr>
          <w:p>
            <w:pPr>
              <w:spacing w:after="0"/>
              <w:rPr>
                <w:rFonts w:ascii="Arial" w:cs="Arial" w:eastAsia="Arial" w:hAnsi="Arial"/>
                <w:sz w:val="18"/>
                <w:szCs w:val="18"/>
                <w:color w:val="0000EE"/>
                <w:w w:val="89"/>
              </w:rPr>
            </w:pPr>
            <w:hyperlink r:id="rId190">
              <w:r>
                <w:rPr>
                  <w:rFonts w:ascii="Arial" w:cs="Arial" w:eastAsia="Arial" w:hAnsi="Arial"/>
                  <w:sz w:val="18"/>
                  <w:szCs w:val="18"/>
                  <w:color w:val="0000EE"/>
                  <w:w w:val="89"/>
                </w:rPr>
                <w:t>Employment Agreement, by and between the Registrant and Birgitte Volck, M.D., Ph.D., dated December 17, 2018 (filed as Exhibit</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40" w:type="dxa"/>
            <w:vAlign w:val="bottom"/>
            <w:tcBorders>
              <w:bottom w:val="single" w:sz="8" w:color="0000EE"/>
            </w:tcBorders>
            <w:gridSpan w:val="11"/>
          </w:tcPr>
          <w:p>
            <w:pPr>
              <w:spacing w:after="0" w:line="193"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w:t>
              </w:r>
              <w:r>
                <w:rPr>
                  <w:rFonts w:ascii="Arial" w:cs="Arial" w:eastAsia="Arial" w:hAnsi="Arial"/>
                  <w:sz w:val="18"/>
                  <w:szCs w:val="18"/>
                  <w:color w:val="0000EE"/>
                  <w:w w:val="90"/>
                </w:rPr>
                <w:t xml:space="preserve"> to the Registrant’s Annual Report on Form 10-K filed on March 25, 2019 (File No. 001-38537) and incorporated herein by</w:t>
              </w:r>
            </w:hyperlink>
          </w:p>
        </w:tc>
        <w:tc>
          <w:tcPr>
            <w:tcW w:w="6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Borders>
              <w:bottom w:val="single" w:sz="8" w:color="0000EE"/>
            </w:tcBorders>
          </w:tcPr>
          <w:p>
            <w:pPr>
              <w:spacing w:after="0" w:line="193" w:lineRule="exact"/>
              <w:rPr>
                <w:rFonts w:ascii="Arial" w:cs="Arial" w:eastAsia="Arial" w:hAnsi="Arial"/>
                <w:sz w:val="18"/>
                <w:szCs w:val="18"/>
                <w:color w:val="0000EE"/>
                <w:w w:val="85"/>
              </w:rPr>
            </w:pPr>
            <w:hyperlink r:id="rId190">
              <w:r>
                <w:rPr>
                  <w:rFonts w:ascii="Arial" w:cs="Arial" w:eastAsia="Arial" w:hAnsi="Arial"/>
                  <w:sz w:val="18"/>
                  <w:szCs w:val="18"/>
                  <w:color w:val="0000EE"/>
                  <w:w w:val="85"/>
                </w:rPr>
                <w:t>reference)</w:t>
              </w:r>
            </w:hyperlink>
          </w:p>
        </w:tc>
        <w:tc>
          <w:tcPr>
            <w:tcW w:w="906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Employment Agreement, by and between the Registrant and Deanna Petersen, dated September 1, 2018</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2018 Employee Stock Purchase Plan (filed as Exhibit 10.14 to the Registrant’s Second Amendment to the Registration Statement on</w:t>
              </w:r>
            </w:hyperlink>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tcBorders>
              <w:top w:val="single" w:sz="8" w:color="0000EE"/>
              <w:bottom w:val="single" w:sz="8" w:color="0000EE"/>
            </w:tcBorders>
            <w:gridSpan w:val="7"/>
          </w:tcPr>
          <w:p>
            <w:pPr>
              <w:spacing w:after="0" w:line="193"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Form S-1 filed on June 11, 2018 (File No. 333-225213) and incorporated herein by reference)</w:t>
              </w:r>
            </w:hyperlink>
          </w:p>
        </w:tc>
        <w:tc>
          <w:tcPr>
            <w:tcW w:w="2720" w:type="dxa"/>
            <w:vAlign w:val="bottom"/>
            <w:tcBorders>
              <w:top w:val="single" w:sz="8" w:color="0000EE"/>
            </w:tcBorders>
            <w:gridSpan w:val="6"/>
          </w:tcPr>
          <w:p>
            <w:pPr>
              <w:spacing w:after="0"/>
              <w:rPr>
                <w:sz w:val="16"/>
                <w:szCs w:val="16"/>
                <w:color w:val="auto"/>
              </w:rPr>
            </w:pPr>
          </w:p>
        </w:tc>
        <w:tc>
          <w:tcPr>
            <w:tcW w:w="4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24"/>
                <w:szCs w:val="24"/>
                <w:color w:val="auto"/>
              </w:rPr>
            </w:pPr>
          </w:p>
        </w:tc>
        <w:tc>
          <w:tcPr>
            <w:tcW w:w="9760" w:type="dxa"/>
            <w:vAlign w:val="bottom"/>
            <w:tcBorders>
              <w:bottom w:val="single" w:sz="8" w:color="0000EE"/>
            </w:tcBorders>
            <w:gridSpan w:val="19"/>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Lease Agreement, dated as of January 12, 2018, by and between the Registrant and ARE-MA Region No. 59, LLC (filed as Exhibit 10.12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40" w:type="dxa"/>
            <w:vAlign w:val="bottom"/>
            <w:tcBorders>
              <w:bottom w:val="single" w:sz="8" w:color="0000EE"/>
            </w:tcBorders>
            <w:gridSpan w:val="11"/>
          </w:tcPr>
          <w:p>
            <w:pPr>
              <w:spacing w:after="0" w:line="193"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to the Registrant’s Registration Statement on Form S-1 filed on May 25, 2018 (File No. 333-225213) and incorporated herein by</w:t>
              </w:r>
            </w:hyperlink>
          </w:p>
        </w:tc>
        <w:tc>
          <w:tcPr>
            <w:tcW w:w="6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Borders>
              <w:bottom w:val="single" w:sz="8" w:color="0000EE"/>
            </w:tcBorders>
          </w:tcPr>
          <w:p>
            <w:pPr>
              <w:spacing w:after="0" w:line="193" w:lineRule="exact"/>
              <w:rPr>
                <w:rFonts w:ascii="Arial" w:cs="Arial" w:eastAsia="Arial" w:hAnsi="Arial"/>
                <w:sz w:val="18"/>
                <w:szCs w:val="18"/>
                <w:color w:val="0000EE"/>
                <w:w w:val="85"/>
              </w:rPr>
            </w:pPr>
            <w:hyperlink r:id="rId192">
              <w:r>
                <w:rPr>
                  <w:rFonts w:ascii="Arial" w:cs="Arial" w:eastAsia="Arial" w:hAnsi="Arial"/>
                  <w:sz w:val="18"/>
                  <w:szCs w:val="18"/>
                  <w:color w:val="0000EE"/>
                  <w:w w:val="85"/>
                </w:rPr>
                <w:t>reference)</w:t>
              </w:r>
            </w:hyperlink>
          </w:p>
        </w:tc>
        <w:tc>
          <w:tcPr>
            <w:tcW w:w="906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2019 Inducement Plan and form of award agreement thereunder (filed as Exhibit 99.1 to the Registrant’s Registration Statement on Form</w:t>
              </w:r>
            </w:hyperlink>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6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S-8 filed on December 20, 2019 (File No. 333-235643) and incorporated herein by reference)</w:t>
              </w:r>
            </w:hyperlink>
          </w:p>
        </w:tc>
        <w:tc>
          <w:tcPr>
            <w:tcW w:w="3040" w:type="dxa"/>
            <w:vAlign w:val="bottom"/>
            <w:tcBorders>
              <w:top w:val="single" w:sz="8" w:color="0000EE"/>
            </w:tcBorders>
            <w:gridSpan w:val="10"/>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9780" w:type="dxa"/>
            <w:vAlign w:val="bottom"/>
            <w:tcBorders>
              <w:bottom w:val="single" w:sz="8" w:color="0000EE"/>
            </w:tcBorders>
            <w:gridSpan w:val="20"/>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Form of Inducement Stock Option Award (filed as Exhibit 99.1 to the Registrant’s Registration Statement on Form S-8 filed on March 25,</w:t>
              </w:r>
            </w:hyperlink>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60" w:type="dxa"/>
            <w:vAlign w:val="bottom"/>
            <w:tcBorders>
              <w:bottom w:val="single" w:sz="8" w:color="0000EE"/>
            </w:tcBorders>
            <w:gridSpan w:val="4"/>
          </w:tcPr>
          <w:p>
            <w:pPr>
              <w:spacing w:after="0" w:line="193"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2019 (File No. 333-230493)) and incorporated herein by reference)</w:t>
              </w:r>
            </w:hyperlink>
          </w:p>
        </w:tc>
        <w:tc>
          <w:tcPr>
            <w:tcW w:w="50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5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69">
              <w:r>
                <w:rPr>
                  <w:rFonts w:ascii="Arial" w:cs="Arial" w:eastAsia="Arial" w:hAnsi="Arial"/>
                  <w:sz w:val="18"/>
                  <w:szCs w:val="18"/>
                  <w:color w:val="0000EE"/>
                  <w:w w:val="89"/>
                </w:rPr>
                <w:t>Consent of Ernst &amp; Young LLP, Independent Registered Public Accounting Firm</w:t>
              </w:r>
            </w:hyperlink>
          </w:p>
        </w:tc>
        <w:tc>
          <w:tcPr>
            <w:tcW w:w="40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Certification of Principal Executive Officer Pursuant to Rules 13a-14(a) and 15d-14(a) under the Securities Exchange Act of 1934, as</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5"/>
          </w:tcPr>
          <w:p>
            <w:pPr>
              <w:spacing w:after="0" w:line="193"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Adopted Pursuant to Section 302 of the Sarbanes-Oxley Act of 2002</w:t>
              </w:r>
            </w:hyperlink>
          </w:p>
        </w:tc>
        <w:tc>
          <w:tcPr>
            <w:tcW w:w="49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Adopted Pursuant to Section 302 of the Sarbanes-Oxley Act of 2002</w:t>
              </w:r>
            </w:hyperlink>
          </w:p>
        </w:tc>
        <w:tc>
          <w:tcPr>
            <w:tcW w:w="4540" w:type="dxa"/>
            <w:vAlign w:val="bottom"/>
            <w:tcBorders>
              <w:top w:val="single" w:sz="8" w:color="0000EE"/>
            </w:tcBorders>
            <w:gridSpan w:val="9"/>
          </w:tcPr>
          <w:p>
            <w:pPr>
              <w:spacing w:after="0"/>
              <w:rPr>
                <w:sz w:val="16"/>
                <w:szCs w:val="16"/>
                <w:color w:val="auto"/>
              </w:rPr>
            </w:pPr>
          </w:p>
        </w:tc>
        <w:tc>
          <w:tcPr>
            <w:tcW w:w="3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60" w:type="dxa"/>
            <w:vAlign w:val="bottom"/>
          </w:tcPr>
          <w:p>
            <w:pPr>
              <w:ind w:left="1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Section 906 of the Sarbanes-Oxley Act of 2002</w:t>
              </w:r>
            </w:hyperlink>
          </w:p>
        </w:tc>
        <w:tc>
          <w:tcPr>
            <w:tcW w:w="6240" w:type="dxa"/>
            <w:vAlign w:val="bottom"/>
            <w:tcBorders>
              <w:top w:val="single" w:sz="8" w:color="0000EE"/>
            </w:tcBorders>
            <w:gridSpan w:val="13"/>
          </w:tcPr>
          <w:p>
            <w:pPr>
              <w:spacing w:after="0"/>
              <w:rPr>
                <w:sz w:val="16"/>
                <w:szCs w:val="16"/>
                <w:color w:val="auto"/>
              </w:rPr>
            </w:pPr>
          </w:p>
        </w:tc>
        <w:tc>
          <w:tcPr>
            <w:tcW w:w="1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060" w:type="dxa"/>
            <w:vAlign w:val="bottom"/>
          </w:tcPr>
          <w:p>
            <w:pPr>
              <w:ind w:left="1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2"/>
        </w:trPr>
        <w:tc>
          <w:tcPr>
            <w:tcW w:w="1060" w:type="dxa"/>
            <w:vAlign w:val="bottom"/>
          </w:tcPr>
          <w:p>
            <w:pPr>
              <w:ind w:left="1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2"/>
        </w:trPr>
        <w:tc>
          <w:tcPr>
            <w:tcW w:w="1060" w:type="dxa"/>
            <w:vAlign w:val="bottom"/>
          </w:tcPr>
          <w:p>
            <w:pPr>
              <w:ind w:left="1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2"/>
        </w:trPr>
        <w:tc>
          <w:tcPr>
            <w:tcW w:w="1060" w:type="dxa"/>
            <w:vAlign w:val="bottom"/>
          </w:tcPr>
          <w:p>
            <w:pPr>
              <w:ind w:left="1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2"/>
        </w:trPr>
        <w:tc>
          <w:tcPr>
            <w:tcW w:w="1060" w:type="dxa"/>
            <w:vAlign w:val="bottom"/>
          </w:tcPr>
          <w:p>
            <w:pPr>
              <w:ind w:left="1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2"/>
        </w:trPr>
        <w:tc>
          <w:tcPr>
            <w:tcW w:w="1060" w:type="dxa"/>
            <w:vAlign w:val="bottom"/>
          </w:tcPr>
          <w:p>
            <w:pPr>
              <w:ind w:left="1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hanging="554"/>
        <w:spacing w:after="0"/>
        <w:tabs>
          <w:tab w:leader="none" w:pos="5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Confidential treatment has been granted for portions of this Exhibit pursuant to Rule 406 promulgated under the Securities Act of 1933, as amended.</w:t>
      </w:r>
    </w:p>
    <w:p>
      <w:pPr>
        <w:spacing w:after="0" w:line="51" w:lineRule="exact"/>
        <w:rPr>
          <w:rFonts w:ascii="Arial" w:cs="Arial" w:eastAsia="Arial" w:hAnsi="Arial"/>
          <w:sz w:val="15"/>
          <w:szCs w:val="15"/>
          <w:color w:val="auto"/>
        </w:rPr>
      </w:pPr>
    </w:p>
    <w:p>
      <w:pPr>
        <w:ind w:left="560" w:right="520" w:hanging="545"/>
        <w:spacing w:after="0" w:line="246" w:lineRule="auto"/>
        <w:rPr>
          <w:rFonts w:ascii="Arial" w:cs="Arial" w:eastAsia="Arial" w:hAnsi="Arial"/>
          <w:sz w:val="15"/>
          <w:szCs w:val="15"/>
          <w:color w:val="auto"/>
        </w:rPr>
      </w:pPr>
      <w:r>
        <w:rPr>
          <w:rFonts w:ascii="Arial" w:cs="Arial" w:eastAsia="Arial" w:hAnsi="Arial"/>
          <w:sz w:val="18"/>
          <w:szCs w:val="18"/>
          <w:color w:val="auto"/>
        </w:rPr>
        <w:t>††Portions of this exhibit have been omitted because they are both (i) not material and (ii) would likely cause competitive harm to the registrant if publicly disclosed.</w:t>
      </w: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Indicates a management contract or any compensatory plan, contract or arrangement.</w:t>
      </w:r>
    </w:p>
    <w:p>
      <w:pPr>
        <w:spacing w:after="0" w:line="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Indicates the exhibit is being furnished, not filed, with this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7" w:name="page138"/>
    <w:bookmarkEnd w:id="137"/>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546"/>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16</w:t>
      </w:r>
      <w:r>
        <w:rPr>
          <w:rFonts w:ascii="Arial" w:cs="Arial" w:eastAsia="Arial" w:hAnsi="Arial"/>
          <w:sz w:val="15"/>
          <w:szCs w:val="15"/>
          <w:color w:val="auto"/>
        </w:rPr>
        <w:t>th</w:t>
      </w:r>
      <w:r>
        <w:rPr>
          <w:rFonts w:ascii="Arial" w:cs="Arial" w:eastAsia="Arial" w:hAnsi="Arial"/>
          <w:sz w:val="18"/>
          <w:szCs w:val="18"/>
          <w:color w:val="auto"/>
        </w:rPr>
        <w:t xml:space="preserve"> day of March, 2020.</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AVROBIO, INC.</w:t>
      </w:r>
    </w:p>
    <w:p>
      <w:pPr>
        <w:spacing w:after="0" w:line="224"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11430</wp:posOffset>
            </wp:positionV>
            <wp:extent cx="32975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Geoff MacKay</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7677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80"/>
          </w:cols>
          <w:pgMar w:left="320" w:top="334" w:right="4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ind w:right="60" w:firstLine="546"/>
        <w:spacing w:after="0" w:line="308" w:lineRule="auto"/>
        <w:rPr>
          <w:sz w:val="20"/>
          <w:szCs w:val="20"/>
          <w:color w:val="auto"/>
        </w:rPr>
      </w:pPr>
      <w:r>
        <w:rPr>
          <w:rFonts w:ascii="Arial" w:cs="Arial" w:eastAsia="Arial" w:hAnsi="Arial"/>
          <w:sz w:val="15"/>
          <w:szCs w:val="15"/>
          <w:b w:val="1"/>
          <w:bCs w:val="1"/>
          <w:color w:val="auto"/>
        </w:rPr>
        <w:t>KNOW ALL PERSONS BY THESE PRESENTS</w:t>
      </w:r>
      <w:r>
        <w:rPr>
          <w:rFonts w:ascii="Arial" w:cs="Arial" w:eastAsia="Arial" w:hAnsi="Arial"/>
          <w:sz w:val="15"/>
          <w:szCs w:val="15"/>
          <w:color w:val="auto"/>
        </w:rPr>
        <w:t>, that each person whose signature appears below constitutes and appoints Geoff MacKay and Erik</w:t>
      </w:r>
      <w:r>
        <w:rPr>
          <w:rFonts w:ascii="Arial" w:cs="Arial" w:eastAsia="Arial" w:hAnsi="Arial"/>
          <w:sz w:val="15"/>
          <w:szCs w:val="15"/>
          <w:b w:val="1"/>
          <w:bCs w:val="1"/>
          <w:color w:val="auto"/>
        </w:rPr>
        <w:t xml:space="preserve"> </w:t>
      </w:r>
      <w:r>
        <w:rPr>
          <w:rFonts w:ascii="Arial" w:cs="Arial" w:eastAsia="Arial" w:hAnsi="Arial"/>
          <w:sz w:val="15"/>
          <w:szCs w:val="15"/>
          <w:color w:val="auto"/>
        </w:rPr>
        <w:t>Ostrowski,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substitutes or substitute, may lawfully do or cause to be done by virtue hereof.</w:t>
      </w:r>
    </w:p>
    <w:p>
      <w:pPr>
        <w:spacing w:after="0" w:line="156" w:lineRule="exact"/>
        <w:rPr>
          <w:sz w:val="20"/>
          <w:szCs w:val="20"/>
          <w:color w:val="auto"/>
        </w:rPr>
      </w:pPr>
    </w:p>
    <w:p>
      <w:pPr>
        <w:ind w:firstLine="546"/>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80" w:type="dxa"/>
            <w:vAlign w:val="bottom"/>
          </w:tcPr>
          <w:p>
            <w:pPr>
              <w:spacing w:after="0"/>
              <w:rPr>
                <w:sz w:val="14"/>
                <w:szCs w:val="14"/>
                <w:color w:val="auto"/>
              </w:rPr>
            </w:pPr>
          </w:p>
        </w:tc>
        <w:tc>
          <w:tcPr>
            <w:tcW w:w="506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0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3"/>
        </w:trPr>
        <w:tc>
          <w:tcPr>
            <w:tcW w:w="3960" w:type="dxa"/>
            <w:vAlign w:val="bottom"/>
          </w:tcPr>
          <w:p>
            <w:pPr>
              <w:jc w:val="center"/>
              <w:spacing w:after="0"/>
              <w:rPr>
                <w:sz w:val="20"/>
                <w:szCs w:val="20"/>
                <w:color w:val="auto"/>
              </w:rPr>
            </w:pPr>
            <w:r>
              <w:rPr>
                <w:rFonts w:ascii="Arial" w:cs="Arial" w:eastAsia="Arial" w:hAnsi="Arial"/>
                <w:sz w:val="18"/>
                <w:szCs w:val="18"/>
                <w:color w:val="auto"/>
                <w:w w:val="92"/>
              </w:rPr>
              <w:t>/s/ Geoff MacKay</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6"/>
        </w:trPr>
        <w:tc>
          <w:tcPr>
            <w:tcW w:w="39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80" w:type="dxa"/>
            <w:vAlign w:val="bottom"/>
            <w:vMerge w:val="continue"/>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960" w:type="dxa"/>
            <w:vAlign w:val="bottom"/>
          </w:tcPr>
          <w:p>
            <w:pPr>
              <w:jc w:val="center"/>
              <w:spacing w:after="0"/>
              <w:rPr>
                <w:sz w:val="20"/>
                <w:szCs w:val="20"/>
                <w:color w:val="auto"/>
              </w:rPr>
            </w:pPr>
            <w:r>
              <w:rPr>
                <w:rFonts w:ascii="Arial" w:cs="Arial" w:eastAsia="Arial" w:hAnsi="Arial"/>
                <w:sz w:val="18"/>
                <w:szCs w:val="18"/>
                <w:color w:val="auto"/>
                <w:w w:val="92"/>
              </w:rPr>
              <w:t>/s/ Erik Ostrowski</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6"/>
        </w:trPr>
        <w:tc>
          <w:tcPr>
            <w:tcW w:w="39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Officer and Principal</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960" w:type="dxa"/>
            <w:vAlign w:val="bottom"/>
          </w:tcPr>
          <w:p>
            <w:pPr>
              <w:jc w:val="center"/>
              <w:spacing w:after="0" w:line="167" w:lineRule="exact"/>
              <w:rPr>
                <w:sz w:val="20"/>
                <w:szCs w:val="20"/>
                <w:color w:val="auto"/>
              </w:rPr>
            </w:pPr>
            <w:r>
              <w:rPr>
                <w:rFonts w:ascii="Arial" w:cs="Arial" w:eastAsia="Arial" w:hAnsi="Arial"/>
                <w:sz w:val="18"/>
                <w:szCs w:val="18"/>
                <w:color w:val="auto"/>
                <w:w w:val="93"/>
              </w:rPr>
              <w:t>Erik Ostrowski</w:t>
            </w:r>
          </w:p>
        </w:tc>
        <w:tc>
          <w:tcPr>
            <w:tcW w:w="80" w:type="dxa"/>
            <w:vAlign w:val="bottom"/>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Accounting Officer)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1"/>
              </w:rPr>
              <w:t>Bruce Booth, D.Phil.</w:t>
            </w:r>
          </w:p>
        </w:tc>
        <w:tc>
          <w:tcPr>
            <w:tcW w:w="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Ian T. Clark</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0"/>
              </w:rPr>
              <w:t>Ian T. Clark</w:t>
            </w:r>
          </w:p>
        </w:tc>
        <w:tc>
          <w:tcPr>
            <w:tcW w:w="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Phillip B. Donenberg</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Annalisa Jenkins</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89"/>
              </w:rPr>
              <w:t>Annalisa Jenkins, M.B.B.S., F.R.C.P</w:t>
            </w:r>
          </w:p>
        </w:tc>
        <w:tc>
          <w:tcPr>
            <w:tcW w:w="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Christopher Paige</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88"/>
              </w:rPr>
              <w:t>Christopher Paige, Ph.D.</w:t>
            </w:r>
          </w:p>
        </w:tc>
        <w:tc>
          <w:tcPr>
            <w:tcW w:w="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Philip J. Vickers</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46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0"/>
              </w:rPr>
              <w:t>Philip J. Vickers, Ph.D.</w:t>
            </w:r>
          </w:p>
        </w:tc>
        <w:tc>
          <w:tcPr>
            <w:tcW w:w="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5"/>
        </w:trPr>
        <w:tc>
          <w:tcPr>
            <w:tcW w:w="3960" w:type="dxa"/>
            <w:vAlign w:val="bottom"/>
          </w:tcPr>
          <w:p>
            <w:pPr>
              <w:spacing w:after="0"/>
              <w:rPr>
                <w:sz w:val="24"/>
                <w:szCs w:val="24"/>
                <w:color w:val="auto"/>
              </w:rPr>
            </w:pPr>
          </w:p>
        </w:tc>
        <w:tc>
          <w:tcPr>
            <w:tcW w:w="5140" w:type="dxa"/>
            <w:vAlign w:val="bottom"/>
            <w:gridSpan w:val="2"/>
          </w:tcPr>
          <w:p>
            <w:pPr>
              <w:jc w:val="right"/>
              <w:ind w:right="325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9"/>
          <w:szCs w:val="19"/>
          <w:b w:val="1"/>
          <w:bCs w:val="1"/>
          <w:color w:val="auto"/>
        </w:rPr>
        <w:t>Exhibit 4.3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Description of the Registrant’s Securities Registered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Section 12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AVROBIO,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w:t>
      </w:r>
      <w:r>
        <w:rPr>
          <w:rFonts w:ascii="Arial" w:cs="Arial" w:eastAsia="Arial" w:hAnsi="Arial"/>
          <w:sz w:val="17"/>
          <w:szCs w:val="17"/>
          <w:u w:val="single" w:color="auto"/>
          <w:color w:val="auto"/>
        </w:rPr>
        <w:t>we</w:t>
      </w:r>
      <w:r>
        <w:rPr>
          <w:rFonts w:ascii="Arial" w:cs="Arial" w:eastAsia="Arial" w:hAnsi="Arial"/>
          <w:sz w:val="17"/>
          <w:szCs w:val="17"/>
          <w:color w:val="auto"/>
        </w:rPr>
        <w:t>,” or “</w:t>
      </w:r>
      <w:r>
        <w:rPr>
          <w:rFonts w:ascii="Arial" w:cs="Arial" w:eastAsia="Arial" w:hAnsi="Arial"/>
          <w:sz w:val="17"/>
          <w:szCs w:val="17"/>
          <w:u w:val="single" w:color="auto"/>
          <w:color w:val="auto"/>
        </w:rPr>
        <w:t>our</w:t>
      </w:r>
      <w:r>
        <w:rPr>
          <w:rFonts w:ascii="Arial" w:cs="Arial" w:eastAsia="Arial" w:hAnsi="Arial"/>
          <w:sz w:val="17"/>
          <w:szCs w:val="17"/>
          <w:color w:val="auto"/>
        </w:rPr>
        <w:t>”), is registered under Section 12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The following description of the Common Stock sets forth certain general terms and provisions of the Common Stock. These descriptions are in all respects subject to and qualified in their entirety by, and should be read in conjunction with, the applicable provisions of the Fourth Amended and Restated Certificate of Incorporation of the Company (the “</w:t>
      </w:r>
      <w:r>
        <w:rPr>
          <w:rFonts w:ascii="Arial" w:cs="Arial" w:eastAsia="Arial" w:hAnsi="Arial"/>
          <w:sz w:val="17"/>
          <w:szCs w:val="17"/>
          <w:u w:val="single" w:color="auto"/>
          <w:color w:val="auto"/>
        </w:rPr>
        <w:t>Charter</w:t>
      </w:r>
      <w:r>
        <w:rPr>
          <w:rFonts w:ascii="Arial" w:cs="Arial" w:eastAsia="Arial" w:hAnsi="Arial"/>
          <w:sz w:val="17"/>
          <w:szCs w:val="17"/>
          <w:color w:val="auto"/>
        </w:rPr>
        <w:t>”) and the Amended and Restated By-laws of the Company (the “</w:t>
      </w:r>
      <w:r>
        <w:rPr>
          <w:rFonts w:ascii="Arial" w:cs="Arial" w:eastAsia="Arial" w:hAnsi="Arial"/>
          <w:sz w:val="17"/>
          <w:szCs w:val="17"/>
          <w:u w:val="single" w:color="auto"/>
          <w:color w:val="auto"/>
        </w:rPr>
        <w:t>Bylaws</w:t>
      </w:r>
      <w:r>
        <w:rPr>
          <w:rFonts w:ascii="Arial" w:cs="Arial" w:eastAsia="Arial" w:hAnsi="Arial"/>
          <w:sz w:val="17"/>
          <w:szCs w:val="17"/>
          <w:color w:val="auto"/>
        </w:rPr>
        <w:t>”) (each of which is incorporated herein by reference and copies of which are incorporated by reference as exhibits to our most recent Annual Report on Form 10-K filed with the Securities and Exchange Commission) and the applicable provisions of the Delaware General Corporation Law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Capital Stock</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authorized capital stock consists of 150,000,000 shares of Common Stock and 10,000,000 shares of preferred stock, par value $0.0001 per share (“</w:t>
      </w:r>
      <w:r>
        <w:rPr>
          <w:rFonts w:ascii="Arial" w:cs="Arial" w:eastAsia="Arial" w:hAnsi="Arial"/>
          <w:sz w:val="19"/>
          <w:szCs w:val="19"/>
          <w:u w:val="single" w:color="auto"/>
          <w:color w:val="auto"/>
        </w:rPr>
        <w:t>Preferred Stock</w:t>
      </w:r>
      <w:r>
        <w:rPr>
          <w:rFonts w:ascii="Arial" w:cs="Arial" w:eastAsia="Arial" w:hAnsi="Arial"/>
          <w:sz w:val="19"/>
          <w:szCs w:val="19"/>
          <w:color w:val="auto"/>
        </w:rPr>
        <w:t>”), all of which shares of Preferred Stock are undesignated.</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Dividends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Holders of our Common Stock are entitled to receive ratably any dividends declared by our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out of funds legally available for that purpose, subject to any preferential dividend rights of any outstanding Preferred Stock.</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Voting</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Holders of our Common Stock are entitled to one vote for each share held on all matters submitted to a vote of the stockholders. The holders of our Common Stock do not have any cumulative voting rights.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Distributions on Liquidation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Rights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has no preemptive rights, conversion rights or other subscription rights or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137795</wp:posOffset>
            </wp:positionV>
            <wp:extent cx="717677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0" w:name="page141"/>
    <w:bookmarkEnd w:id="140"/>
    <w:p>
      <w:pPr>
        <w:spacing w:after="0"/>
        <w:rPr>
          <w:sz w:val="20"/>
          <w:szCs w:val="20"/>
          <w:color w:val="auto"/>
        </w:rPr>
      </w:pPr>
      <w:r>
        <w:rPr>
          <w:rFonts w:ascii="Arial" w:cs="Arial" w:eastAsia="Arial" w:hAnsi="Arial"/>
          <w:sz w:val="19"/>
          <w:szCs w:val="19"/>
          <w:b w:val="1"/>
          <w:bCs w:val="1"/>
          <w:color w:val="auto"/>
        </w:rPr>
        <w:t>Registration Rights</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Certain holders of our Common Stock are entitled to rights with respect to the registration of these securities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These rights are provided under the terms of an investors’ rights agreement (the “</w:t>
      </w:r>
      <w:r>
        <w:rPr>
          <w:rFonts w:ascii="Arial" w:cs="Arial" w:eastAsia="Arial" w:hAnsi="Arial"/>
          <w:sz w:val="17"/>
          <w:szCs w:val="17"/>
          <w:u w:val="single" w:color="auto"/>
          <w:color w:val="auto"/>
        </w:rPr>
        <w:t>Investors’ 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us and holders of our Preferred Stock, which was subsequently converted into Common Stock in connection with our initial public offering in June 2018 (the “</w:t>
      </w:r>
      <w:r>
        <w:rPr>
          <w:rFonts w:ascii="Arial" w:cs="Arial" w:eastAsia="Arial" w:hAnsi="Arial"/>
          <w:sz w:val="17"/>
          <w:szCs w:val="17"/>
          <w:u w:val="single" w:color="auto"/>
          <w:color w:val="auto"/>
        </w:rPr>
        <w:t>IPO</w:t>
      </w:r>
      <w:r>
        <w:rPr>
          <w:rFonts w:ascii="Arial" w:cs="Arial" w:eastAsia="Arial" w:hAnsi="Arial"/>
          <w:sz w:val="17"/>
          <w:szCs w:val="17"/>
          <w:color w:val="auto"/>
        </w:rPr>
        <w:t>”).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Demand Registration Rights</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holders of 5,567,289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Short-Form Registration Rights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Piggyback Registration Rights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Indemnification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Expiration of Registration Rights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60" w:hanging="254"/>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deemed liquidation event, as defined in the Investors’ Rights Agreement, (ii) the fifth anniversary of the completion of our IPO and</w:t>
      </w:r>
    </w:p>
    <w:p>
      <w:pPr>
        <w:spacing w:after="0" w:line="18" w:lineRule="exact"/>
        <w:rPr>
          <w:rFonts w:ascii="Arial" w:cs="Arial" w:eastAsia="Arial" w:hAnsi="Arial"/>
          <w:sz w:val="18"/>
          <w:szCs w:val="18"/>
          <w:color w:val="auto"/>
        </w:rPr>
      </w:pPr>
    </w:p>
    <w:p>
      <w:pPr>
        <w:ind w:left="340" w:hanging="334"/>
        <w:spacing w:after="0"/>
        <w:tabs>
          <w:tab w:leader="none" w:pos="3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when the holders’ shares may be sold without restriction pursuant to Rule 144 of the Securities Act within a three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717677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b w:val="1"/>
          <w:bCs w:val="1"/>
          <w:color w:val="auto"/>
        </w:rPr>
        <w:t>Anti-Takeover Effects of our Charter and Bylaws and Delaware Law</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Charter and Bylaws include a number of provisions that may have the effect of delaying, deferring or preventing another party from acquiring control of us and encouraging persons considering unsolicited tender offers or other unilateral takeover proposals to negotiate with our Board rather than pursue non-negotiated takeover attempts. These provisions include the items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Board Composition and Filling Vacancies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Charter provides for the division of our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 Written Consent of Stockholders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Meetings of Stockholders</w:t>
      </w:r>
    </w:p>
    <w:p>
      <w:pPr>
        <w:spacing w:after="0" w:line="22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Our Charter and Bylaws provide that only a majority of the members of our Board then in office may call special meetings of stockholders and only those matters set forth in the notice of the special meeting may be considered or acted upon at a special meeting of stockholders. Our Bylaws limits the business that may be conducted at an annual meeting of stockholders to those matters properly brought before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Advance Notice Requirements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Bylaws establishes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102870</wp:posOffset>
            </wp:positionV>
            <wp:extent cx="717677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i w:val="1"/>
          <w:iCs w:val="1"/>
          <w:color w:val="auto"/>
        </w:rPr>
        <w:t>Amendments to the Charter and Bylaws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Any amendment of our Charter must first be approved by a majority of our Board,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Charter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Undesignated Preferred Stock</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Charter provides for 10,000,000 authorized shares of Preferred Stock. The existence of authorized but unissued shares of Preferred Stock may enable our Board to discourage an attempt to obtain control of us by means of a merger, tender offer, proxy contest or otherwise. For example, if in the due exercise of its fiduciary obligations, our Board were to determine that a takeover proposal is not in the best interests of our stockholders, our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Choice of Forum</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Bylaws provides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or our Charter or Bylaws; or (4) any action asserting a claim governed by the internal affairs doctrine (the “</w:t>
      </w:r>
      <w:r>
        <w:rPr>
          <w:rFonts w:ascii="Arial" w:cs="Arial" w:eastAsia="Arial" w:hAnsi="Arial"/>
          <w:sz w:val="18"/>
          <w:szCs w:val="18"/>
          <w:u w:val="single" w:color="auto"/>
          <w:color w:val="auto"/>
        </w:rPr>
        <w:t>Delaware Forum Provision</w:t>
      </w:r>
      <w:r>
        <w:rPr>
          <w:rFonts w:ascii="Arial" w:cs="Arial" w:eastAsia="Arial" w:hAnsi="Arial"/>
          <w:sz w:val="18"/>
          <w:szCs w:val="18"/>
          <w:color w:val="auto"/>
        </w:rPr>
        <w:t>”). The Delaware Forum Provision will not apply to any causes of action arising under the Securities Act of 1933 or the Securities Exchange Act of 1934. Our Bylaws also provide that any person or entity purchasing or otherwise acquiring any interest in shares of our capital stock will be deemed to have notice of and to have consented to this choice of forum provision.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addition, our Bylaws contains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(the “</w:t>
      </w:r>
      <w:r>
        <w:rPr>
          <w:rFonts w:ascii="Arial" w:cs="Arial" w:eastAsia="Arial" w:hAnsi="Arial"/>
          <w:sz w:val="19"/>
          <w:szCs w:val="19"/>
          <w:u w:val="single" w:color="auto"/>
          <w:color w:val="auto"/>
        </w:rPr>
        <w:t>Federal Forum Provision</w:t>
      </w:r>
      <w:r>
        <w:rPr>
          <w:rFonts w:ascii="Arial" w:cs="Arial" w:eastAsia="Arial" w:hAnsi="Arial"/>
          <w:sz w:val="19"/>
          <w:szCs w:val="19"/>
          <w:color w:val="auto"/>
        </w:rPr>
        <w:t>”). If any action the subject matter of which is within the scope of the preceding sentence is filed in a court other than the United States District Court for the District of Massachusetts, the plaintiff or plaintiffs shall be deemed by this provision of our Bylaws (i) to have consented to removal of the action by us to the United States District Court for the District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112395</wp:posOffset>
            </wp:positionV>
            <wp:extent cx="717677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43" w:name="page144"/>
    <w:bookmarkEnd w:id="143"/>
    <w:p>
      <w:pPr>
        <w:jc w:val="both"/>
        <w:spacing w:after="0" w:line="282" w:lineRule="auto"/>
        <w:rPr>
          <w:sz w:val="20"/>
          <w:szCs w:val="20"/>
          <w:color w:val="auto"/>
        </w:rPr>
      </w:pPr>
      <w:r>
        <w:rPr>
          <w:rFonts w:ascii="Arial" w:cs="Arial" w:eastAsia="Arial" w:hAnsi="Arial"/>
          <w:sz w:val="17"/>
          <w:szCs w:val="17"/>
          <w:color w:val="auto"/>
        </w:rPr>
        <w:t>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Bylaws to remove our Federal Forum Provision. As a result of the Court of Chancery’s decision or a decision by the Supreme Court of Delaware affirming the Court of Chancery’s decision, we may incur additional costs associated with our Federal Forum Provision, which could have an adverse effect on our business, financial condition and results of operations.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or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Section 203 of the DGCL</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60" w:lineRule="exact"/>
        <w:rPr>
          <w:sz w:val="20"/>
          <w:szCs w:val="20"/>
          <w:color w:val="auto"/>
        </w:rPr>
      </w:pPr>
    </w:p>
    <w:p>
      <w:pPr>
        <w:ind w:left="1000" w:hanging="436"/>
        <w:spacing w:after="0" w:line="279" w:lineRule="auto"/>
        <w:tabs>
          <w:tab w:leader="none" w:pos="10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before the stockholder became interested, our Board approved either the business combination or the transaction which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717677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44" w:name="page145"/>
    <w:bookmarkEnd w:id="144"/>
    <w:p>
      <w:pPr>
        <w:jc w:val="both"/>
        <w:ind w:left="1000" w:hanging="436"/>
        <w:spacing w:after="0" w:line="258" w:lineRule="auto"/>
        <w:tabs>
          <w:tab w:leader="none" w:pos="10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w:t>
      </w:r>
    </w:p>
    <w:p>
      <w:pPr>
        <w:spacing w:after="0" w:line="176" w:lineRule="exact"/>
        <w:rPr>
          <w:rFonts w:ascii="Arial" w:cs="Arial" w:eastAsia="Arial" w:hAnsi="Arial"/>
          <w:sz w:val="19"/>
          <w:szCs w:val="19"/>
          <w:color w:val="auto"/>
        </w:rPr>
      </w:pPr>
    </w:p>
    <w:p>
      <w:pPr>
        <w:ind w:left="1000"/>
        <w:spacing w:after="0"/>
        <w:rPr>
          <w:rFonts w:ascii="Arial" w:cs="Arial" w:eastAsia="Arial" w:hAnsi="Arial"/>
          <w:sz w:val="19"/>
          <w:szCs w:val="19"/>
          <w:color w:val="auto"/>
        </w:rPr>
      </w:pPr>
      <w:r>
        <w:rPr>
          <w:rFonts w:ascii="Arial" w:cs="Arial" w:eastAsia="Arial" w:hAnsi="Arial"/>
          <w:sz w:val="19"/>
          <w:szCs w:val="19"/>
          <w:color w:val="auto"/>
        </w:rPr>
        <w:t>employee stock plans, in some instances, but not the outstanding voting stock owned by the interested stockholder; or</w:t>
      </w:r>
    </w:p>
    <w:p>
      <w:pPr>
        <w:spacing w:after="0" w:line="219" w:lineRule="exact"/>
        <w:rPr>
          <w:rFonts w:ascii="Arial" w:cs="Arial" w:eastAsia="Arial" w:hAnsi="Arial"/>
          <w:sz w:val="19"/>
          <w:szCs w:val="19"/>
          <w:color w:val="auto"/>
        </w:rPr>
      </w:pPr>
    </w:p>
    <w:p>
      <w:pPr>
        <w:jc w:val="both"/>
        <w:ind w:left="1000" w:hanging="436"/>
        <w:spacing w:after="0" w:line="263" w:lineRule="auto"/>
        <w:tabs>
          <w:tab w:leader="none" w:pos="10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Section 203 defines a business combination to include:</w:t>
      </w:r>
    </w:p>
    <w:p>
      <w:pPr>
        <w:spacing w:after="0" w:line="220" w:lineRule="exact"/>
        <w:rPr>
          <w:sz w:val="20"/>
          <w:szCs w:val="20"/>
          <w:color w:val="auto"/>
        </w:rPr>
      </w:pPr>
    </w:p>
    <w:p>
      <w:pPr>
        <w:ind w:left="1000" w:hanging="436"/>
        <w:spacing w:after="0"/>
        <w:tabs>
          <w:tab w:leader="none" w:pos="1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merger or consolidation involving the corporation and the interested stockholder;</w:t>
      </w:r>
    </w:p>
    <w:p>
      <w:pPr>
        <w:spacing w:after="0" w:line="219" w:lineRule="exact"/>
        <w:rPr>
          <w:rFonts w:ascii="Arial" w:cs="Arial" w:eastAsia="Arial" w:hAnsi="Arial"/>
          <w:sz w:val="19"/>
          <w:szCs w:val="19"/>
          <w:color w:val="auto"/>
        </w:rPr>
      </w:pPr>
    </w:p>
    <w:p>
      <w:pPr>
        <w:ind w:left="1000" w:hanging="436"/>
        <w:spacing w:after="0" w:line="279" w:lineRule="auto"/>
        <w:tabs>
          <w:tab w:leader="none" w:pos="1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sale, transfer, lease, pledge or other disposition involving the interested stockholder of 10% or more of the assets of the corporation;</w:t>
      </w:r>
    </w:p>
    <w:p>
      <w:pPr>
        <w:spacing w:after="0" w:line="156" w:lineRule="exact"/>
        <w:rPr>
          <w:rFonts w:ascii="Arial" w:cs="Arial" w:eastAsia="Arial" w:hAnsi="Arial"/>
          <w:sz w:val="19"/>
          <w:szCs w:val="19"/>
          <w:color w:val="auto"/>
        </w:rPr>
      </w:pPr>
    </w:p>
    <w:p>
      <w:pPr>
        <w:ind w:left="1000" w:hanging="436"/>
        <w:spacing w:after="0" w:line="279" w:lineRule="auto"/>
        <w:tabs>
          <w:tab w:leader="none" w:pos="1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subject to exceptions, any transaction that results in the issuance or transfer by the corporation of any stock of the corporation to the interested stockholder;</w:t>
      </w:r>
    </w:p>
    <w:p>
      <w:pPr>
        <w:spacing w:after="0" w:line="156" w:lineRule="exact"/>
        <w:rPr>
          <w:rFonts w:ascii="Arial" w:cs="Arial" w:eastAsia="Arial" w:hAnsi="Arial"/>
          <w:sz w:val="19"/>
          <w:szCs w:val="19"/>
          <w:color w:val="auto"/>
        </w:rPr>
      </w:pPr>
    </w:p>
    <w:p>
      <w:pPr>
        <w:ind w:left="1000" w:hanging="436"/>
        <w:spacing w:after="0" w:line="279" w:lineRule="auto"/>
        <w:tabs>
          <w:tab w:leader="none" w:pos="1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56" w:lineRule="exact"/>
        <w:rPr>
          <w:rFonts w:ascii="Arial" w:cs="Arial" w:eastAsia="Arial" w:hAnsi="Arial"/>
          <w:sz w:val="19"/>
          <w:szCs w:val="19"/>
          <w:color w:val="auto"/>
        </w:rPr>
      </w:pPr>
    </w:p>
    <w:p>
      <w:pPr>
        <w:ind w:left="1000" w:hanging="436"/>
        <w:spacing w:after="0" w:line="279" w:lineRule="auto"/>
        <w:tabs>
          <w:tab w:leader="none" w:pos="1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receipt by the interested stockholder of the benefit of any loans, advances, guarantees, pledges or other financial benefits provided by or through the corporation.</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Nasdaq Global Select Market Listing</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listed on The Nasdaq Global Select Market under the trading symbol “AVRO.”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22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transfer agent and registrar for our Common Stock is Computershare Trust Company, N.A. The transfer agent and registrar’s address is 250 Royall Street, Canton, Massachusetts 02021, and its telephone number is (800) 962-4284.</w:t>
      </w:r>
    </w:p>
    <w:p>
      <w:pPr>
        <w:sectPr>
          <w:pgSz w:w="11900" w:h="16838" w:orient="portrait"/>
          <w:cols w:equalWidth="0" w:num="1">
            <w:col w:w="11240"/>
          </w:cols>
          <w:pgMar w:left="320" w:top="348" w:right="339" w:bottom="1440" w:gutter="0" w:footer="0" w:header="0"/>
        </w:sectPr>
      </w:pPr>
    </w:p>
    <w:bookmarkStart w:id="145" w:name="page146"/>
    <w:bookmarkEnd w:id="145"/>
    <w:p>
      <w:pPr>
        <w:ind w:left="10440"/>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XHIBIT</w:t>
      </w:r>
      <w:r>
        <w:rPr>
          <w:rFonts w:ascii="Arial" w:cs="Arial" w:eastAsia="Arial" w:hAnsi="Arial"/>
          <w:sz w:val="16"/>
          <w:szCs w:val="16"/>
          <w:b w:val="1"/>
          <w:bCs w:val="1"/>
          <w:color w:val="auto"/>
        </w:rPr>
        <w:t xml:space="preserve"> 10.7</w:t>
      </w:r>
    </w:p>
    <w:p>
      <w:pPr>
        <w:spacing w:after="0" w:line="218"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color w:val="auto"/>
        </w:rPr>
        <w:t>CERTAIN CONFIDENTIAL INFORMATION CONTAINED IN THIS DOCUMENT, MARKED BY [***], HAS BEEN OMITTED BECAUSE IT IS BOTH (I) NOT MATERIAL AND (II) WOULD LIKELY CAUSE COMPETITIVE HARM IF PUBLICLY DISCLOSED.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1 TO LICENSE AGREEMENT</w:t>
      </w:r>
    </w:p>
    <w:p>
      <w:pPr>
        <w:spacing w:after="0" w:line="29"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19"/>
          <w:szCs w:val="19"/>
          <w:color w:val="auto"/>
        </w:rPr>
        <w:t>This AMENDMENT NO. 1 TO LICENSE AGREEMENT (herein referred to as “</w:t>
      </w:r>
      <w:r>
        <w:rPr>
          <w:rFonts w:ascii="Arial" w:cs="Arial" w:eastAsia="Arial" w:hAnsi="Arial"/>
          <w:sz w:val="19"/>
          <w:szCs w:val="19"/>
          <w:b w:val="1"/>
          <w:bCs w:val="1"/>
          <w:color w:val="auto"/>
        </w:rPr>
        <w:t>Amendment No. 1</w:t>
      </w:r>
      <w:r>
        <w:rPr>
          <w:rFonts w:ascii="Arial" w:cs="Arial" w:eastAsia="Arial" w:hAnsi="Arial"/>
          <w:sz w:val="19"/>
          <w:szCs w:val="19"/>
          <w:color w:val="auto"/>
        </w:rPr>
        <w:t>”) is made and entered into as of this 21</w:t>
      </w:r>
      <w:r>
        <w:rPr>
          <w:rFonts w:ascii="Arial" w:cs="Arial" w:eastAsia="Arial" w:hAnsi="Arial"/>
          <w:sz w:val="16"/>
          <w:szCs w:val="16"/>
          <w:color w:val="auto"/>
        </w:rPr>
        <w:t>st</w:t>
      </w:r>
      <w:r>
        <w:rPr>
          <w:rFonts w:ascii="Arial" w:cs="Arial" w:eastAsia="Arial" w:hAnsi="Arial"/>
          <w:sz w:val="19"/>
          <w:szCs w:val="19"/>
          <w:color w:val="auto"/>
        </w:rPr>
        <w:t xml:space="preserve"> day of February, 2018 (the “</w:t>
      </w:r>
      <w:r>
        <w:rPr>
          <w:rFonts w:ascii="Arial" w:cs="Arial" w:eastAsia="Arial" w:hAnsi="Arial"/>
          <w:sz w:val="19"/>
          <w:szCs w:val="19"/>
          <w:b w:val="1"/>
          <w:bCs w:val="1"/>
          <w:color w:val="auto"/>
        </w:rPr>
        <w:t>Amendment No. 1 Effective Date</w:t>
      </w:r>
      <w:r>
        <w:rPr>
          <w:rFonts w:ascii="Arial" w:cs="Arial" w:eastAsia="Arial" w:hAnsi="Arial"/>
          <w:sz w:val="19"/>
          <w:szCs w:val="19"/>
          <w:color w:val="auto"/>
        </w:rPr>
        <w:t>”), between BioMarin Pharmaceutical Inc., a Delaware corporation, with offices at 770 Lindaro Street, San Rafael, CA 94901 (“</w:t>
      </w:r>
      <w:r>
        <w:rPr>
          <w:rFonts w:ascii="Arial" w:cs="Arial" w:eastAsia="Arial" w:hAnsi="Arial"/>
          <w:sz w:val="19"/>
          <w:szCs w:val="19"/>
          <w:b w:val="1"/>
          <w:bCs w:val="1"/>
          <w:color w:val="auto"/>
        </w:rPr>
        <w:t>BioMarin</w:t>
      </w:r>
      <w:r>
        <w:rPr>
          <w:rFonts w:ascii="Arial" w:cs="Arial" w:eastAsia="Arial" w:hAnsi="Arial"/>
          <w:sz w:val="19"/>
          <w:szCs w:val="19"/>
          <w:color w:val="auto"/>
        </w:rPr>
        <w:t xml:space="preserve">”), and </w:t>
      </w:r>
      <w:r>
        <w:rPr>
          <w:rFonts w:ascii="Arial" w:cs="Arial" w:eastAsia="Arial" w:hAnsi="Arial"/>
          <w:sz w:val="19"/>
          <w:szCs w:val="19"/>
          <w:b w:val="1"/>
          <w:bCs w:val="1"/>
          <w:color w:val="auto"/>
        </w:rPr>
        <w:t>AVROBIO, Inc.</w:t>
      </w:r>
      <w:r>
        <w:rPr>
          <w:rFonts w:ascii="Arial" w:cs="Arial" w:eastAsia="Arial" w:hAnsi="Arial"/>
          <w:sz w:val="19"/>
          <w:szCs w:val="19"/>
          <w:color w:val="auto"/>
        </w:rPr>
        <w:t>, a Delaware corporation having a place of business at 700 Technology Square, Suite 101, Cambridge, MA 02139 (“</w:t>
      </w:r>
      <w:r>
        <w:rPr>
          <w:rFonts w:ascii="Arial" w:cs="Arial" w:eastAsia="Arial" w:hAnsi="Arial"/>
          <w:sz w:val="19"/>
          <w:szCs w:val="19"/>
          <w:b w:val="1"/>
          <w:bCs w:val="1"/>
          <w:color w:val="auto"/>
        </w:rPr>
        <w:t>AVROBIO</w:t>
      </w:r>
      <w:r>
        <w:rPr>
          <w:rFonts w:ascii="Arial" w:cs="Arial" w:eastAsia="Arial" w:hAnsi="Arial"/>
          <w:sz w:val="19"/>
          <w:szCs w:val="19"/>
          <w:color w:val="auto"/>
        </w:rPr>
        <w:t>”). Each of BioMarin and “AVROBIO” may be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223" w:lineRule="exact"/>
        <w:rPr>
          <w:sz w:val="20"/>
          <w:szCs w:val="20"/>
          <w:color w:val="auto"/>
        </w:rPr>
      </w:pPr>
    </w:p>
    <w:p>
      <w:pPr>
        <w:jc w:val="both"/>
        <w:ind w:left="860" w:hanging="854"/>
        <w:spacing w:after="0" w:line="258" w:lineRule="auto"/>
        <w:tabs>
          <w:tab w:leader="none" w:pos="8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This Amendment No. 1 shall serve as an amendment to that certain License Agreement, effective as of August 31, 2017 by and between AVROBIO and BioMarin (the “</w:t>
      </w:r>
      <w:r>
        <w:rPr>
          <w:rFonts w:ascii="Arial" w:cs="Arial" w:eastAsia="Arial" w:hAnsi="Arial"/>
          <w:sz w:val="19"/>
          <w:szCs w:val="19"/>
          <w:b w:val="1"/>
          <w:bCs w:val="1"/>
          <w:color w:val="auto"/>
        </w:rPr>
        <w:t>Agreement</w:t>
      </w:r>
      <w:r>
        <w:rPr>
          <w:rFonts w:ascii="Arial" w:cs="Arial" w:eastAsia="Arial" w:hAnsi="Arial"/>
          <w:sz w:val="19"/>
          <w:szCs w:val="19"/>
          <w:color w:val="auto"/>
        </w:rPr>
        <w:t>”). Except as expressly modified hereby, the Agreement shall continue in full force according to its terms. Capitalized terms not otherwise defined in this Amendment No. 1 shall have the meaning ascribed to such term in the Agreement.</w:t>
      </w:r>
    </w:p>
    <w:p>
      <w:pPr>
        <w:spacing w:after="0" w:line="176" w:lineRule="exact"/>
        <w:rPr>
          <w:rFonts w:ascii="Arial" w:cs="Arial" w:eastAsia="Arial" w:hAnsi="Arial"/>
          <w:sz w:val="19"/>
          <w:szCs w:val="19"/>
          <w:color w:val="auto"/>
        </w:rPr>
      </w:pPr>
    </w:p>
    <w:p>
      <w:pPr>
        <w:ind w:left="860" w:hanging="854"/>
        <w:spacing w:after="0" w:line="279" w:lineRule="auto"/>
        <w:tabs>
          <w:tab w:leader="none" w:pos="8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to the terms and conditions of the Agreement, including this Amendment No. 1, BioMarin agrees to supply AVROBIO with [***] in the amount set forth in Attachment 1 hereto.</w:t>
      </w:r>
    </w:p>
    <w:p>
      <w:pPr>
        <w:spacing w:after="0" w:line="156" w:lineRule="exact"/>
        <w:rPr>
          <w:rFonts w:ascii="Arial" w:cs="Arial" w:eastAsia="Arial" w:hAnsi="Arial"/>
          <w:sz w:val="19"/>
          <w:szCs w:val="19"/>
          <w:color w:val="auto"/>
        </w:rPr>
      </w:pPr>
    </w:p>
    <w:p>
      <w:pPr>
        <w:ind w:left="860" w:hanging="854"/>
        <w:spacing w:after="0"/>
        <w:tabs>
          <w:tab w:leader="none" w:pos="8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Section 2.1 of the Agreement is hereby deleted and replaced with the following:</w:t>
      </w:r>
    </w:p>
    <w:p>
      <w:pPr>
        <w:spacing w:after="0" w:line="21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License Grants</w:t>
      </w:r>
      <w:r>
        <w:rPr>
          <w:rFonts w:ascii="Arial" w:cs="Arial" w:eastAsia="Arial" w:hAnsi="Arial"/>
          <w:sz w:val="17"/>
          <w:szCs w:val="17"/>
          <w:color w:val="auto"/>
        </w:rPr>
        <w:t>.</w:t>
      </w:r>
    </w:p>
    <w:p>
      <w:pPr>
        <w:spacing w:after="0" w:line="226" w:lineRule="exact"/>
        <w:rPr>
          <w:sz w:val="20"/>
          <w:szCs w:val="20"/>
          <w:color w:val="auto"/>
        </w:rPr>
      </w:pPr>
    </w:p>
    <w:p>
      <w:pPr>
        <w:jc w:val="both"/>
        <w:ind w:left="880" w:firstLine="797"/>
        <w:spacing w:after="0" w:line="255" w:lineRule="auto"/>
        <w:rPr>
          <w:sz w:val="20"/>
          <w:szCs w:val="20"/>
          <w:color w:val="auto"/>
        </w:rPr>
      </w:pPr>
      <w:r>
        <w:rPr>
          <w:rFonts w:ascii="Arial" w:cs="Arial" w:eastAsia="Arial" w:hAnsi="Arial"/>
          <w:sz w:val="19"/>
          <w:szCs w:val="19"/>
          <w:color w:val="auto"/>
        </w:rPr>
        <w:t>2.1.1 Subject to the terms and conditions of this Agreement, BioMarin hereby grants to AVROBIO an exclusive, royalty-bearing license under the Licensed Patent Rights and Licensed Know-How to research, have researched, develop, have developed, make, have made, use, have used, sell, have sold, offer for sale, have offered for sale, import, have imported, export and have exported Licensed Products in the Field in the Territory, including the right to grant sublicenses through multiple tiers, subject to any limitations on sublicensing expressly set forth in this Agreement (the “</w:t>
      </w:r>
      <w:r>
        <w:rPr>
          <w:rFonts w:ascii="Arial" w:cs="Arial" w:eastAsia="Arial" w:hAnsi="Arial"/>
          <w:sz w:val="19"/>
          <w:szCs w:val="19"/>
          <w:b w:val="1"/>
          <w:bCs w:val="1"/>
          <w:color w:val="auto"/>
        </w:rPr>
        <w:t>License</w:t>
      </w:r>
      <w:r>
        <w:rPr>
          <w:rFonts w:ascii="Arial" w:cs="Arial" w:eastAsia="Arial" w:hAnsi="Arial"/>
          <w:sz w:val="19"/>
          <w:szCs w:val="19"/>
          <w:color w:val="auto"/>
        </w:rPr>
        <w:t>”).</w:t>
      </w:r>
    </w:p>
    <w:p>
      <w:pPr>
        <w:spacing w:after="0" w:line="181" w:lineRule="exact"/>
        <w:rPr>
          <w:sz w:val="20"/>
          <w:szCs w:val="20"/>
          <w:color w:val="auto"/>
        </w:rPr>
      </w:pPr>
    </w:p>
    <w:p>
      <w:pPr>
        <w:jc w:val="both"/>
        <w:ind w:left="880" w:firstLine="797"/>
        <w:spacing w:after="0" w:line="263" w:lineRule="auto"/>
        <w:rPr>
          <w:sz w:val="20"/>
          <w:szCs w:val="20"/>
          <w:color w:val="auto"/>
        </w:rPr>
      </w:pPr>
      <w:r>
        <w:rPr>
          <w:rFonts w:ascii="Arial" w:cs="Arial" w:eastAsia="Arial" w:hAnsi="Arial"/>
          <w:sz w:val="19"/>
          <w:szCs w:val="19"/>
          <w:color w:val="auto"/>
        </w:rPr>
        <w:t xml:space="preserve">2.1.2 Subject to the terms and conditions of this Agreement, BioMarin hereby grants to AVROBIO a limited, non-sublicensable, non-transferable, non-exclusive license to use [***] solely for the experiments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which shall be performed by AVROBIO personnel at the facilities specified therein.</w:t>
      </w:r>
    </w:p>
    <w:p>
      <w:pPr>
        <w:spacing w:after="0" w:line="172" w:lineRule="exact"/>
        <w:rPr>
          <w:sz w:val="20"/>
          <w:szCs w:val="20"/>
          <w:color w:val="auto"/>
        </w:rPr>
      </w:pPr>
    </w:p>
    <w:p>
      <w:pPr>
        <w:jc w:val="both"/>
        <w:ind w:left="880" w:firstLine="797"/>
        <w:spacing w:after="0" w:line="263" w:lineRule="auto"/>
        <w:rPr>
          <w:sz w:val="20"/>
          <w:szCs w:val="20"/>
          <w:color w:val="auto"/>
        </w:rPr>
      </w:pPr>
      <w:r>
        <w:rPr>
          <w:rFonts w:ascii="Arial" w:cs="Arial" w:eastAsia="Arial" w:hAnsi="Arial"/>
          <w:sz w:val="19"/>
          <w:szCs w:val="19"/>
          <w:color w:val="auto"/>
        </w:rPr>
        <w:t>2.1.3 For clarity, except as set forth in Section 2.1.2, AVROBIO shall have no license rights either outside the Field or with respect to products other than Licensed Products. For further clarity, AVROBIO shall have no right to make or have made [***].”</w:t>
      </w:r>
    </w:p>
    <w:p>
      <w:pPr>
        <w:spacing w:after="0" w:line="172" w:lineRule="exact"/>
        <w:rPr>
          <w:sz w:val="20"/>
          <w:szCs w:val="20"/>
          <w:color w:val="auto"/>
        </w:rPr>
      </w:pPr>
    </w:p>
    <w:p>
      <w:pPr>
        <w:ind w:left="860" w:hanging="854"/>
        <w:spacing w:after="0"/>
        <w:tabs>
          <w:tab w:leader="none" w:pos="8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following Section 2.6 is hereby added to the Agreement:</w:t>
      </w:r>
    </w:p>
    <w:p>
      <w:pPr>
        <w:spacing w:after="0" w:line="21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2.6</w:t>
      </w:r>
      <w:r>
        <w:rPr>
          <w:sz w:val="20"/>
          <w:szCs w:val="20"/>
          <w:color w:val="auto"/>
        </w:rPr>
        <w:tab/>
      </w:r>
      <w:r>
        <w:rPr>
          <w:rFonts w:ascii="Arial" w:cs="Arial" w:eastAsia="Arial" w:hAnsi="Arial"/>
          <w:sz w:val="19"/>
          <w:szCs w:val="19"/>
          <w:b w:val="1"/>
          <w:bCs w:val="1"/>
          <w:color w:val="auto"/>
        </w:rPr>
        <w:t>Material Transfer ([***]).</w:t>
      </w:r>
    </w:p>
    <w:p>
      <w:pPr>
        <w:spacing w:after="0" w:line="226" w:lineRule="exact"/>
        <w:rPr>
          <w:sz w:val="20"/>
          <w:szCs w:val="20"/>
          <w:color w:val="auto"/>
        </w:rPr>
      </w:pPr>
    </w:p>
    <w:p>
      <w:pPr>
        <w:ind w:left="1660"/>
        <w:spacing w:after="0"/>
        <w:tabs>
          <w:tab w:leader="none" w:pos="2680" w:val="left"/>
        </w:tabs>
        <w:rPr>
          <w:sz w:val="20"/>
          <w:szCs w:val="20"/>
          <w:color w:val="auto"/>
        </w:rPr>
      </w:pPr>
      <w:r>
        <w:rPr>
          <w:rFonts w:ascii="Arial" w:cs="Arial" w:eastAsia="Arial" w:hAnsi="Arial"/>
          <w:sz w:val="19"/>
          <w:szCs w:val="19"/>
          <w:color w:val="auto"/>
        </w:rPr>
        <w:t>2.6.1</w:t>
      </w:r>
      <w:r>
        <w:rPr>
          <w:sz w:val="20"/>
          <w:szCs w:val="20"/>
          <w:color w:val="auto"/>
        </w:rPr>
        <w:tab/>
      </w:r>
      <w:r>
        <w:rPr>
          <w:rFonts w:ascii="Arial" w:cs="Arial" w:eastAsia="Arial" w:hAnsi="Arial"/>
          <w:sz w:val="18"/>
          <w:szCs w:val="18"/>
          <w:color w:val="auto"/>
        </w:rPr>
        <w:t xml:space="preserve">BioMarin agrees to supply AVROBIO with [***] in the amount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hereto.</w:t>
      </w:r>
    </w:p>
    <w:p>
      <w:pPr>
        <w:spacing w:after="0" w:line="220" w:lineRule="exact"/>
        <w:rPr>
          <w:sz w:val="20"/>
          <w:szCs w:val="20"/>
          <w:color w:val="auto"/>
        </w:rPr>
      </w:pPr>
    </w:p>
    <w:p>
      <w:pPr>
        <w:ind w:left="880" w:firstLine="797"/>
        <w:spacing w:after="0" w:line="279" w:lineRule="auto"/>
        <w:rPr>
          <w:sz w:val="20"/>
          <w:szCs w:val="20"/>
          <w:color w:val="auto"/>
        </w:rPr>
      </w:pPr>
      <w:r>
        <w:rPr>
          <w:rFonts w:ascii="Arial" w:cs="Arial" w:eastAsia="Arial" w:hAnsi="Arial"/>
          <w:sz w:val="19"/>
          <w:szCs w:val="19"/>
          <w:color w:val="auto"/>
        </w:rPr>
        <w:t xml:space="preserve">2.6.2 AVROBIO will not use [***] in any activities or experiments other than in those experiments specifically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which support AVROBIO’s Development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201295</wp:posOffset>
            </wp:positionV>
            <wp:extent cx="717677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jc w:val="both"/>
        <w:spacing w:after="0" w:line="252" w:lineRule="auto"/>
        <w:rPr>
          <w:sz w:val="20"/>
          <w:szCs w:val="20"/>
          <w:color w:val="auto"/>
        </w:rPr>
      </w:pPr>
      <w:r>
        <w:rPr>
          <w:rFonts w:ascii="Arial" w:cs="Arial" w:eastAsia="Arial" w:hAnsi="Arial"/>
          <w:sz w:val="19"/>
          <w:szCs w:val="19"/>
          <w:color w:val="auto"/>
        </w:rPr>
        <w:t xml:space="preserve">of Licensed Products. BioMarin shall at all times retain all right, title and interest in and to [***]. Except as otherwise provided in this Agreement, AVROBIO shall not, without the prior written consent of BioMarin, (a) reproduce or modify [***] or any portion thereof; (b) reverse assemble, reverse compile or reverse engineer [***], or otherwise attempt to discover any source code or underlying Confidential Information with respect to [***]; (c) rent, sell, lease, disclose or otherwise transfer or provide access to [***], or any derivative thereof, to another party; provided, that AVROBIO may allow access to [***] to its employees who require such access to conduct the experiments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and are bound by written agreements to retain and use [***] only in the manner permitted under this Agreement; or (d) alter, destroy, or otherwise remove any proprietary notices or labels on or supplied with [***].</w:t>
      </w:r>
    </w:p>
    <w:p>
      <w:pPr>
        <w:spacing w:after="0" w:line="183" w:lineRule="exact"/>
        <w:rPr>
          <w:sz w:val="20"/>
          <w:szCs w:val="20"/>
          <w:color w:val="auto"/>
        </w:rPr>
      </w:pPr>
    </w:p>
    <w:p>
      <w:pPr>
        <w:jc w:val="both"/>
        <w:ind w:firstLine="797"/>
        <w:spacing w:after="0" w:line="252" w:lineRule="auto"/>
        <w:rPr>
          <w:sz w:val="20"/>
          <w:szCs w:val="20"/>
          <w:color w:val="auto"/>
        </w:rPr>
      </w:pPr>
      <w:r>
        <w:rPr>
          <w:rFonts w:ascii="Arial" w:cs="Arial" w:eastAsia="Arial" w:hAnsi="Arial"/>
          <w:sz w:val="19"/>
          <w:szCs w:val="19"/>
          <w:color w:val="auto"/>
        </w:rPr>
        <w:t>2.6.3 AVROBIO acknowledges and agrees that [***] is experimental in nature and that [***] is provided “AS IS” and may not be functional. AVROBIO understands and agrees that [***] may have unpredictable and unknown biological and/or chemical properties, that [***] is to be handled and used with caution, and that [***] is not to be used for testing in or treatment of humans. [***] IS PROVIDED WITH NO WARRANTIES OF ANY KIND, INCLUDING ANY WARRANTY OF MERCHANTABILITY OR FITNESS FOR A PARTICULAR PURPOSE, OR THAT IT IS FREE FROM THE RIGHTFUL CLAIM OF ANY THIRD PARTY, BY WAY OF INFRINGEMENT OR THE LIKE. FURTHER, BIOMARIN DISCLAIMS ANY REPRESENTATION OR WARRANTY THAT SAMPLES OF [***] PROVIDED HAVE NOT EXCEEDED THEIR EXPIRATION DATE(S).</w:t>
      </w:r>
    </w:p>
    <w:p>
      <w:pPr>
        <w:spacing w:after="0" w:line="183" w:lineRule="exact"/>
        <w:rPr>
          <w:sz w:val="20"/>
          <w:szCs w:val="20"/>
          <w:color w:val="auto"/>
        </w:rPr>
      </w:pPr>
    </w:p>
    <w:p>
      <w:pPr>
        <w:jc w:val="both"/>
        <w:ind w:firstLine="797"/>
        <w:spacing w:after="0" w:line="263" w:lineRule="auto"/>
        <w:rPr>
          <w:sz w:val="20"/>
          <w:szCs w:val="20"/>
          <w:color w:val="auto"/>
        </w:rPr>
      </w:pPr>
      <w:r>
        <w:rPr>
          <w:rFonts w:ascii="Arial" w:cs="Arial" w:eastAsia="Arial" w:hAnsi="Arial"/>
          <w:sz w:val="19"/>
          <w:szCs w:val="19"/>
          <w:color w:val="auto"/>
        </w:rPr>
        <w:t>2.6.4 In no event will BioMarin be liable for any use by AVROBIO of [***] or any loss, claim, damage or liability of any kind which may arise from or in connection with the use, handling or storage of [***] by or through AVROBIO. AVROBIO will indemnify BioMarin with respect to [***], as set forth in Article 9.</w:t>
      </w:r>
    </w:p>
    <w:p>
      <w:pPr>
        <w:spacing w:after="0" w:line="172" w:lineRule="exact"/>
        <w:rPr>
          <w:sz w:val="20"/>
          <w:szCs w:val="20"/>
          <w:color w:val="auto"/>
        </w:rPr>
      </w:pPr>
    </w:p>
    <w:p>
      <w:pPr>
        <w:jc w:val="both"/>
        <w:ind w:firstLine="797"/>
        <w:spacing w:after="0" w:line="266" w:lineRule="auto"/>
        <w:rPr>
          <w:sz w:val="20"/>
          <w:szCs w:val="20"/>
          <w:color w:val="auto"/>
        </w:rPr>
      </w:pPr>
      <w:r>
        <w:rPr>
          <w:rFonts w:ascii="Arial" w:cs="Arial" w:eastAsia="Arial" w:hAnsi="Arial"/>
          <w:sz w:val="18"/>
          <w:szCs w:val="18"/>
          <w:color w:val="auto"/>
        </w:rPr>
        <w:t>2.6.5 If AVROBIO conceives and/or reduces to practice inventions or discoveries, whether or not be patentable, in the course of using [***] that directly relate to [***] (and for clarity do not relate to AVROBIO’s gene therapy Licensed Products (“</w:t>
      </w:r>
      <w:r>
        <w:rPr>
          <w:rFonts w:ascii="Arial" w:cs="Arial" w:eastAsia="Arial" w:hAnsi="Arial"/>
          <w:sz w:val="18"/>
          <w:szCs w:val="18"/>
          <w:b w:val="1"/>
          <w:bCs w:val="1"/>
          <w:color w:val="auto"/>
        </w:rPr>
        <w:t>[***] Inventions</w:t>
      </w:r>
      <w:r>
        <w:rPr>
          <w:rFonts w:ascii="Arial" w:cs="Arial" w:eastAsia="Arial" w:hAnsi="Arial"/>
          <w:sz w:val="18"/>
          <w:szCs w:val="18"/>
          <w:color w:val="auto"/>
        </w:rPr>
        <w:t>”), AVROBIO shall promptly and fully disclose to BioMarin any such [***] Inventions after the conception or reduction to practice thereof. AVROBIO hereby assigns all right, title, and interest in and to any [***] Inventions, including all intellectual property therein, to BioMarin, and AVROBIO shall obtain no rights, whether express or implied, in such [***] Inventions. AVROBIO agrees not to obtain or attempt to obtain patent coverage on [***] Inventions and agrees to execute such documents and perform such other acts, as BioMarin may reasonably request and at BioMarin’s expense, to obtain, perfect and enforce BioMarin’s rights in and to such [***] Inventions. AVROBIO hereby irrevocably designates and appoints BioMarin and its duly authorized officers and agents as AVROBIO’s agent and attorney-in-fact to act for and on AVROBIO’s behalf to execute, deliver and file any and all documents with the same legal force and effect as if executed by AVROBIO, if BioMarin is unable for any reason to secure AVROBIO’s signature on any document needed in connection with the actions described in this Section 2.6.5. AVROBIO acknowledges that this appointment is coupled with an interest.</w:t>
      </w:r>
    </w:p>
    <w:p>
      <w:pPr>
        <w:spacing w:after="0" w:line="169" w:lineRule="exact"/>
        <w:rPr>
          <w:sz w:val="20"/>
          <w:szCs w:val="20"/>
          <w:color w:val="auto"/>
        </w:rPr>
      </w:pPr>
    </w:p>
    <w:p>
      <w:pPr>
        <w:jc w:val="both"/>
        <w:ind w:firstLine="797"/>
        <w:spacing w:after="0" w:line="283" w:lineRule="auto"/>
        <w:rPr>
          <w:sz w:val="20"/>
          <w:szCs w:val="20"/>
          <w:color w:val="auto"/>
        </w:rPr>
      </w:pPr>
      <w:r>
        <w:rPr>
          <w:rFonts w:ascii="Arial" w:cs="Arial" w:eastAsia="Arial" w:hAnsi="Arial"/>
          <w:sz w:val="17"/>
          <w:szCs w:val="17"/>
          <w:color w:val="auto"/>
        </w:rPr>
        <w:t>2.6.6 AVROBIO shall have and retain sole and exclusive ownership of all data created by AVROBIO’s employees or independent contractors from the use of [***] pursuant to the terms and conditions of this Agreement. Reports regarding such work using [***] shall be provided in conjunction with the reports to be provided to BioMarin pursuant to Section 3.4 of this Agreement.</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AVROBIO shall have the right to publish or publicly present the results of the research conducted with [***] under this Agreement; provided, that BioMarin shall have the opportunity to review any</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201295</wp:posOffset>
            </wp:positionV>
            <wp:extent cx="717677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360"/>
          </w:cols>
          <w:pgMar w:left="1200" w:top="561" w:right="339" w:bottom="1440" w:gutter="0" w:footer="0" w:header="0"/>
        </w:sectPr>
      </w:pPr>
    </w:p>
    <w:bookmarkStart w:id="147" w:name="page148"/>
    <w:bookmarkEnd w:id="147"/>
    <w:p>
      <w:pPr>
        <w:jc w:val="both"/>
        <w:ind w:left="880"/>
        <w:spacing w:after="0" w:line="251" w:lineRule="auto"/>
        <w:rPr>
          <w:sz w:val="20"/>
          <w:szCs w:val="20"/>
          <w:color w:val="auto"/>
        </w:rPr>
      </w:pPr>
      <w:r>
        <w:rPr>
          <w:rFonts w:ascii="Arial" w:cs="Arial" w:eastAsia="Arial" w:hAnsi="Arial"/>
          <w:sz w:val="19"/>
          <w:szCs w:val="19"/>
          <w:color w:val="auto"/>
        </w:rPr>
        <w:t>such proposed manuscripts, non-confidential presentations, or other public disclosures describing said research. Any proposed publication or other non-confidential disclosure to third parties will be provided to BioMarin at least [***] days ([***] days in the case of abstracts) prior to the earlier of the date of submission to any journal for review or the date of publication or other disclosure. AVROBIO agrees to consider any of BioMarin’s comments with respect to [***] that are provided within [***] days of BioMarin’s receipt of the submitted documents and, at BioMarin’s request, to delete any of BioMarin’s Confidential Information contained therein. However, if submission of such manuscript for publication or delivery of such presentation or other disclosure would preclude BioMarin from obtaining patent protection for a [***] Invention(s) unless an application is filed with relevant patent authorities, AVROBIO shall, at its option, either delete the enabling portion of the proposed publication or presentation or withhold publication or delay presentation for an additional [***] days to permit BioMarin to prepare and file a patent application covering such [***] Invention(s).</w:t>
      </w:r>
    </w:p>
    <w:p>
      <w:pPr>
        <w:spacing w:after="0" w:line="185" w:lineRule="exact"/>
        <w:rPr>
          <w:sz w:val="20"/>
          <w:szCs w:val="20"/>
          <w:color w:val="auto"/>
        </w:rPr>
      </w:pPr>
    </w:p>
    <w:p>
      <w:pPr>
        <w:jc w:val="both"/>
        <w:ind w:left="880" w:firstLine="797"/>
        <w:spacing w:after="0" w:line="263" w:lineRule="auto"/>
        <w:rPr>
          <w:sz w:val="20"/>
          <w:szCs w:val="20"/>
          <w:color w:val="auto"/>
        </w:rPr>
      </w:pPr>
      <w:r>
        <w:rPr>
          <w:rFonts w:ascii="Arial" w:cs="Arial" w:eastAsia="Arial" w:hAnsi="Arial"/>
          <w:sz w:val="19"/>
          <w:szCs w:val="19"/>
          <w:color w:val="auto"/>
        </w:rPr>
        <w:t xml:space="preserve">2.6.7 Upon the completion of the experiments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or any earlier expiration or termination of the Agreement, the license granted in Section 2.1.2 shall terminate and AVROBIO shall destroy (and will provide evidence documenting the manner of destruction to BioMarin) any remaining [***].”</w:t>
      </w:r>
    </w:p>
    <w:p>
      <w:pPr>
        <w:spacing w:after="0" w:line="172" w:lineRule="exact"/>
        <w:rPr>
          <w:sz w:val="20"/>
          <w:szCs w:val="20"/>
          <w:color w:val="auto"/>
        </w:rPr>
      </w:pPr>
    </w:p>
    <w:p>
      <w:pPr>
        <w:ind w:left="860" w:hanging="854"/>
        <w:spacing w:after="0" w:line="279" w:lineRule="auto"/>
        <w:tabs>
          <w:tab w:leader="none" w:pos="8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following sections are hereby added to Section 8.4.4 as additional sections that survive expiration or termination of the Agreement: Sections 2.6.4, 2.6.5, 2.6.6, and 2.6.7.</w:t>
      </w:r>
    </w:p>
    <w:p>
      <w:pPr>
        <w:spacing w:after="0" w:line="156" w:lineRule="exact"/>
        <w:rPr>
          <w:rFonts w:ascii="Arial" w:cs="Arial" w:eastAsia="Arial" w:hAnsi="Arial"/>
          <w:sz w:val="19"/>
          <w:szCs w:val="19"/>
          <w:color w:val="auto"/>
        </w:rPr>
      </w:pPr>
    </w:p>
    <w:p>
      <w:pPr>
        <w:ind w:left="860" w:hanging="854"/>
        <w:spacing w:after="0"/>
        <w:tabs>
          <w:tab w:leader="none" w:pos="8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Section 9.2 is hereby deleted and replaced with the following:</w:t>
      </w:r>
    </w:p>
    <w:p>
      <w:pPr>
        <w:spacing w:after="0" w:line="213" w:lineRule="exact"/>
        <w:rPr>
          <w:rFonts w:ascii="Arial" w:cs="Arial" w:eastAsia="Arial" w:hAnsi="Arial"/>
          <w:sz w:val="19"/>
          <w:szCs w:val="19"/>
          <w:color w:val="auto"/>
        </w:rPr>
      </w:pPr>
    </w:p>
    <w:p>
      <w:pPr>
        <w:jc w:val="both"/>
        <w:ind w:left="880"/>
        <w:spacing w:after="0" w:line="266" w:lineRule="auto"/>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9.2 Indemnification by AVROBIO.</w:t>
      </w:r>
      <w:r>
        <w:rPr>
          <w:rFonts w:ascii="Arial" w:cs="Arial" w:eastAsia="Arial" w:hAnsi="Arial"/>
          <w:sz w:val="18"/>
          <w:szCs w:val="18"/>
          <w:color w:val="auto"/>
        </w:rPr>
        <w:t xml:space="preserve"> AVROBIO will indemnify BioMarin, its Affiliates, and their respective directors, officers, employees, and agents (“</w:t>
      </w:r>
      <w:r>
        <w:rPr>
          <w:rFonts w:ascii="Arial" w:cs="Arial" w:eastAsia="Arial" w:hAnsi="Arial"/>
          <w:sz w:val="18"/>
          <w:szCs w:val="18"/>
          <w:b w:val="1"/>
          <w:bCs w:val="1"/>
          <w:color w:val="auto"/>
        </w:rPr>
        <w:t>BioMarin Indemnitees</w:t>
      </w:r>
      <w:r>
        <w:rPr>
          <w:rFonts w:ascii="Arial" w:cs="Arial" w:eastAsia="Arial" w:hAnsi="Arial"/>
          <w:sz w:val="18"/>
          <w:szCs w:val="18"/>
          <w:color w:val="auto"/>
        </w:rPr>
        <w:t>”), and defend and hold each of them harmless, from and against any and all Losses based on or suffered in connection with any Claims against any such BioMarin Indemnitee to the extent arising from or occurring as a result of or in connection with: (i) the Development and Commercialization of Licensed Products by or on behalf of AVROBIO, its Affiliates, and sublicensees, and each of their distributors, wholesalers, and agents, including, without limitation, Losses arising from Claims based on any theory of product liability (including actions in the form of tort, warranty or strict liability),</w:t>
      </w:r>
    </w:p>
    <w:p>
      <w:pPr>
        <w:jc w:val="both"/>
        <w:ind w:left="880" w:hanging="10"/>
        <w:spacing w:after="0" w:line="265" w:lineRule="auto"/>
        <w:tabs>
          <w:tab w:leader="none" w:pos="119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use, storage, or handling of [***] by or on behalf of AVROBIO (including its employees, independent contractors, and agents), (iii) any breach by AVROBIO, its Affiliates or sublicensees (including each of their respective directors, officers, employees, independent contractors, and agents) of this Agreement or of applicable law, (iv) the negligence or willful misconduct of AVROBIO, its Affiliates or sublicensees (including each of their respective directors, officers, employees, independent contractors, and agents); (v) breach of a contractual or fiduciary obligation owed by AVROBIO or its Affiliates or sublicensees to a Third Party (including misappropriation of trade secrets); or (vi) criminal investigations of, defense of criminal charges against, and criminal penalties levied on, AVROBIO or its Affiliates or sublicensees, or their respective directors, employees and agents; except, in each case, to the extent that such Losses arise out of or result from the gross negligence or willful misconduct of any BioMarin Indemnitee, or a breach by BioMarin of any provision of this Agreement..</w:t>
      </w:r>
    </w:p>
    <w:p>
      <w:pPr>
        <w:spacing w:after="0" w:line="171" w:lineRule="exact"/>
        <w:rPr>
          <w:rFonts w:ascii="Arial" w:cs="Arial" w:eastAsia="Arial" w:hAnsi="Arial"/>
          <w:sz w:val="18"/>
          <w:szCs w:val="18"/>
          <w:color w:val="auto"/>
        </w:rPr>
      </w:pPr>
    </w:p>
    <w:p>
      <w:pPr>
        <w:ind w:left="860" w:hanging="854"/>
        <w:spacing w:after="0"/>
        <w:tabs>
          <w:tab w:leader="none" w:pos="8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Attachment 1 to this Amendment No. 1 is hereby added to the Agreement as Schedule D.</w:t>
      </w:r>
    </w:p>
    <w:p>
      <w:pPr>
        <w:spacing w:after="0" w:line="219" w:lineRule="exact"/>
        <w:rPr>
          <w:rFonts w:ascii="Arial" w:cs="Arial" w:eastAsia="Arial" w:hAnsi="Arial"/>
          <w:sz w:val="19"/>
          <w:szCs w:val="19"/>
          <w:color w:val="auto"/>
        </w:rPr>
      </w:pPr>
    </w:p>
    <w:p>
      <w:pPr>
        <w:ind w:left="860" w:hanging="854"/>
        <w:spacing w:after="0" w:line="279" w:lineRule="auto"/>
        <w:tabs>
          <w:tab w:leader="none" w:pos="8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This Amendment No. 1 shall inure to the benefit of and be binding upon the Parties hereto and their respective heirs, successors, trustees, transferees and assigns.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201295</wp:posOffset>
            </wp:positionV>
            <wp:extent cx="717677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48" w:name="page149"/>
    <w:bookmarkEnd w:id="148"/>
    <w:p>
      <w:pPr>
        <w:ind w:left="860" w:right="20" w:hanging="854"/>
        <w:spacing w:after="0" w:line="279" w:lineRule="auto"/>
        <w:tabs>
          <w:tab w:leader="none" w:pos="8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This Amendment No. 1 may be executed in any number of counterparts, each of which shall be deemed an original, but all of which together shall constitute one and the same instrument.</w:t>
      </w:r>
    </w:p>
    <w:p>
      <w:pPr>
        <w:spacing w:after="0" w:line="156" w:lineRule="exact"/>
        <w:rPr>
          <w:sz w:val="20"/>
          <w:szCs w:val="20"/>
          <w:color w:val="auto"/>
        </w:rPr>
      </w:pPr>
    </w:p>
    <w:p>
      <w:pPr>
        <w:ind w:right="40" w:firstLine="864"/>
        <w:spacing w:after="0" w:line="279" w:lineRule="auto"/>
        <w:rPr>
          <w:sz w:val="20"/>
          <w:szCs w:val="20"/>
          <w:color w:val="auto"/>
        </w:rPr>
      </w:pPr>
      <w:r>
        <w:rPr>
          <w:rFonts w:ascii="Arial" w:cs="Arial" w:eastAsia="Arial" w:hAnsi="Arial"/>
          <w:sz w:val="19"/>
          <w:szCs w:val="19"/>
          <w:color w:val="auto"/>
        </w:rPr>
        <w:t>IN WITNESS WHEREOF, the Parties hereto, intending to be legally bound hereby, have caused this Amendment No. 1 to be executed and delivered by their proper and duly authorized officers effective as of the day and year first above written.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3"/>
          </w:tcPr>
          <w:p>
            <w:pPr>
              <w:ind w:left="20"/>
              <w:spacing w:after="0"/>
              <w:rPr>
                <w:sz w:val="20"/>
                <w:szCs w:val="20"/>
                <w:color w:val="auto"/>
              </w:rPr>
            </w:pPr>
            <w:r>
              <w:rPr>
                <w:rFonts w:ascii="Arial" w:cs="Arial" w:eastAsia="Arial" w:hAnsi="Arial"/>
                <w:sz w:val="19"/>
                <w:szCs w:val="19"/>
                <w:b w:val="1"/>
                <w:bCs w:val="1"/>
                <w:color w:val="auto"/>
              </w:rPr>
              <w:t>B</w:t>
            </w:r>
            <w:r>
              <w:rPr>
                <w:rFonts w:ascii="Arial" w:cs="Arial" w:eastAsia="Arial" w:hAnsi="Arial"/>
                <w:sz w:val="13"/>
                <w:szCs w:val="13"/>
                <w:b w:val="1"/>
                <w:bCs w:val="1"/>
                <w:color w:val="auto"/>
              </w:rPr>
              <w:t>IO</w:t>
            </w:r>
            <w:r>
              <w:rPr>
                <w:rFonts w:ascii="Arial" w:cs="Arial" w:eastAsia="Arial" w:hAnsi="Arial"/>
                <w:sz w:val="19"/>
                <w:szCs w:val="19"/>
                <w:b w:val="1"/>
                <w:bCs w:val="1"/>
                <w:color w:val="auto"/>
              </w:rPr>
              <w:t>M</w:t>
            </w:r>
            <w:r>
              <w:rPr>
                <w:rFonts w:ascii="Arial" w:cs="Arial" w:eastAsia="Arial" w:hAnsi="Arial"/>
                <w:sz w:val="13"/>
                <w:szCs w:val="13"/>
                <w:b w:val="1"/>
                <w:bCs w:val="1"/>
                <w:color w:val="auto"/>
              </w:rPr>
              <w:t>ARIN</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HARMACEUTICAL</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tc>
        <w:tc>
          <w:tcPr>
            <w:tcW w:w="5660" w:type="dxa"/>
            <w:vAlign w:val="bottom"/>
            <w:gridSpan w:val="2"/>
          </w:tcPr>
          <w:p>
            <w:pPr>
              <w:ind w:left="200"/>
              <w:spacing w:after="0"/>
              <w:rPr>
                <w:sz w:val="20"/>
                <w:szCs w:val="20"/>
                <w:color w:val="auto"/>
              </w:rPr>
            </w:pPr>
            <w:r>
              <w:rPr>
                <w:rFonts w:ascii="Arial" w:cs="Arial" w:eastAsia="Arial" w:hAnsi="Arial"/>
                <w:sz w:val="19"/>
                <w:szCs w:val="19"/>
                <w:b w:val="1"/>
                <w:bCs w:val="1"/>
                <w:color w:val="auto"/>
              </w:rPr>
              <w:t>AVROBIO,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tc>
        <w:tc>
          <w:tcPr>
            <w:tcW w:w="20" w:type="dxa"/>
            <w:vAlign w:val="bottom"/>
          </w:tcPr>
          <w:p>
            <w:pPr>
              <w:spacing w:after="0"/>
              <w:rPr>
                <w:sz w:val="22"/>
                <w:szCs w:val="22"/>
                <w:color w:val="auto"/>
              </w:rPr>
            </w:pPr>
          </w:p>
        </w:tc>
      </w:tr>
      <w:tr>
        <w:trPr>
          <w:trHeight w:val="452"/>
        </w:trPr>
        <w:tc>
          <w:tcPr>
            <w:tcW w:w="5580" w:type="dxa"/>
            <w:vAlign w:val="bottom"/>
            <w:gridSpan w:val="3"/>
          </w:tcPr>
          <w:p>
            <w:pPr>
              <w:ind w:left="20"/>
              <w:spacing w:after="0"/>
              <w:rPr>
                <w:sz w:val="20"/>
                <w:szCs w:val="20"/>
                <w:color w:val="auto"/>
              </w:rPr>
            </w:pPr>
            <w:r>
              <w:rPr>
                <w:rFonts w:ascii="Arial" w:cs="Arial" w:eastAsia="Arial" w:hAnsi="Arial"/>
                <w:sz w:val="19"/>
                <w:szCs w:val="19"/>
                <w:color w:val="auto"/>
              </w:rPr>
              <w:t>/s/ Brinda Balakrishan</w:t>
            </w:r>
          </w:p>
        </w:tc>
        <w:tc>
          <w:tcPr>
            <w:tcW w:w="5660" w:type="dxa"/>
            <w:vAlign w:val="bottom"/>
            <w:gridSpan w:val="2"/>
          </w:tcPr>
          <w:p>
            <w:pPr>
              <w:ind w:left="200"/>
              <w:spacing w:after="0"/>
              <w:rPr>
                <w:sz w:val="20"/>
                <w:szCs w:val="20"/>
                <w:color w:val="auto"/>
              </w:rPr>
            </w:pPr>
            <w:r>
              <w:rPr>
                <w:rFonts w:ascii="Arial" w:cs="Arial" w:eastAsia="Arial" w:hAnsi="Arial"/>
                <w:sz w:val="19"/>
                <w:szCs w:val="19"/>
                <w:color w:val="auto"/>
              </w:rPr>
              <w:t>/s/ Geoff MacKay</w:t>
            </w:r>
          </w:p>
        </w:tc>
        <w:tc>
          <w:tcPr>
            <w:tcW w:w="20" w:type="dxa"/>
            <w:vAlign w:val="bottom"/>
          </w:tcPr>
          <w:p>
            <w:pPr>
              <w:spacing w:after="0"/>
              <w:rPr>
                <w:sz w:val="24"/>
                <w:szCs w:val="24"/>
                <w:color w:val="auto"/>
              </w:rPr>
            </w:pPr>
          </w:p>
        </w:tc>
      </w:tr>
      <w:tr>
        <w:trPr>
          <w:trHeight w:val="447"/>
        </w:trPr>
        <w:tc>
          <w:tcPr>
            <w:tcW w:w="440" w:type="dxa"/>
            <w:vAlign w:val="bottom"/>
          </w:tcPr>
          <w:p>
            <w:pPr>
              <w:ind w:left="20"/>
              <w:spacing w:after="0"/>
              <w:rPr>
                <w:sz w:val="20"/>
                <w:szCs w:val="20"/>
                <w:color w:val="auto"/>
              </w:rPr>
            </w:pPr>
            <w:r>
              <w:rPr>
                <w:rFonts w:ascii="Arial" w:cs="Arial" w:eastAsia="Arial" w:hAnsi="Arial"/>
                <w:sz w:val="19"/>
                <w:szCs w:val="19"/>
                <w:color w:val="auto"/>
              </w:rPr>
              <w:t>By:</w:t>
            </w:r>
          </w:p>
        </w:tc>
        <w:tc>
          <w:tcPr>
            <w:tcW w:w="5140" w:type="dxa"/>
            <w:vAlign w:val="bottom"/>
            <w:gridSpan w:val="2"/>
          </w:tcPr>
          <w:p>
            <w:pPr>
              <w:ind w:left="140"/>
              <w:spacing w:after="0"/>
              <w:rPr>
                <w:sz w:val="20"/>
                <w:szCs w:val="20"/>
                <w:color w:val="auto"/>
              </w:rPr>
            </w:pPr>
            <w:r>
              <w:rPr>
                <w:rFonts w:ascii="Arial" w:cs="Arial" w:eastAsia="Arial" w:hAnsi="Arial"/>
                <w:sz w:val="19"/>
                <w:szCs w:val="19"/>
                <w:color w:val="auto"/>
              </w:rPr>
              <w:t>Brinda Balakrishan</w:t>
            </w:r>
          </w:p>
        </w:tc>
        <w:tc>
          <w:tcPr>
            <w:tcW w:w="760" w:type="dxa"/>
            <w:vAlign w:val="bottom"/>
          </w:tcPr>
          <w:p>
            <w:pPr>
              <w:ind w:left="200"/>
              <w:spacing w:after="0"/>
              <w:rPr>
                <w:sz w:val="20"/>
                <w:szCs w:val="20"/>
                <w:color w:val="auto"/>
              </w:rPr>
            </w:pPr>
            <w:r>
              <w:rPr>
                <w:rFonts w:ascii="Arial" w:cs="Arial" w:eastAsia="Arial" w:hAnsi="Arial"/>
                <w:sz w:val="19"/>
                <w:szCs w:val="19"/>
                <w:color w:val="auto"/>
              </w:rPr>
              <w:t>By:</w:t>
            </w:r>
          </w:p>
        </w:tc>
        <w:tc>
          <w:tcPr>
            <w:tcW w:w="4900" w:type="dxa"/>
            <w:vAlign w:val="bottom"/>
          </w:tcPr>
          <w:p>
            <w:pPr>
              <w:spacing w:after="0"/>
              <w:rPr>
                <w:sz w:val="20"/>
                <w:szCs w:val="20"/>
                <w:color w:val="auto"/>
              </w:rPr>
            </w:pPr>
            <w:r>
              <w:rPr>
                <w:rFonts w:ascii="Arial" w:cs="Arial" w:eastAsia="Arial" w:hAnsi="Arial"/>
                <w:sz w:val="19"/>
                <w:szCs w:val="19"/>
                <w:color w:val="auto"/>
              </w:rPr>
              <w:t>Geoff MacKay</w:t>
            </w:r>
          </w:p>
        </w:tc>
        <w:tc>
          <w:tcPr>
            <w:tcW w:w="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5"/>
        </w:trPr>
        <w:tc>
          <w:tcPr>
            <w:tcW w:w="440" w:type="dxa"/>
            <w:vAlign w:val="bottom"/>
          </w:tcPr>
          <w:p>
            <w:pPr>
              <w:ind w:left="20"/>
              <w:spacing w:after="0"/>
              <w:rPr>
                <w:sz w:val="20"/>
                <w:szCs w:val="20"/>
                <w:color w:val="auto"/>
              </w:rPr>
            </w:pPr>
            <w:r>
              <w:rPr>
                <w:rFonts w:ascii="Arial" w:cs="Arial" w:eastAsia="Arial" w:hAnsi="Arial"/>
                <w:sz w:val="19"/>
                <w:szCs w:val="19"/>
                <w:color w:val="auto"/>
              </w:rPr>
              <w:t>Its:</w:t>
            </w:r>
          </w:p>
        </w:tc>
        <w:tc>
          <w:tcPr>
            <w:tcW w:w="5140" w:type="dxa"/>
            <w:vAlign w:val="bottom"/>
            <w:gridSpan w:val="2"/>
          </w:tcPr>
          <w:p>
            <w:pPr>
              <w:ind w:left="140"/>
              <w:spacing w:after="0"/>
              <w:rPr>
                <w:sz w:val="20"/>
                <w:szCs w:val="20"/>
                <w:color w:val="auto"/>
              </w:rPr>
            </w:pPr>
            <w:r>
              <w:rPr>
                <w:rFonts w:ascii="Arial" w:cs="Arial" w:eastAsia="Arial" w:hAnsi="Arial"/>
                <w:sz w:val="19"/>
                <w:szCs w:val="19"/>
                <w:color w:val="auto"/>
              </w:rPr>
              <w:t>Group Vice President</w:t>
            </w:r>
          </w:p>
        </w:tc>
        <w:tc>
          <w:tcPr>
            <w:tcW w:w="760" w:type="dxa"/>
            <w:vAlign w:val="bottom"/>
          </w:tcPr>
          <w:p>
            <w:pPr>
              <w:ind w:left="200"/>
              <w:spacing w:after="0"/>
              <w:rPr>
                <w:sz w:val="20"/>
                <w:szCs w:val="20"/>
                <w:color w:val="auto"/>
              </w:rPr>
            </w:pPr>
            <w:r>
              <w:rPr>
                <w:rFonts w:ascii="Arial" w:cs="Arial" w:eastAsia="Arial" w:hAnsi="Arial"/>
                <w:sz w:val="19"/>
                <w:szCs w:val="19"/>
                <w:color w:val="auto"/>
              </w:rPr>
              <w:t>Its:</w:t>
            </w:r>
          </w:p>
        </w:tc>
        <w:tc>
          <w:tcPr>
            <w:tcW w:w="4900" w:type="dxa"/>
            <w:vAlign w:val="bottom"/>
          </w:tcPr>
          <w:p>
            <w:pPr>
              <w:spacing w:after="0"/>
              <w:rPr>
                <w:sz w:val="20"/>
                <w:szCs w:val="20"/>
                <w:color w:val="auto"/>
              </w:rPr>
            </w:pPr>
            <w:r>
              <w:rPr>
                <w:rFonts w:ascii="Arial" w:cs="Arial" w:eastAsia="Arial" w:hAnsi="Arial"/>
                <w:sz w:val="19"/>
                <w:szCs w:val="19"/>
                <w:color w:val="auto"/>
              </w:rPr>
              <w:t>President &amp; CEO</w:t>
            </w:r>
          </w:p>
        </w:tc>
        <w:tc>
          <w:tcPr>
            <w:tcW w:w="20" w:type="dxa"/>
            <w:vAlign w:val="bottom"/>
          </w:tcPr>
          <w:p>
            <w:pPr>
              <w:spacing w:after="0"/>
              <w:rPr>
                <w:sz w:val="24"/>
                <w:szCs w:val="24"/>
                <w:color w:val="auto"/>
              </w:rPr>
            </w:pPr>
          </w:p>
        </w:tc>
      </w:tr>
      <w:tr>
        <w:trPr>
          <w:trHeight w:val="869"/>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0" w:type="dxa"/>
            <w:vAlign w:val="bottom"/>
            <w:tcBorders>
              <w:top w:val="single" w:sz="8" w:color="auto"/>
            </w:tcBorders>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w:t>
            </w:r>
          </w:p>
        </w:tc>
        <w:tc>
          <w:tcPr>
            <w:tcW w:w="4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561" w:right="31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b w:val="1"/>
          <w:bCs w:val="1"/>
          <w:color w:val="auto"/>
        </w:rPr>
        <w:t>Attachment 1</w:t>
      </w:r>
    </w:p>
    <w:p>
      <w:pPr>
        <w:sectPr>
          <w:pgSz w:w="11900" w:h="16838" w:orient="portrait"/>
          <w:cols w:equalWidth="0" w:num="1">
            <w:col w:w="9019"/>
          </w:cols>
          <w:pgMar w:left="1440" w:top="342"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342" w:right="1440" w:bottom="1440" w:gutter="0" w:footer="0" w:header="0"/>
          <w:type w:val="continuous"/>
        </w:sectPr>
      </w:pPr>
    </w:p>
    <w:bookmarkStart w:id="150" w:name="page151"/>
    <w:bookmarkEnd w:id="150"/>
    <w:p>
      <w:pPr>
        <w:ind w:left="10440"/>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XHIBIT</w:t>
      </w:r>
      <w:r>
        <w:rPr>
          <w:rFonts w:ascii="Arial" w:cs="Arial" w:eastAsia="Arial" w:hAnsi="Arial"/>
          <w:sz w:val="16"/>
          <w:szCs w:val="16"/>
          <w:b w:val="1"/>
          <w:bCs w:val="1"/>
          <w:color w:val="auto"/>
        </w:rPr>
        <w:t xml:space="preserve"> 10.8</w:t>
      </w:r>
    </w:p>
    <w:p>
      <w:pPr>
        <w:spacing w:after="0" w:line="218"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color w:val="auto"/>
        </w:rPr>
        <w:t>CERTAIN CONFIDENTIAL INFORMATION CONTAINED IN THIS DOCUMENT, MARKED BY [***], HAS BEEN OMITTED BECAUSE IT IS BOTH (I) NOT MATERIAL AND (II) WOULD LIKELY CAUSE COMPETITIVE HARM IF PUBLICLY DISCLOSED.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2 TO LICENSE AGREEMENT</w:t>
      </w:r>
    </w:p>
    <w:p>
      <w:pPr>
        <w:spacing w:after="0" w:line="22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This AMENDMENT NO. 2 TO LICENSE AGREEMENT (herein referred to as “</w:t>
      </w:r>
      <w:r>
        <w:rPr>
          <w:rFonts w:ascii="Arial" w:cs="Arial" w:eastAsia="Arial" w:hAnsi="Arial"/>
          <w:sz w:val="19"/>
          <w:szCs w:val="19"/>
          <w:b w:val="1"/>
          <w:bCs w:val="1"/>
          <w:color w:val="auto"/>
        </w:rPr>
        <w:t>Amendment No. 2</w:t>
      </w:r>
      <w:r>
        <w:rPr>
          <w:rFonts w:ascii="Arial" w:cs="Arial" w:eastAsia="Arial" w:hAnsi="Arial"/>
          <w:sz w:val="19"/>
          <w:szCs w:val="19"/>
          <w:color w:val="auto"/>
        </w:rPr>
        <w:t>”) is made and entered into as of this 7th day of January, 2020 (the “</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 between BioMarin Pharmaceutical Inc., a Delaware corporation, with offices at 770 Lindaro Street, San Rafael, CA 94901 (“</w:t>
      </w:r>
      <w:r>
        <w:rPr>
          <w:rFonts w:ascii="Arial" w:cs="Arial" w:eastAsia="Arial" w:hAnsi="Arial"/>
          <w:sz w:val="19"/>
          <w:szCs w:val="19"/>
          <w:b w:val="1"/>
          <w:bCs w:val="1"/>
          <w:color w:val="auto"/>
        </w:rPr>
        <w:t>BioMarin</w:t>
      </w:r>
      <w:r>
        <w:rPr>
          <w:rFonts w:ascii="Arial" w:cs="Arial" w:eastAsia="Arial" w:hAnsi="Arial"/>
          <w:sz w:val="19"/>
          <w:szCs w:val="19"/>
          <w:color w:val="auto"/>
        </w:rPr>
        <w:t xml:space="preserve">”), and </w:t>
      </w:r>
      <w:r>
        <w:rPr>
          <w:rFonts w:ascii="Arial" w:cs="Arial" w:eastAsia="Arial" w:hAnsi="Arial"/>
          <w:sz w:val="19"/>
          <w:szCs w:val="19"/>
          <w:b w:val="1"/>
          <w:bCs w:val="1"/>
          <w:color w:val="auto"/>
        </w:rPr>
        <w:t>AVROBIO, Inc.</w:t>
      </w:r>
      <w:r>
        <w:rPr>
          <w:rFonts w:ascii="Arial" w:cs="Arial" w:eastAsia="Arial" w:hAnsi="Arial"/>
          <w:sz w:val="19"/>
          <w:szCs w:val="19"/>
          <w:color w:val="auto"/>
        </w:rPr>
        <w:t>, a Delaware corporation having a place of business at One Kendall Square, Building 300, Suite 201, Cambridge, MA 02139 (“</w:t>
      </w:r>
      <w:r>
        <w:rPr>
          <w:rFonts w:ascii="Arial" w:cs="Arial" w:eastAsia="Arial" w:hAnsi="Arial"/>
          <w:sz w:val="19"/>
          <w:szCs w:val="19"/>
          <w:b w:val="1"/>
          <w:bCs w:val="1"/>
          <w:color w:val="auto"/>
        </w:rPr>
        <w:t>AVROBIO</w:t>
      </w:r>
      <w:r>
        <w:rPr>
          <w:rFonts w:ascii="Arial" w:cs="Arial" w:eastAsia="Arial" w:hAnsi="Arial"/>
          <w:sz w:val="19"/>
          <w:szCs w:val="19"/>
          <w:color w:val="auto"/>
        </w:rPr>
        <w:t>”). Each of BioMarin and “AVROBIO” may be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91" w:lineRule="exact"/>
        <w:rPr>
          <w:sz w:val="20"/>
          <w:szCs w:val="20"/>
          <w:color w:val="auto"/>
        </w:rPr>
      </w:pPr>
    </w:p>
    <w:p>
      <w:pPr>
        <w:jc w:val="both"/>
        <w:ind w:left="860" w:hanging="854"/>
        <w:spacing w:after="0" w:line="277" w:lineRule="auto"/>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Amendment No. 2 shall serve as an amendment to that certain License Agreement, effective as of August 31, 2017 and amended effective as of February 21, 2018 by and between AVROBIO and BioMarin (the “</w:t>
      </w:r>
      <w:r>
        <w:rPr>
          <w:rFonts w:ascii="Arial" w:cs="Arial" w:eastAsia="Arial" w:hAnsi="Arial"/>
          <w:sz w:val="18"/>
          <w:szCs w:val="18"/>
          <w:b w:val="1"/>
          <w:bCs w:val="1"/>
          <w:color w:val="auto"/>
        </w:rPr>
        <w:t>Original Agreement</w:t>
      </w:r>
      <w:r>
        <w:rPr>
          <w:rFonts w:ascii="Arial" w:cs="Arial" w:eastAsia="Arial" w:hAnsi="Arial"/>
          <w:sz w:val="18"/>
          <w:szCs w:val="18"/>
          <w:color w:val="auto"/>
        </w:rPr>
        <w:t>”). Except as expressly modified hereby, the Original Agreement shall continue in full force according to its terms. Capitalized terms not otherwise defined in this Amendment No. 2 shall have the meaning ascribed to such term in the Original Agreement.</w:t>
      </w:r>
    </w:p>
    <w:p>
      <w:pPr>
        <w:spacing w:after="0" w:line="160" w:lineRule="exact"/>
        <w:rPr>
          <w:rFonts w:ascii="Arial" w:cs="Arial" w:eastAsia="Arial" w:hAnsi="Arial"/>
          <w:sz w:val="18"/>
          <w:szCs w:val="18"/>
          <w:color w:val="auto"/>
        </w:rPr>
      </w:pPr>
    </w:p>
    <w:p>
      <w:pPr>
        <w:jc w:val="both"/>
        <w:ind w:left="860" w:hanging="854"/>
        <w:spacing w:after="0" w:line="263" w:lineRule="auto"/>
        <w:tabs>
          <w:tab w:leader="none" w:pos="8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AVROBIO’s address set forth in the introductory paragraph of the Original Agreement and in Section 11.4 of the Original Agreement is hereby deleted in its entirety and replaced with the AVROBIO address set forth above in the introductory paragraph of this Amendment No. 2.</w:t>
      </w:r>
    </w:p>
    <w:p>
      <w:pPr>
        <w:spacing w:after="0" w:line="171" w:lineRule="exact"/>
        <w:rPr>
          <w:rFonts w:ascii="Arial" w:cs="Arial" w:eastAsia="Arial" w:hAnsi="Arial"/>
          <w:sz w:val="19"/>
          <w:szCs w:val="19"/>
          <w:color w:val="auto"/>
        </w:rPr>
      </w:pPr>
    </w:p>
    <w:p>
      <w:pPr>
        <w:ind w:left="860" w:hanging="854"/>
        <w:spacing w:after="0"/>
        <w:tabs>
          <w:tab w:leader="none" w:pos="8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Section 2.1.2 of the Original Agreement is hereby deleted and replaced with the following:</w:t>
      </w:r>
    </w:p>
    <w:p>
      <w:pPr>
        <w:spacing w:after="0" w:line="220" w:lineRule="exact"/>
        <w:rPr>
          <w:sz w:val="20"/>
          <w:szCs w:val="20"/>
          <w:color w:val="auto"/>
        </w:rPr>
      </w:pPr>
    </w:p>
    <w:p>
      <w:pPr>
        <w:jc w:val="both"/>
        <w:ind w:left="880" w:firstLine="797"/>
        <w:spacing w:after="0" w:line="253" w:lineRule="auto"/>
        <w:rPr>
          <w:sz w:val="20"/>
          <w:szCs w:val="20"/>
          <w:color w:val="auto"/>
        </w:rPr>
      </w:pPr>
      <w:r>
        <w:rPr>
          <w:rFonts w:ascii="Arial" w:cs="Arial" w:eastAsia="Arial" w:hAnsi="Arial"/>
          <w:sz w:val="19"/>
          <w:szCs w:val="19"/>
          <w:color w:val="auto"/>
        </w:rPr>
        <w:t xml:space="preserve">“2.1.2 Subject to the terms and conditions of this Agreement, BioMarin hereby grants to AVROBIO a limited, non-sublicensable, non-transferable, non-exclusive license to use [***] solely for the experiments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which shall be performed by AVROBIO personnel or by a permitted Third Party at the facilities expressly specified therein. With BioMarin’s prior written consent, AVROBIO may subcontract the performance of certain experiments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to additional Third Parties, including consultants. With respect to each and any such Third Party (a) such Third Party shall be bound by obligations consistent with AVROBIO’s obligations set forth in Sections 2.6.2, 2.6.5, 2.6.7, and 7 of this Agreement; and (b) AVROBIO shall remain liable for such permitted Third Party’s performance.”</w:t>
      </w:r>
    </w:p>
    <w:p>
      <w:pPr>
        <w:spacing w:after="0" w:line="181" w:lineRule="exact"/>
        <w:rPr>
          <w:sz w:val="20"/>
          <w:szCs w:val="20"/>
          <w:color w:val="auto"/>
        </w:rPr>
      </w:pPr>
    </w:p>
    <w:p>
      <w:pPr>
        <w:ind w:left="860" w:hanging="854"/>
        <w:spacing w:after="0"/>
        <w:tabs>
          <w:tab w:leader="none" w:pos="8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Section 2.6.1 of the Original Agreement is hereby deleted and replaced with the following:</w:t>
      </w:r>
    </w:p>
    <w:p>
      <w:pPr>
        <w:spacing w:after="0" w:line="220" w:lineRule="exact"/>
        <w:rPr>
          <w:sz w:val="20"/>
          <w:szCs w:val="20"/>
          <w:color w:val="auto"/>
        </w:rPr>
      </w:pPr>
    </w:p>
    <w:p>
      <w:pPr>
        <w:ind w:left="1660"/>
        <w:spacing w:after="0"/>
        <w:tabs>
          <w:tab w:leader="none" w:pos="27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BioMarin agrees to supply AVROBIO, and/or any permitted Third Party as directed by AVROBIO, with</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 in the amount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hereto.”</w:t>
      </w:r>
    </w:p>
    <w:p>
      <w:pPr>
        <w:spacing w:after="0" w:line="203" w:lineRule="exact"/>
        <w:rPr>
          <w:sz w:val="20"/>
          <w:szCs w:val="20"/>
          <w:color w:val="auto"/>
        </w:rPr>
      </w:pPr>
    </w:p>
    <w:p>
      <w:pPr>
        <w:ind w:left="860" w:hanging="854"/>
        <w:spacing w:after="0" w:line="279" w:lineRule="auto"/>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As of the Amendment No. 2 Effective Date,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attached to the Original Agreement is replaced in its entirety with a new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in the form attached to this Amendment No. 2 as </w:t>
      </w:r>
      <w:r>
        <w:rPr>
          <w:rFonts w:ascii="Arial" w:cs="Arial" w:eastAsia="Arial" w:hAnsi="Arial"/>
          <w:sz w:val="19"/>
          <w:szCs w:val="19"/>
          <w:b w:val="1"/>
          <w:bCs w:val="1"/>
          <w:color w:val="auto"/>
        </w:rPr>
        <w:t>Attachment 1</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860" w:hanging="854"/>
        <w:spacing w:after="0" w:line="279" w:lineRule="auto"/>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This Amendment No. 2 shall inure to the benefit of and be binding upon the Parties hereto and their respective heirs, successors, trustees, transferees and assigns.</w:t>
      </w:r>
    </w:p>
    <w:p>
      <w:pPr>
        <w:spacing w:after="0" w:line="156" w:lineRule="exact"/>
        <w:rPr>
          <w:rFonts w:ascii="Arial" w:cs="Arial" w:eastAsia="Arial" w:hAnsi="Arial"/>
          <w:sz w:val="19"/>
          <w:szCs w:val="19"/>
          <w:color w:val="auto"/>
        </w:rPr>
      </w:pPr>
    </w:p>
    <w:p>
      <w:pPr>
        <w:ind w:left="860" w:hanging="854"/>
        <w:spacing w:after="0" w:line="279" w:lineRule="auto"/>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This Amendment No. 2 may be executed in any number of counterparts, each of which shall be deemed an original, but all of which together shall constitute one and the same instrument.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201295</wp:posOffset>
            </wp:positionV>
            <wp:extent cx="717677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1" w:name="page152"/>
    <w:bookmarkEnd w:id="151"/>
    <w:p>
      <w:pPr>
        <w:ind w:right="40" w:firstLine="864"/>
        <w:spacing w:after="0" w:line="279" w:lineRule="auto"/>
        <w:rPr>
          <w:sz w:val="20"/>
          <w:szCs w:val="20"/>
          <w:color w:val="auto"/>
        </w:rPr>
      </w:pPr>
      <w:r>
        <w:rPr>
          <w:rFonts w:ascii="Arial" w:cs="Arial" w:eastAsia="Arial" w:hAnsi="Arial"/>
          <w:sz w:val="19"/>
          <w:szCs w:val="19"/>
          <w:color w:val="auto"/>
        </w:rPr>
        <w:t>IN WITNESS WHEREOF, the Parties hereto, intending to be legally bound hereby, have caused this Amendment No. 2 to be executed and delivered by their proper and duly authorized officers effective as of the day and year first above written.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gridSpan w:val="3"/>
          </w:tcPr>
          <w:p>
            <w:pPr>
              <w:spacing w:after="0"/>
              <w:rPr>
                <w:sz w:val="20"/>
                <w:szCs w:val="20"/>
                <w:color w:val="auto"/>
              </w:rPr>
            </w:pPr>
            <w:r>
              <w:rPr>
                <w:rFonts w:ascii="Arial" w:cs="Arial" w:eastAsia="Arial" w:hAnsi="Arial"/>
                <w:sz w:val="19"/>
                <w:szCs w:val="19"/>
                <w:b w:val="1"/>
                <w:bCs w:val="1"/>
                <w:color w:val="auto"/>
              </w:rPr>
              <w:t>B</w:t>
            </w:r>
            <w:r>
              <w:rPr>
                <w:rFonts w:ascii="Arial" w:cs="Arial" w:eastAsia="Arial" w:hAnsi="Arial"/>
                <w:sz w:val="13"/>
                <w:szCs w:val="13"/>
                <w:b w:val="1"/>
                <w:bCs w:val="1"/>
                <w:color w:val="auto"/>
              </w:rPr>
              <w:t>IO</w:t>
            </w:r>
            <w:r>
              <w:rPr>
                <w:rFonts w:ascii="Arial" w:cs="Arial" w:eastAsia="Arial" w:hAnsi="Arial"/>
                <w:sz w:val="19"/>
                <w:szCs w:val="19"/>
                <w:b w:val="1"/>
                <w:bCs w:val="1"/>
                <w:color w:val="auto"/>
              </w:rPr>
              <w:t>M</w:t>
            </w:r>
            <w:r>
              <w:rPr>
                <w:rFonts w:ascii="Arial" w:cs="Arial" w:eastAsia="Arial" w:hAnsi="Arial"/>
                <w:sz w:val="13"/>
                <w:szCs w:val="13"/>
                <w:b w:val="1"/>
                <w:bCs w:val="1"/>
                <w:color w:val="auto"/>
              </w:rPr>
              <w:t>ARIN</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HARMACEUTICAL</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300" w:type="dxa"/>
            <w:vAlign w:val="bottom"/>
            <w:gridSpan w:val="2"/>
          </w:tcPr>
          <w:p>
            <w:pPr>
              <w:spacing w:after="0"/>
              <w:rPr>
                <w:sz w:val="20"/>
                <w:szCs w:val="20"/>
                <w:color w:val="auto"/>
              </w:rPr>
            </w:pPr>
            <w:r>
              <w:rPr>
                <w:rFonts w:ascii="Arial" w:cs="Arial" w:eastAsia="Arial" w:hAnsi="Arial"/>
                <w:sz w:val="19"/>
                <w:szCs w:val="19"/>
                <w:b w:val="1"/>
                <w:bCs w:val="1"/>
                <w:color w:val="auto"/>
              </w:rPr>
              <w:t>AVROBIO,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tc>
        <w:tc>
          <w:tcPr>
            <w:tcW w:w="20" w:type="dxa"/>
            <w:vAlign w:val="bottom"/>
          </w:tcPr>
          <w:p>
            <w:pPr>
              <w:spacing w:after="0"/>
              <w:rPr>
                <w:sz w:val="22"/>
                <w:szCs w:val="22"/>
                <w:color w:val="auto"/>
              </w:rPr>
            </w:pPr>
          </w:p>
        </w:tc>
      </w:tr>
      <w:tr>
        <w:trPr>
          <w:trHeight w:val="447"/>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/s/ Brinda Balakrishan</w:t>
            </w:r>
          </w:p>
        </w:tc>
        <w:tc>
          <w:tcPr>
            <w:tcW w:w="1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Geoff MacKay</w:t>
            </w:r>
          </w:p>
        </w:tc>
        <w:tc>
          <w:tcPr>
            <w:tcW w:w="20" w:type="dxa"/>
            <w:vAlign w:val="bottom"/>
          </w:tcPr>
          <w:p>
            <w:pPr>
              <w:spacing w:after="0"/>
              <w:rPr>
                <w:sz w:val="24"/>
                <w:szCs w:val="24"/>
                <w:color w:val="auto"/>
              </w:rPr>
            </w:pPr>
          </w:p>
        </w:tc>
      </w:tr>
      <w:tr>
        <w:trPr>
          <w:trHeight w:val="445"/>
        </w:trPr>
        <w:tc>
          <w:tcPr>
            <w:tcW w:w="360" w:type="dxa"/>
            <w:vAlign w:val="bottom"/>
          </w:tcPr>
          <w:p>
            <w:pPr>
              <w:spacing w:after="0"/>
              <w:rPr>
                <w:sz w:val="20"/>
                <w:szCs w:val="20"/>
                <w:color w:val="auto"/>
              </w:rPr>
            </w:pPr>
            <w:r>
              <w:rPr>
                <w:rFonts w:ascii="Arial" w:cs="Arial" w:eastAsia="Arial" w:hAnsi="Arial"/>
                <w:sz w:val="19"/>
                <w:szCs w:val="19"/>
                <w:color w:val="auto"/>
              </w:rPr>
              <w:t>B</w:t>
            </w:r>
            <w:r>
              <w:rPr>
                <w:rFonts w:ascii="Arial" w:cs="Arial" w:eastAsia="Arial" w:hAnsi="Arial"/>
                <w:sz w:val="13"/>
                <w:szCs w:val="13"/>
                <w:color w:val="auto"/>
              </w:rPr>
              <w:t>Y</w:t>
            </w:r>
            <w:r>
              <w:rPr>
                <w:rFonts w:ascii="Arial" w:cs="Arial" w:eastAsia="Arial" w:hAnsi="Arial"/>
                <w:sz w:val="19"/>
                <w:szCs w:val="19"/>
                <w:color w:val="auto"/>
              </w:rPr>
              <w:t>:</w:t>
            </w:r>
          </w:p>
        </w:tc>
        <w:tc>
          <w:tcPr>
            <w:tcW w:w="3720" w:type="dxa"/>
            <w:vAlign w:val="bottom"/>
            <w:gridSpan w:val="2"/>
          </w:tcPr>
          <w:p>
            <w:pPr>
              <w:ind w:left="80"/>
              <w:spacing w:after="0"/>
              <w:rPr>
                <w:sz w:val="20"/>
                <w:szCs w:val="20"/>
                <w:color w:val="auto"/>
              </w:rPr>
            </w:pPr>
            <w:r>
              <w:rPr>
                <w:rFonts w:ascii="Arial" w:cs="Arial" w:eastAsia="Arial" w:hAnsi="Arial"/>
                <w:sz w:val="19"/>
                <w:szCs w:val="19"/>
                <w:color w:val="auto"/>
              </w:rPr>
              <w:t>Brinda Balakrishan</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B</w:t>
            </w:r>
            <w:r>
              <w:rPr>
                <w:rFonts w:ascii="Arial" w:cs="Arial" w:eastAsia="Arial" w:hAnsi="Arial"/>
                <w:sz w:val="13"/>
                <w:szCs w:val="13"/>
                <w:color w:val="auto"/>
              </w:rPr>
              <w:t>Y</w:t>
            </w:r>
            <w:r>
              <w:rPr>
                <w:rFonts w:ascii="Arial" w:cs="Arial" w:eastAsia="Arial" w:hAnsi="Arial"/>
                <w:sz w:val="19"/>
                <w:szCs w:val="19"/>
                <w:color w:val="auto"/>
              </w:rPr>
              <w:t>:  Geoff MacKay</w:t>
            </w:r>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5"/>
        </w:trPr>
        <w:tc>
          <w:tcPr>
            <w:tcW w:w="360" w:type="dxa"/>
            <w:vAlign w:val="bottom"/>
          </w:tcPr>
          <w:p>
            <w:pPr>
              <w:spacing w:after="0"/>
              <w:rPr>
                <w:sz w:val="20"/>
                <w:szCs w:val="20"/>
                <w:color w:val="auto"/>
              </w:rPr>
            </w:pPr>
            <w:r>
              <w:rPr>
                <w:rFonts w:ascii="Arial" w:cs="Arial" w:eastAsia="Arial" w:hAnsi="Arial"/>
                <w:sz w:val="19"/>
                <w:szCs w:val="19"/>
                <w:color w:val="auto"/>
              </w:rPr>
              <w:t>I</w:t>
            </w:r>
            <w:r>
              <w:rPr>
                <w:rFonts w:ascii="Arial" w:cs="Arial" w:eastAsia="Arial" w:hAnsi="Arial"/>
                <w:sz w:val="13"/>
                <w:szCs w:val="13"/>
                <w:color w:val="auto"/>
              </w:rPr>
              <w:t>TS</w:t>
            </w:r>
            <w:r>
              <w:rPr>
                <w:rFonts w:ascii="Arial" w:cs="Arial" w:eastAsia="Arial" w:hAnsi="Arial"/>
                <w:sz w:val="19"/>
                <w:szCs w:val="19"/>
                <w:color w:val="auto"/>
              </w:rPr>
              <w:t>:</w:t>
            </w:r>
          </w:p>
        </w:tc>
        <w:tc>
          <w:tcPr>
            <w:tcW w:w="3720" w:type="dxa"/>
            <w:vAlign w:val="bottom"/>
            <w:gridSpan w:val="2"/>
          </w:tcPr>
          <w:p>
            <w:pPr>
              <w:ind w:left="80"/>
              <w:spacing w:after="0"/>
              <w:rPr>
                <w:sz w:val="20"/>
                <w:szCs w:val="20"/>
                <w:color w:val="auto"/>
              </w:rPr>
            </w:pPr>
            <w:r>
              <w:rPr>
                <w:rFonts w:ascii="Arial" w:cs="Arial" w:eastAsia="Arial" w:hAnsi="Arial"/>
                <w:sz w:val="19"/>
                <w:szCs w:val="19"/>
                <w:color w:val="auto"/>
              </w:rPr>
              <w:t>Group Vice President</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9"/>
                <w:szCs w:val="19"/>
                <w:color w:val="auto"/>
              </w:rPr>
              <w:t>I</w:t>
            </w:r>
            <w:r>
              <w:rPr>
                <w:rFonts w:ascii="Arial" w:cs="Arial" w:eastAsia="Arial" w:hAnsi="Arial"/>
                <w:sz w:val="13"/>
                <w:szCs w:val="13"/>
                <w:color w:val="auto"/>
              </w:rPr>
              <w:t>TS</w:t>
            </w:r>
            <w:r>
              <w:rPr>
                <w:rFonts w:ascii="Arial" w:cs="Arial" w:eastAsia="Arial" w:hAnsi="Arial"/>
                <w:sz w:val="19"/>
                <w:szCs w:val="19"/>
                <w:color w:val="auto"/>
              </w:rPr>
              <w:t>:  CEO</w:t>
            </w:r>
          </w:p>
        </w:tc>
        <w:tc>
          <w:tcPr>
            <w:tcW w:w="20" w:type="dxa"/>
            <w:vAlign w:val="bottom"/>
          </w:tcPr>
          <w:p>
            <w:pPr>
              <w:spacing w:after="0"/>
              <w:rPr>
                <w:sz w:val="24"/>
                <w:szCs w:val="24"/>
                <w:color w:val="auto"/>
              </w:rPr>
            </w:pPr>
          </w:p>
        </w:tc>
      </w:tr>
      <w:tr>
        <w:trPr>
          <w:trHeight w:val="241"/>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08-Jan-2020</w:t>
            </w:r>
          </w:p>
        </w:tc>
        <w:tc>
          <w:tcPr>
            <w:tcW w:w="15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08-Jan-2020</w:t>
            </w:r>
          </w:p>
        </w:tc>
        <w:tc>
          <w:tcPr>
            <w:tcW w:w="20" w:type="dxa"/>
            <w:vAlign w:val="bottom"/>
          </w:tcPr>
          <w:p>
            <w:pPr>
              <w:spacing w:after="0"/>
              <w:rPr>
                <w:sz w:val="20"/>
                <w:szCs w:val="20"/>
                <w:color w:val="auto"/>
              </w:rPr>
            </w:pPr>
          </w:p>
        </w:tc>
      </w:tr>
      <w:tr>
        <w:trPr>
          <w:trHeight w:val="628"/>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7"/>
          <w:szCs w:val="17"/>
          <w:b w:val="1"/>
          <w:bCs w:val="1"/>
          <w:color w:val="auto"/>
        </w:rPr>
        <w:t>Attachment 1</w:t>
      </w:r>
    </w:p>
    <w:p>
      <w:pPr>
        <w:sectPr>
          <w:pgSz w:w="11900" w:h="16838" w:orient="portrait"/>
          <w:cols w:equalWidth="0" w:num="1">
            <w:col w:w="9019"/>
          </w:cols>
          <w:pgMar w:left="1440" w:top="343"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Schedule 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343" w:right="1440"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9"/>
          <w:szCs w:val="19"/>
          <w:b w:val="1"/>
          <w:bCs w:val="1"/>
          <w:color w:val="auto"/>
        </w:rPr>
        <w:t>Exhibit 10.16</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AVROBIO, INC.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EMPLOYMENT AGREEMENT</w:t>
      </w:r>
    </w:p>
    <w:p>
      <w:pPr>
        <w:spacing w:after="0" w:line="312" w:lineRule="exact"/>
        <w:rPr>
          <w:sz w:val="20"/>
          <w:szCs w:val="20"/>
          <w:color w:val="auto"/>
        </w:rPr>
      </w:pPr>
    </w:p>
    <w:p>
      <w:pPr>
        <w:ind w:right="80" w:firstLine="843"/>
        <w:spacing w:after="0" w:line="247" w:lineRule="auto"/>
        <w:rPr>
          <w:sz w:val="20"/>
          <w:szCs w:val="20"/>
          <w:color w:val="auto"/>
        </w:rPr>
      </w:pPr>
      <w:r>
        <w:rPr>
          <w:rFonts w:ascii="Arial" w:cs="Arial" w:eastAsia="Arial" w:hAnsi="Arial"/>
          <w:sz w:val="21"/>
          <w:szCs w:val="21"/>
          <w:color w:val="auto"/>
        </w:rPr>
        <w:t>This Employment Agreement (“Agreement”) is made as of the 1st day of September, 2018, between AVROBIO, Inc., a Delaware corporation (the “Company”), and Deanna Petersen (the “Executive”) and is effective as of the closing of the Company’s first underwritten public offering of its equity securities pursuant to an effective registration statement under the Securities Act of 1933, as amended (the “Effective Date”).</w:t>
      </w:r>
    </w:p>
    <w:p>
      <w:pPr>
        <w:spacing w:after="0" w:line="175" w:lineRule="exact"/>
        <w:rPr>
          <w:sz w:val="20"/>
          <w:szCs w:val="20"/>
          <w:color w:val="auto"/>
        </w:rPr>
      </w:pPr>
    </w:p>
    <w:p>
      <w:pPr>
        <w:ind w:firstLine="843"/>
        <w:spacing w:after="0" w:line="267" w:lineRule="auto"/>
        <w:rPr>
          <w:sz w:val="20"/>
          <w:szCs w:val="20"/>
          <w:color w:val="auto"/>
        </w:rPr>
      </w:pPr>
      <w:r>
        <w:rPr>
          <w:rFonts w:ascii="Arial" w:cs="Arial" w:eastAsia="Arial" w:hAnsi="Arial"/>
          <w:sz w:val="21"/>
          <w:szCs w:val="21"/>
          <w:color w:val="auto"/>
        </w:rPr>
        <w:t>WHEREAS, the Company and the Executive are parties to an existing employment agreement, dated January 4, 2017 (the “Prior Agreement”); and</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WHEREAS, the parties intend to replace the Prior Agreement with this Agreement, effective as of the Effective Date.</w:t>
      </w:r>
    </w:p>
    <w:p>
      <w:pPr>
        <w:spacing w:after="0" w:line="222" w:lineRule="exact"/>
        <w:rPr>
          <w:sz w:val="20"/>
          <w:szCs w:val="20"/>
          <w:color w:val="auto"/>
        </w:rPr>
      </w:pPr>
    </w:p>
    <w:p>
      <w:pPr>
        <w:ind w:right="480" w:firstLine="843"/>
        <w:spacing w:after="0" w:line="252" w:lineRule="auto"/>
        <w:rPr>
          <w:sz w:val="20"/>
          <w:szCs w:val="20"/>
          <w:color w:val="auto"/>
        </w:rPr>
      </w:pPr>
      <w:r>
        <w:rPr>
          <w:rFonts w:ascii="Arial" w:cs="Arial" w:eastAsia="Arial" w:hAnsi="Arial"/>
          <w:sz w:val="21"/>
          <w:szCs w:val="21"/>
          <w:color w:val="auto"/>
        </w:rPr>
        <w:t>NOW, THEREFORE, in consideration of the mutual covenants and agreements herein contained and other good and valuable consideration, the receipt and sufficiency of which is hereby acknowledged, the parties agree to restate the Prior Agreement as follows:</w:t>
      </w:r>
    </w:p>
    <w:p>
      <w:pPr>
        <w:spacing w:after="0" w:line="169" w:lineRule="exact"/>
        <w:rPr>
          <w:sz w:val="20"/>
          <w:szCs w:val="20"/>
          <w:color w:val="auto"/>
        </w:rPr>
      </w:pPr>
    </w:p>
    <w:p>
      <w:pPr>
        <w:ind w:left="1640" w:hanging="791"/>
        <w:spacing w:after="0"/>
        <w:tabs>
          <w:tab w:leader="none" w:pos="164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jc w:val="both"/>
        <w:ind w:right="60" w:firstLine="1644"/>
        <w:spacing w:after="0" w:line="247" w:lineRule="auto"/>
        <w:tabs>
          <w:tab w:leader="none" w:pos="2506"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commence on the Effective Date and continue until terminated in accordance with the provisions hereof (the “Term”). The Executive’s employment with the Company will continue to be “at will,” meaning that the Executive’s employment may be terminated by the Company or the Executive at any time and for any reason subject to the terms of this Agreement.</w:t>
      </w:r>
    </w:p>
    <w:p>
      <w:pPr>
        <w:spacing w:after="0" w:line="174" w:lineRule="exact"/>
        <w:rPr>
          <w:rFonts w:ascii="Arial" w:cs="Arial" w:eastAsia="Arial" w:hAnsi="Arial"/>
          <w:sz w:val="21"/>
          <w:szCs w:val="21"/>
          <w:color w:val="auto"/>
        </w:rPr>
      </w:pPr>
    </w:p>
    <w:p>
      <w:pPr>
        <w:ind w:right="40" w:firstLine="1644"/>
        <w:spacing w:after="0" w:line="254" w:lineRule="auto"/>
        <w:tabs>
          <w:tab w:leader="none" w:pos="2518"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 During the Term, the Executive shall serve as the Chief Business Officer of the Company, and shall have supervision and control over and responsibility for the day-to-day business and affairs of the Company and shall have such other powers and duties as may from time to time be prescribed by the Board of Directors of the Company (the “Board”), the Chief Executive Officer of the Company (the “CEO”) or other authorized executive. The Executive shall devote her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her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pacing w:after="0" w:line="169" w:lineRule="exact"/>
        <w:rPr>
          <w:rFonts w:ascii="Arial" w:cs="Arial" w:eastAsia="Arial" w:hAnsi="Arial"/>
          <w:sz w:val="20"/>
          <w:szCs w:val="20"/>
          <w:color w:val="auto"/>
        </w:rPr>
      </w:pPr>
    </w:p>
    <w:p>
      <w:pPr>
        <w:ind w:left="1640" w:hanging="791"/>
        <w:spacing w:after="0"/>
        <w:tabs>
          <w:tab w:leader="none" w:pos="164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Compensation and Related Matters</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ind w:right="40" w:firstLine="1644"/>
        <w:spacing w:after="0" w:line="247" w:lineRule="auto"/>
        <w:tabs>
          <w:tab w:leader="none" w:pos="2506"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xml:space="preserve">. During the Term, the Executive’s annual base salary shall be </w:t>
      </w:r>
      <w:r>
        <w:rPr>
          <w:rFonts w:ascii="Arial" w:cs="Arial" w:eastAsia="Arial" w:hAnsi="Arial"/>
          <w:sz w:val="19"/>
          <w:szCs w:val="19"/>
          <w:color w:val="auto"/>
        </w:rPr>
        <w:t>$318,270. The Executive’s base</w:t>
      </w:r>
      <w:r>
        <w:rPr>
          <w:rFonts w:ascii="Arial" w:cs="Arial" w:eastAsia="Arial" w:hAnsi="Arial"/>
          <w:sz w:val="21"/>
          <w:szCs w:val="21"/>
          <w:color w:val="auto"/>
        </w:rPr>
        <w:t xml:space="preserve"> </w:t>
      </w:r>
      <w:r>
        <w:rPr>
          <w:rFonts w:ascii="Arial" w:cs="Arial" w:eastAsia="Arial" w:hAnsi="Arial"/>
          <w:sz w:val="19"/>
          <w:szCs w:val="19"/>
          <w:color w:val="auto"/>
        </w:rPr>
        <w:t>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327660</wp:posOffset>
            </wp:positionV>
            <wp:extent cx="717677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firstLine="1644"/>
        <w:spacing w:after="0" w:line="243" w:lineRule="auto"/>
        <w:tabs>
          <w:tab w:leader="none" w:pos="2518"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Incentive Compensation</w:t>
      </w:r>
      <w:r>
        <w:rPr>
          <w:rFonts w:ascii="Arial" w:cs="Arial" w:eastAsia="Arial" w:hAnsi="Arial"/>
          <w:sz w:val="21"/>
          <w:szCs w:val="21"/>
          <w:color w:val="auto"/>
        </w:rPr>
        <w:t>. During the Term, the Executive shall be eligible to receive cash incentive compensation as determined by the Board or the Compensation Committee from time to time. The Executive’s initial target annual incentive compensation shall be thirty-five percent of her Base Salary effective July 1, 2018 (resulting in a 30 percent effective rate for the 2018 target annual incentive compensation) (as in effect at any time, the “Target Annual Incentive Compensation”). Except as otherwise provided herein, to earn incentive compensation, the Executive must be employed by the Company on the day such incentive compensation is paid.</w:t>
      </w:r>
    </w:p>
    <w:p>
      <w:pPr>
        <w:spacing w:after="0" w:line="179" w:lineRule="exact"/>
        <w:rPr>
          <w:rFonts w:ascii="Arial" w:cs="Arial" w:eastAsia="Arial" w:hAnsi="Arial"/>
          <w:sz w:val="21"/>
          <w:szCs w:val="21"/>
          <w:color w:val="auto"/>
        </w:rPr>
      </w:pPr>
    </w:p>
    <w:p>
      <w:pPr>
        <w:ind w:right="120" w:firstLine="1644"/>
        <w:spacing w:after="0" w:line="252" w:lineRule="auto"/>
        <w:tabs>
          <w:tab w:leader="none" w:pos="2506"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officers.</w:t>
      </w:r>
    </w:p>
    <w:p>
      <w:pPr>
        <w:spacing w:after="0" w:line="168" w:lineRule="exact"/>
        <w:rPr>
          <w:rFonts w:ascii="Arial" w:cs="Arial" w:eastAsia="Arial" w:hAnsi="Arial"/>
          <w:sz w:val="21"/>
          <w:szCs w:val="21"/>
          <w:color w:val="auto"/>
        </w:rPr>
      </w:pPr>
    </w:p>
    <w:p>
      <w:pPr>
        <w:ind w:right="220" w:firstLine="1644"/>
        <w:spacing w:after="0" w:line="247" w:lineRule="auto"/>
        <w:tabs>
          <w:tab w:leader="none" w:pos="2518"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174" w:lineRule="exact"/>
        <w:rPr>
          <w:rFonts w:ascii="Arial" w:cs="Arial" w:eastAsia="Arial" w:hAnsi="Arial"/>
          <w:sz w:val="21"/>
          <w:szCs w:val="21"/>
          <w:color w:val="auto"/>
        </w:rPr>
      </w:pPr>
    </w:p>
    <w:p>
      <w:pPr>
        <w:ind w:right="60" w:firstLine="1644"/>
        <w:spacing w:after="0" w:line="252" w:lineRule="auto"/>
        <w:tabs>
          <w:tab w:leader="none" w:pos="2506"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Vacations</w:t>
      </w:r>
      <w:r>
        <w:rPr>
          <w:rFonts w:ascii="Arial" w:cs="Arial" w:eastAsia="Arial" w:hAnsi="Arial"/>
          <w:sz w:val="21"/>
          <w:szCs w:val="21"/>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168" w:lineRule="exact"/>
        <w:rPr>
          <w:rFonts w:ascii="Arial" w:cs="Arial" w:eastAsia="Arial" w:hAnsi="Arial"/>
          <w:sz w:val="21"/>
          <w:szCs w:val="21"/>
          <w:color w:val="auto"/>
        </w:rPr>
      </w:pPr>
    </w:p>
    <w:p>
      <w:pPr>
        <w:ind w:right="240" w:firstLine="849"/>
        <w:spacing w:after="0" w:line="267" w:lineRule="auto"/>
        <w:tabs>
          <w:tab w:leader="none" w:pos="163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During the Term, the Executive’s employment hereunder may be terminated without any breach of this Agreement under the following circumstances:</w:t>
      </w:r>
    </w:p>
    <w:p>
      <w:pPr>
        <w:spacing w:after="0" w:line="153" w:lineRule="exact"/>
        <w:rPr>
          <w:rFonts w:ascii="Arial" w:cs="Arial" w:eastAsia="Arial" w:hAnsi="Arial"/>
          <w:sz w:val="21"/>
          <w:szCs w:val="21"/>
          <w:color w:val="auto"/>
        </w:rPr>
      </w:pPr>
    </w:p>
    <w:p>
      <w:pPr>
        <w:ind w:left="2520" w:hanging="876"/>
        <w:spacing w:after="0"/>
        <w:tabs>
          <w:tab w:leader="none" w:pos="2520"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The Executive’s employment hereunder shall terminate upon her </w:t>
      </w:r>
      <w:r>
        <w:rPr>
          <w:rFonts w:ascii="Arial" w:cs="Arial" w:eastAsia="Arial" w:hAnsi="Arial"/>
          <w:sz w:val="19"/>
          <w:szCs w:val="19"/>
          <w:color w:val="auto"/>
        </w:rPr>
        <w:t>death.</w:t>
      </w:r>
    </w:p>
    <w:p>
      <w:pPr>
        <w:spacing w:after="0" w:line="210" w:lineRule="exact"/>
        <w:rPr>
          <w:rFonts w:ascii="Arial" w:cs="Arial" w:eastAsia="Arial" w:hAnsi="Arial"/>
          <w:sz w:val="21"/>
          <w:szCs w:val="21"/>
          <w:color w:val="auto"/>
        </w:rPr>
      </w:pPr>
    </w:p>
    <w:p>
      <w:pPr>
        <w:ind w:left="2520" w:hanging="876"/>
        <w:spacing w:after="0"/>
        <w:tabs>
          <w:tab w:leader="none" w:pos="2520"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The Company may terminate the Executive’s employment if</w:t>
      </w:r>
    </w:p>
    <w:p>
      <w:pPr>
        <w:spacing w:after="0" w:line="16" w:lineRule="exact"/>
        <w:rPr>
          <w:sz w:val="20"/>
          <w:szCs w:val="20"/>
          <w:color w:val="auto"/>
        </w:rPr>
      </w:pPr>
    </w:p>
    <w:p>
      <w:pPr>
        <w:ind w:firstLine="1638"/>
        <w:spacing w:after="0" w:line="266" w:lineRule="auto"/>
        <w:rPr>
          <w:sz w:val="20"/>
          <w:szCs w:val="20"/>
          <w:color w:val="auto"/>
        </w:rPr>
      </w:pPr>
      <w:r>
        <w:rPr>
          <w:rFonts w:ascii="Arial" w:cs="Arial" w:eastAsia="Arial" w:hAnsi="Arial"/>
          <w:sz w:val="19"/>
          <w:szCs w:val="19"/>
          <w:color w:val="auto"/>
        </w:rPr>
        <w:t xml:space="preserve">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7677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55" w:name="page156"/>
    <w:bookmarkEnd w:id="155"/>
    <w:p>
      <w:pPr>
        <w:ind w:left="-20" w:right="40" w:firstLine="1644"/>
        <w:spacing w:after="0" w:line="253" w:lineRule="auto"/>
        <w:tabs>
          <w:tab w:leader="none" w:pos="248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Termination by Company for Cause</w:t>
      </w:r>
      <w:r>
        <w:rPr>
          <w:rFonts w:ascii="Arial" w:cs="Arial" w:eastAsia="Arial" w:hAnsi="Arial"/>
          <w:sz w:val="20"/>
          <w:szCs w:val="20"/>
          <w:color w:val="auto"/>
        </w:rPr>
        <w:t xml:space="preserve">.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she were retained in her position; (iii) continued non-performance by the Executive of her duties hereunder (other than by reason of the Executive’s physical or mental illness, incapacity or disability) which has continued for more than 30 days following written notice (with a reasonably detailed summary of such alleged non-performance specified) of such non- performance from the Company’s CEO or the Executive’s direct supervisor; (iv) a breach by the Executive of any of the provisions incorporated into or contained in Section 7 of this Agreement; </w:t>
      </w:r>
      <w:r>
        <w:rPr>
          <w:rFonts w:ascii="Arial" w:cs="Arial" w:eastAsia="Arial" w:hAnsi="Arial"/>
          <w:sz w:val="18"/>
          <w:szCs w:val="18"/>
          <w:color w:val="auto"/>
        </w:rPr>
        <w:t>(v) a material violation by the Executive of the</w:t>
      </w:r>
      <w:r>
        <w:rPr>
          <w:rFonts w:ascii="Arial" w:cs="Arial" w:eastAsia="Arial" w:hAnsi="Arial"/>
          <w:sz w:val="20"/>
          <w:szCs w:val="20"/>
          <w:color w:val="auto"/>
        </w:rPr>
        <w:t xml:space="preserve"> </w:t>
      </w:r>
      <w:r>
        <w:rPr>
          <w:rFonts w:ascii="Arial" w:cs="Arial" w:eastAsia="Arial" w:hAnsi="Arial"/>
          <w:sz w:val="18"/>
          <w:szCs w:val="18"/>
          <w:color w:val="auto"/>
        </w:rPr>
        <w:t>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1" w:lineRule="exact"/>
        <w:rPr>
          <w:rFonts w:ascii="Arial" w:cs="Arial" w:eastAsia="Arial" w:hAnsi="Arial"/>
          <w:sz w:val="20"/>
          <w:szCs w:val="20"/>
          <w:color w:val="auto"/>
        </w:rPr>
      </w:pPr>
    </w:p>
    <w:p>
      <w:pPr>
        <w:jc w:val="both"/>
        <w:ind w:left="-20" w:firstLine="1644"/>
        <w:spacing w:after="0" w:line="247" w:lineRule="auto"/>
        <w:tabs>
          <w:tab w:leader="none" w:pos="2498"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4" w:lineRule="exact"/>
        <w:rPr>
          <w:rFonts w:ascii="Arial" w:cs="Arial" w:eastAsia="Arial" w:hAnsi="Arial"/>
          <w:sz w:val="21"/>
          <w:szCs w:val="21"/>
          <w:color w:val="auto"/>
        </w:rPr>
      </w:pPr>
    </w:p>
    <w:p>
      <w:pPr>
        <w:ind w:left="-20" w:right="80" w:firstLine="1644"/>
        <w:spacing w:after="0" w:line="267" w:lineRule="auto"/>
        <w:tabs>
          <w:tab w:leader="none" w:pos="248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xml:space="preserve">.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w:t>
      </w:r>
      <w:r>
        <w:rPr>
          <w:rFonts w:ascii="Arial" w:cs="Arial" w:eastAsia="Arial" w:hAnsi="Arial"/>
          <w:sz w:val="17"/>
          <w:szCs w:val="17"/>
          <w:color w:val="auto"/>
        </w:rPr>
        <w:t>in good faith with the Company’s efforts, for a period not less than 30 days following such notice (the “Cure Period”), to</w:t>
      </w:r>
      <w:r>
        <w:rPr>
          <w:rFonts w:ascii="Arial" w:cs="Arial" w:eastAsia="Arial" w:hAnsi="Arial"/>
          <w:sz w:val="19"/>
          <w:szCs w:val="19"/>
          <w:color w:val="auto"/>
        </w:rPr>
        <w:t xml:space="preserve"> </w:t>
      </w:r>
      <w:r>
        <w:rPr>
          <w:rFonts w:ascii="Arial" w:cs="Arial" w:eastAsia="Arial" w:hAnsi="Arial"/>
          <w:sz w:val="17"/>
          <w:szCs w:val="17"/>
          <w:color w:val="auto"/>
        </w:rPr>
        <w:t>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171" w:lineRule="exact"/>
        <w:rPr>
          <w:rFonts w:ascii="Arial" w:cs="Arial" w:eastAsia="Arial" w:hAnsi="Arial"/>
          <w:sz w:val="19"/>
          <w:szCs w:val="19"/>
          <w:color w:val="auto"/>
        </w:rPr>
      </w:pPr>
    </w:p>
    <w:p>
      <w:pPr>
        <w:ind w:left="-20" w:right="480" w:firstLine="1644"/>
        <w:spacing w:after="0" w:line="263" w:lineRule="auto"/>
        <w:tabs>
          <w:tab w:leader="none" w:pos="2463"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40" w:top="344" w:right="339" w:bottom="1440" w:gutter="0" w:footer="0" w:header="0"/>
        </w:sectPr>
      </w:pPr>
    </w:p>
    <w:bookmarkStart w:id="156" w:name="page157"/>
    <w:bookmarkEnd w:id="156"/>
    <w:p>
      <w:pPr>
        <w:ind w:left="-20" w:right="60" w:firstLine="1644"/>
        <w:spacing w:after="0" w:line="269" w:lineRule="auto"/>
        <w:tabs>
          <w:tab w:leader="none" w:pos="2498"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9" w:lineRule="exact"/>
        <w:rPr>
          <w:rFonts w:ascii="Arial" w:cs="Arial" w:eastAsia="Arial" w:hAnsi="Arial"/>
          <w:sz w:val="19"/>
          <w:szCs w:val="19"/>
          <w:color w:val="auto"/>
        </w:rPr>
      </w:pPr>
    </w:p>
    <w:p>
      <w:pPr>
        <w:ind w:left="1620" w:hanging="791"/>
        <w:spacing w:after="0"/>
        <w:tabs>
          <w:tab w:leader="none" w:pos="162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Compensation Upon Termination</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ind w:left="-20" w:right="40" w:firstLine="1644"/>
        <w:spacing w:after="0" w:line="256" w:lineRule="auto"/>
        <w:tabs>
          <w:tab w:leader="none" w:pos="2486"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Termination Generally</w:t>
      </w:r>
      <w:r>
        <w:rPr>
          <w:rFonts w:ascii="Arial" w:cs="Arial" w:eastAsia="Arial" w:hAnsi="Arial"/>
          <w:sz w:val="20"/>
          <w:szCs w:val="20"/>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68" w:lineRule="exact"/>
        <w:rPr>
          <w:rFonts w:ascii="Arial" w:cs="Arial" w:eastAsia="Arial" w:hAnsi="Arial"/>
          <w:sz w:val="20"/>
          <w:szCs w:val="20"/>
          <w:color w:val="auto"/>
        </w:rPr>
      </w:pPr>
    </w:p>
    <w:p>
      <w:pPr>
        <w:ind w:left="-20" w:right="160" w:firstLine="1644"/>
        <w:spacing w:after="0" w:line="269" w:lineRule="auto"/>
        <w:tabs>
          <w:tab w:leader="none" w:pos="2498"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xml:space="preserve">.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w:t>
      </w:r>
      <w:r>
        <w:rPr>
          <w:rFonts w:ascii="Arial" w:cs="Arial" w:eastAsia="Arial" w:hAnsi="Arial"/>
          <w:sz w:val="17"/>
          <w:szCs w:val="17"/>
          <w:color w:val="auto"/>
        </w:rPr>
        <w:t>Agreement and Release becoming</w:t>
      </w:r>
      <w:r>
        <w:rPr>
          <w:rFonts w:ascii="Arial" w:cs="Arial" w:eastAsia="Arial" w:hAnsi="Arial"/>
          <w:sz w:val="19"/>
          <w:szCs w:val="19"/>
          <w:color w:val="auto"/>
        </w:rPr>
        <w:t xml:space="preserve"> </w:t>
      </w:r>
      <w:r>
        <w:rPr>
          <w:rFonts w:ascii="Arial" w:cs="Arial" w:eastAsia="Arial" w:hAnsi="Arial"/>
          <w:sz w:val="17"/>
          <w:szCs w:val="17"/>
          <w:color w:val="auto"/>
        </w:rPr>
        <w:t>irrevocable and fully effective and, if applicable, the Executive resigning as a member of the Board of Directors, all within 60 days after the Date of Termination (or such shorter time period provided in the Separation Agreement and Release):</w:t>
      </w:r>
    </w:p>
    <w:p>
      <w:pPr>
        <w:spacing w:after="0" w:line="165" w:lineRule="exact"/>
        <w:rPr>
          <w:rFonts w:ascii="Arial" w:cs="Arial" w:eastAsia="Arial" w:hAnsi="Arial"/>
          <w:sz w:val="19"/>
          <w:szCs w:val="19"/>
          <w:color w:val="auto"/>
        </w:rPr>
      </w:pPr>
    </w:p>
    <w:p>
      <w:pPr>
        <w:ind w:left="-20" w:right="280" w:firstLine="2534"/>
        <w:spacing w:after="0" w:line="291" w:lineRule="auto"/>
        <w:tabs>
          <w:tab w:leader="none" w:pos="3340" w:val="left"/>
        </w:tabs>
        <w:numPr>
          <w:ilvl w:val="2"/>
          <w:numId w:val="84"/>
        </w:numPr>
        <w:rPr>
          <w:rFonts w:ascii="Arial" w:cs="Arial" w:eastAsia="Arial" w:hAnsi="Arial"/>
          <w:sz w:val="19"/>
          <w:szCs w:val="19"/>
          <w:color w:val="auto"/>
        </w:rPr>
      </w:pPr>
      <w:r>
        <w:rPr>
          <w:rFonts w:ascii="Arial" w:cs="Arial" w:eastAsia="Arial" w:hAnsi="Arial"/>
          <w:sz w:val="19"/>
          <w:szCs w:val="19"/>
          <w:color w:val="auto"/>
        </w:rPr>
        <w:t>the Company shall pay the Executive an amount equal to 0.75 times the sum of the Executive’s Base Salary (the “Severance Amount”). Notwithstanding the foregoing, if the Executive breaches any of the provisions incorporated into or contained in Section 7 of this Agreement, all payments of the Severance Amount shall immediately cease;</w:t>
      </w:r>
    </w:p>
    <w:p>
      <w:pPr>
        <w:spacing w:after="0" w:line="134" w:lineRule="exact"/>
        <w:rPr>
          <w:rFonts w:ascii="Arial" w:cs="Arial" w:eastAsia="Arial" w:hAnsi="Arial"/>
          <w:sz w:val="19"/>
          <w:szCs w:val="19"/>
          <w:color w:val="auto"/>
        </w:rPr>
      </w:pPr>
    </w:p>
    <w:p>
      <w:pPr>
        <w:ind w:left="-20" w:firstLine="2534"/>
        <w:spacing w:after="0" w:line="281" w:lineRule="auto"/>
        <w:tabs>
          <w:tab w:leader="none" w:pos="3398" w:val="left"/>
        </w:tabs>
        <w:numPr>
          <w:ilvl w:val="2"/>
          <w:numId w:val="84"/>
        </w:numPr>
        <w:rPr>
          <w:rFonts w:ascii="Arial" w:cs="Arial" w:eastAsia="Arial" w:hAnsi="Arial"/>
          <w:sz w:val="19"/>
          <w:szCs w:val="19"/>
          <w:color w:val="auto"/>
        </w:rPr>
      </w:pPr>
      <w:r>
        <w:rPr>
          <w:rFonts w:ascii="Arial" w:cs="Arial" w:eastAsia="Arial" w:hAnsi="Arial"/>
          <w:sz w:val="19"/>
          <w:szCs w:val="19"/>
          <w:color w:val="auto"/>
        </w:rPr>
        <w:t>notwithstanding anything to the contrary in any applicable option agreement or stock-based award agreement, all time-based stock options and other time- 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40" w:top="344" w:right="339" w:bottom="1440" w:gutter="0" w:footer="0" w:header="0"/>
        </w:sectPr>
      </w:pPr>
    </w:p>
    <w:bookmarkStart w:id="157" w:name="page158"/>
    <w:bookmarkEnd w:id="157"/>
    <w:p>
      <w:pPr>
        <w:ind w:left="-20" w:firstLine="2534"/>
        <w:spacing w:after="0" w:line="245" w:lineRule="auto"/>
        <w:tabs>
          <w:tab w:leader="none" w:pos="3455" w:val="left"/>
        </w:tabs>
        <w:numPr>
          <w:ilvl w:val="2"/>
          <w:numId w:val="85"/>
        </w:numPr>
        <w:rPr>
          <w:rFonts w:ascii="Arial" w:cs="Arial" w:eastAsia="Arial" w:hAnsi="Arial"/>
          <w:sz w:val="21"/>
          <w:szCs w:val="21"/>
          <w:color w:val="auto"/>
        </w:rPr>
      </w:pPr>
      <w:r>
        <w:rPr>
          <w:rFonts w:ascii="Arial" w:cs="Arial" w:eastAsia="Arial" w:hAnsi="Arial"/>
          <w:sz w:val="21"/>
          <w:szCs w:val="21"/>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75" w:lineRule="exact"/>
        <w:rPr>
          <w:rFonts w:ascii="Arial" w:cs="Arial" w:eastAsia="Arial" w:hAnsi="Arial"/>
          <w:sz w:val="21"/>
          <w:szCs w:val="21"/>
          <w:color w:val="auto"/>
        </w:rPr>
      </w:pPr>
    </w:p>
    <w:p>
      <w:pPr>
        <w:ind w:left="-20" w:right="120" w:firstLine="2534"/>
        <w:spacing w:after="0" w:line="242" w:lineRule="auto"/>
        <w:tabs>
          <w:tab w:leader="none" w:pos="3445" w:val="left"/>
        </w:tabs>
        <w:numPr>
          <w:ilvl w:val="2"/>
          <w:numId w:val="85"/>
        </w:numPr>
        <w:rPr>
          <w:rFonts w:ascii="Arial" w:cs="Arial" w:eastAsia="Arial" w:hAnsi="Arial"/>
          <w:sz w:val="21"/>
          <w:szCs w:val="21"/>
          <w:color w:val="auto"/>
        </w:rPr>
      </w:pPr>
      <w:r>
        <w:rPr>
          <w:rFonts w:ascii="Arial" w:cs="Arial" w:eastAsia="Arial" w:hAnsi="Arial"/>
          <w:sz w:val="21"/>
          <w:szCs w:val="21"/>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1.409A- 2(b)(2).</w:t>
      </w:r>
    </w:p>
    <w:p>
      <w:pPr>
        <w:spacing w:after="0" w:line="181" w:lineRule="exact"/>
        <w:rPr>
          <w:rFonts w:ascii="Arial" w:cs="Arial" w:eastAsia="Arial" w:hAnsi="Arial"/>
          <w:sz w:val="21"/>
          <w:szCs w:val="21"/>
          <w:color w:val="auto"/>
        </w:rPr>
      </w:pPr>
    </w:p>
    <w:p>
      <w:pPr>
        <w:ind w:left="-20" w:right="60" w:firstLine="849"/>
        <w:spacing w:after="0" w:line="287" w:lineRule="auto"/>
        <w:tabs>
          <w:tab w:leader="none" w:pos="161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Change in Control Payment</w:t>
      </w:r>
      <w:r>
        <w:rPr>
          <w:rFonts w:ascii="Arial" w:cs="Arial" w:eastAsia="Arial" w:hAnsi="Arial"/>
          <w:sz w:val="18"/>
          <w:szCs w:val="18"/>
          <w:color w:val="auto"/>
        </w:rPr>
        <w:t xml:space="preserve">.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 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her assigned duties and her objectivity during the pendency and after the occurrence of any such event. These provisions shall apply in lieu of, and expressly supersede, the provisions of Section 4(b) regarding severance pay and benefits upon a termination of </w:t>
      </w:r>
      <w:r>
        <w:rPr>
          <w:rFonts w:ascii="Arial" w:cs="Arial" w:eastAsia="Arial" w:hAnsi="Arial"/>
          <w:sz w:val="16"/>
          <w:szCs w:val="16"/>
          <w:color w:val="auto"/>
        </w:rPr>
        <w:t>employment, if such</w:t>
      </w:r>
      <w:r>
        <w:rPr>
          <w:rFonts w:ascii="Arial" w:cs="Arial" w:eastAsia="Arial" w:hAnsi="Arial"/>
          <w:sz w:val="18"/>
          <w:szCs w:val="18"/>
          <w:color w:val="auto"/>
        </w:rPr>
        <w:t xml:space="preserve"> </w:t>
      </w:r>
      <w:r>
        <w:rPr>
          <w:rFonts w:ascii="Arial" w:cs="Arial" w:eastAsia="Arial" w:hAnsi="Arial"/>
          <w:sz w:val="16"/>
          <w:szCs w:val="16"/>
          <w:color w:val="auto"/>
        </w:rPr>
        <w:t>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56" w:lineRule="exact"/>
        <w:rPr>
          <w:rFonts w:ascii="Arial" w:cs="Arial" w:eastAsia="Arial" w:hAnsi="Arial"/>
          <w:sz w:val="18"/>
          <w:szCs w:val="18"/>
          <w:color w:val="auto"/>
        </w:rPr>
      </w:pPr>
    </w:p>
    <w:p>
      <w:pPr>
        <w:ind w:left="-20" w:right="20" w:firstLine="1644"/>
        <w:spacing w:after="0" w:line="258" w:lineRule="auto"/>
        <w:tabs>
          <w:tab w:leader="none" w:pos="2486"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During the Term, if within three months prior to or 18 months after a Change in Control,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163" w:lineRule="exact"/>
        <w:rPr>
          <w:rFonts w:ascii="Arial" w:cs="Arial" w:eastAsia="Arial" w:hAnsi="Arial"/>
          <w:sz w:val="20"/>
          <w:szCs w:val="20"/>
          <w:color w:val="auto"/>
        </w:rPr>
      </w:pPr>
    </w:p>
    <w:p>
      <w:pPr>
        <w:jc w:val="both"/>
        <w:ind w:left="-20" w:firstLine="2534"/>
        <w:spacing w:after="0" w:line="252" w:lineRule="auto"/>
        <w:tabs>
          <w:tab w:leader="none" w:pos="3340" w:val="left"/>
        </w:tabs>
        <w:numPr>
          <w:ilvl w:val="2"/>
          <w:numId w:val="86"/>
        </w:numPr>
        <w:rPr>
          <w:rFonts w:ascii="Arial" w:cs="Arial" w:eastAsia="Arial" w:hAnsi="Arial"/>
          <w:sz w:val="21"/>
          <w:szCs w:val="21"/>
          <w:color w:val="auto"/>
        </w:rPr>
      </w:pPr>
      <w:r>
        <w:rPr>
          <w:rFonts w:ascii="Arial" w:cs="Arial" w:eastAsia="Arial" w:hAnsi="Arial"/>
          <w:sz w:val="21"/>
          <w:szCs w:val="21"/>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40" w:top="556" w:right="359" w:bottom="1440" w:gutter="0" w:footer="0" w:header="0"/>
        </w:sectPr>
      </w:pPr>
    </w:p>
    <w:bookmarkStart w:id="158" w:name="page159"/>
    <w:bookmarkEnd w:id="158"/>
    <w:p>
      <w:pPr>
        <w:ind w:left="-20" w:right="180" w:firstLine="2534"/>
        <w:spacing w:after="0" w:line="252" w:lineRule="auto"/>
        <w:tabs>
          <w:tab w:leader="none" w:pos="3398" w:val="left"/>
        </w:tabs>
        <w:numPr>
          <w:ilvl w:val="1"/>
          <w:numId w:val="87"/>
        </w:numPr>
        <w:rPr>
          <w:rFonts w:ascii="Arial" w:cs="Arial" w:eastAsia="Arial" w:hAnsi="Arial"/>
          <w:sz w:val="21"/>
          <w:szCs w:val="21"/>
          <w:color w:val="auto"/>
        </w:rPr>
      </w:pPr>
      <w:r>
        <w:rPr>
          <w:rFonts w:ascii="Arial" w:cs="Arial" w:eastAsia="Arial" w:hAnsi="Arial"/>
          <w:sz w:val="21"/>
          <w:szCs w:val="21"/>
          <w:color w:val="auto"/>
        </w:rPr>
        <w:t>notwithstanding anything to the contrary in any applicable option agreement or stock-based award agreement, all time-based stock options and other time- based stock-based awards held by the Executive shall immediately accelerate and become fully exercisable or nonforfeitable as of the Date of Termination;</w:t>
      </w:r>
    </w:p>
    <w:p>
      <w:pPr>
        <w:spacing w:after="0" w:line="168" w:lineRule="exact"/>
        <w:rPr>
          <w:rFonts w:ascii="Arial" w:cs="Arial" w:eastAsia="Arial" w:hAnsi="Arial"/>
          <w:sz w:val="21"/>
          <w:szCs w:val="21"/>
          <w:color w:val="auto"/>
        </w:rPr>
      </w:pPr>
    </w:p>
    <w:p>
      <w:pPr>
        <w:ind w:left="-20" w:firstLine="2534"/>
        <w:spacing w:after="0" w:line="245" w:lineRule="auto"/>
        <w:tabs>
          <w:tab w:leader="none" w:pos="3455" w:val="left"/>
        </w:tabs>
        <w:numPr>
          <w:ilvl w:val="1"/>
          <w:numId w:val="87"/>
        </w:numPr>
        <w:rPr>
          <w:rFonts w:ascii="Arial" w:cs="Arial" w:eastAsia="Arial" w:hAnsi="Arial"/>
          <w:sz w:val="21"/>
          <w:szCs w:val="21"/>
          <w:color w:val="auto"/>
        </w:rPr>
      </w:pPr>
      <w:r>
        <w:rPr>
          <w:rFonts w:ascii="Arial" w:cs="Arial" w:eastAsia="Arial" w:hAnsi="Arial"/>
          <w:sz w:val="21"/>
          <w:szCs w:val="21"/>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75" w:lineRule="exact"/>
        <w:rPr>
          <w:rFonts w:ascii="Arial" w:cs="Arial" w:eastAsia="Arial" w:hAnsi="Arial"/>
          <w:sz w:val="21"/>
          <w:szCs w:val="21"/>
          <w:color w:val="auto"/>
        </w:rPr>
      </w:pPr>
    </w:p>
    <w:p>
      <w:pPr>
        <w:jc w:val="both"/>
        <w:ind w:left="-20" w:right="200" w:firstLine="2534"/>
        <w:spacing w:after="0" w:line="247" w:lineRule="auto"/>
        <w:tabs>
          <w:tab w:leader="none" w:pos="3445" w:val="left"/>
        </w:tabs>
        <w:numPr>
          <w:ilvl w:val="1"/>
          <w:numId w:val="87"/>
        </w:numPr>
        <w:rPr>
          <w:rFonts w:ascii="Arial" w:cs="Arial" w:eastAsia="Arial" w:hAnsi="Arial"/>
          <w:sz w:val="21"/>
          <w:szCs w:val="21"/>
          <w:color w:val="auto"/>
        </w:rPr>
      </w:pPr>
      <w:r>
        <w:rPr>
          <w:rFonts w:ascii="Arial" w:cs="Arial" w:eastAsia="Arial" w:hAnsi="Arial"/>
          <w:sz w:val="21"/>
          <w:szCs w:val="21"/>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74" w:lineRule="exact"/>
        <w:rPr>
          <w:rFonts w:ascii="Arial" w:cs="Arial" w:eastAsia="Arial" w:hAnsi="Arial"/>
          <w:sz w:val="21"/>
          <w:szCs w:val="21"/>
          <w:color w:val="auto"/>
        </w:rPr>
      </w:pPr>
    </w:p>
    <w:p>
      <w:pPr>
        <w:ind w:left="2500" w:hanging="876"/>
        <w:spacing w:after="0"/>
        <w:tabs>
          <w:tab w:leader="none" w:pos="250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Additional Limitation</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ind w:left="-20" w:right="60" w:firstLine="2534"/>
        <w:spacing w:after="0" w:line="258" w:lineRule="auto"/>
        <w:tabs>
          <w:tab w:leader="none" w:pos="3340"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w:t>
      </w:r>
      <w:r>
        <w:rPr>
          <w:rFonts w:ascii="Arial" w:cs="Arial" w:eastAsia="Arial" w:hAnsi="Arial"/>
          <w:sz w:val="18"/>
          <w:szCs w:val="18"/>
          <w:color w:val="auto"/>
        </w:rPr>
        <w:t>be reduced</w:t>
      </w:r>
      <w:r>
        <w:rPr>
          <w:rFonts w:ascii="Arial" w:cs="Arial" w:eastAsia="Arial" w:hAnsi="Arial"/>
          <w:sz w:val="20"/>
          <w:szCs w:val="20"/>
          <w:color w:val="auto"/>
        </w:rPr>
        <w:t xml:space="preserve"> </w:t>
      </w:r>
      <w:r>
        <w:rPr>
          <w:rFonts w:ascii="Arial" w:cs="Arial" w:eastAsia="Arial" w:hAnsi="Arial"/>
          <w:sz w:val="18"/>
          <w:szCs w:val="18"/>
          <w:color w:val="auto"/>
        </w:rPr>
        <w:t>(but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 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Q&amp;A- 24(b) or (c).</w:t>
      </w:r>
    </w:p>
    <w:p>
      <w:pPr>
        <w:spacing w:after="0" w:line="176" w:lineRule="exact"/>
        <w:rPr>
          <w:rFonts w:ascii="Arial" w:cs="Arial" w:eastAsia="Arial" w:hAnsi="Arial"/>
          <w:sz w:val="20"/>
          <w:szCs w:val="20"/>
          <w:color w:val="auto"/>
        </w:rPr>
      </w:pPr>
    </w:p>
    <w:p>
      <w:pPr>
        <w:ind w:left="-20" w:right="40" w:firstLine="2534"/>
        <w:spacing w:after="0" w:line="242" w:lineRule="auto"/>
        <w:tabs>
          <w:tab w:leader="none" w:pos="3398" w:val="left"/>
        </w:tabs>
        <w:numPr>
          <w:ilvl w:val="1"/>
          <w:numId w:val="88"/>
        </w:numPr>
        <w:rPr>
          <w:rFonts w:ascii="Arial" w:cs="Arial" w:eastAsia="Arial" w:hAnsi="Arial"/>
          <w:sz w:val="21"/>
          <w:szCs w:val="21"/>
          <w:color w:val="auto"/>
        </w:rPr>
      </w:pPr>
      <w:r>
        <w:rPr>
          <w:rFonts w:ascii="Arial" w:cs="Arial" w:eastAsia="Arial" w:hAnsi="Arial"/>
          <w:sz w:val="21"/>
          <w:szCs w:val="21"/>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40" w:top="344" w:right="359" w:bottom="1440" w:gutter="0" w:footer="0" w:header="0"/>
        </w:sectPr>
      </w:pPr>
    </w:p>
    <w:bookmarkStart w:id="159" w:name="page160"/>
    <w:bookmarkEnd w:id="159"/>
    <w:p>
      <w:pPr>
        <w:ind w:right="300" w:firstLine="2534"/>
        <w:spacing w:after="0" w:line="260" w:lineRule="auto"/>
        <w:tabs>
          <w:tab w:leader="none" w:pos="3475"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62" w:lineRule="exact"/>
        <w:rPr>
          <w:rFonts w:ascii="Arial" w:cs="Arial" w:eastAsia="Arial" w:hAnsi="Arial"/>
          <w:sz w:val="20"/>
          <w:szCs w:val="20"/>
          <w:color w:val="auto"/>
        </w:rPr>
      </w:pPr>
    </w:p>
    <w:p>
      <w:pPr>
        <w:ind w:left="840" w:right="500" w:firstLine="804"/>
        <w:spacing w:after="0" w:line="448" w:lineRule="auto"/>
        <w:tabs>
          <w:tab w:leader="none" w:pos="2503"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For purposes of this Section 5, the following terms shall have the following meanings: “Change in Control” shall mean any of the following:</w:t>
      </w:r>
    </w:p>
    <w:p>
      <w:pPr>
        <w:spacing w:after="0" w:line="1" w:lineRule="exact"/>
        <w:rPr>
          <w:rFonts w:ascii="Arial" w:cs="Arial" w:eastAsia="Arial" w:hAnsi="Arial"/>
          <w:sz w:val="21"/>
          <w:szCs w:val="21"/>
          <w:color w:val="auto"/>
        </w:rPr>
      </w:pPr>
    </w:p>
    <w:p>
      <w:pPr>
        <w:ind w:firstLine="2534"/>
        <w:spacing w:after="0" w:line="273" w:lineRule="auto"/>
        <w:tabs>
          <w:tab w:leader="none" w:pos="3360"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w:t>
      </w:r>
      <w:r>
        <w:rPr>
          <w:rFonts w:ascii="Arial" w:cs="Arial" w:eastAsia="Arial" w:hAnsi="Arial"/>
          <w:sz w:val="17"/>
          <w:szCs w:val="17"/>
          <w:color w:val="auto"/>
        </w:rPr>
        <w:t>outstanding securities having the right to vote in an election of the Board (“Voting</w:t>
      </w:r>
      <w:r>
        <w:rPr>
          <w:rFonts w:ascii="Arial" w:cs="Arial" w:eastAsia="Arial" w:hAnsi="Arial"/>
          <w:sz w:val="19"/>
          <w:szCs w:val="19"/>
          <w:color w:val="auto"/>
        </w:rPr>
        <w:t xml:space="preserve"> </w:t>
      </w:r>
      <w:r>
        <w:rPr>
          <w:rFonts w:ascii="Arial" w:cs="Arial" w:eastAsia="Arial" w:hAnsi="Arial"/>
          <w:sz w:val="17"/>
          <w:szCs w:val="17"/>
          <w:color w:val="auto"/>
        </w:rPr>
        <w:t>Securities”) (in such case other than as a result of an acquisition of securities directly from the Company); or</w:t>
      </w:r>
    </w:p>
    <w:p>
      <w:pPr>
        <w:spacing w:after="0" w:line="159" w:lineRule="exact"/>
        <w:rPr>
          <w:sz w:val="20"/>
          <w:szCs w:val="20"/>
          <w:color w:val="auto"/>
        </w:rPr>
      </w:pPr>
    </w:p>
    <w:p>
      <w:pPr>
        <w:ind w:right="60" w:firstLine="2534"/>
        <w:spacing w:after="0" w:line="252" w:lineRule="auto"/>
        <w:tabs>
          <w:tab w:leader="none" w:pos="3418"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68" w:lineRule="exact"/>
        <w:rPr>
          <w:rFonts w:ascii="Arial" w:cs="Arial" w:eastAsia="Arial" w:hAnsi="Arial"/>
          <w:sz w:val="21"/>
          <w:szCs w:val="21"/>
          <w:color w:val="auto"/>
        </w:rPr>
      </w:pPr>
    </w:p>
    <w:p>
      <w:pPr>
        <w:ind w:right="80" w:firstLine="2534"/>
        <w:spacing w:after="0" w:line="258" w:lineRule="auto"/>
        <w:tabs>
          <w:tab w:leader="none" w:pos="3475"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63" w:lineRule="exact"/>
        <w:rPr>
          <w:sz w:val="20"/>
          <w:szCs w:val="20"/>
          <w:color w:val="auto"/>
        </w:rPr>
      </w:pPr>
    </w:p>
    <w:p>
      <w:pPr>
        <w:ind w:right="20" w:firstLine="843"/>
        <w:spacing w:after="0" w:line="270" w:lineRule="auto"/>
        <w:rPr>
          <w:sz w:val="20"/>
          <w:szCs w:val="20"/>
          <w:color w:val="auto"/>
        </w:rPr>
      </w:pPr>
      <w:r>
        <w:rPr>
          <w:rFonts w:ascii="Arial" w:cs="Arial" w:eastAsia="Arial" w:hAnsi="Arial"/>
          <w:sz w:val="19"/>
          <w:szCs w:val="19"/>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7677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60" w:name="page161"/>
    <w:bookmarkEnd w:id="160"/>
    <w:p>
      <w:pPr>
        <w:ind w:left="1520" w:hanging="791"/>
        <w:spacing w:after="0"/>
        <w:tabs>
          <w:tab w:leader="none" w:pos="152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ind w:left="-120" w:firstLine="1644"/>
        <w:spacing w:after="0" w:line="269" w:lineRule="auto"/>
        <w:tabs>
          <w:tab w:leader="none" w:pos="2386"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14" w:lineRule="exact"/>
        <w:rPr>
          <w:rFonts w:ascii="Arial" w:cs="Arial" w:eastAsia="Arial" w:hAnsi="Arial"/>
          <w:sz w:val="19"/>
          <w:szCs w:val="19"/>
          <w:color w:val="auto"/>
        </w:rPr>
      </w:pPr>
    </w:p>
    <w:p>
      <w:pPr>
        <w:ind w:left="-120" w:firstLine="1644"/>
        <w:spacing w:after="0" w:line="242" w:lineRule="auto"/>
        <w:tabs>
          <w:tab w:leader="none" w:pos="2398" w:val="left"/>
        </w:tabs>
        <w:numPr>
          <w:ilvl w:val="1"/>
          <w:numId w:val="92"/>
        </w:numPr>
        <w:rPr>
          <w:rFonts w:ascii="Arial" w:cs="Arial" w:eastAsia="Arial" w:hAnsi="Arial"/>
          <w:sz w:val="21"/>
          <w:szCs w:val="21"/>
          <w:color w:val="auto"/>
        </w:rPr>
      </w:pPr>
      <w:r>
        <w:rPr>
          <w:rFonts w:ascii="Arial" w:cs="Arial" w:eastAsia="Arial" w:hAnsi="Arial"/>
          <w:sz w:val="21"/>
          <w:szCs w:val="21"/>
          <w:color w:val="auto"/>
        </w:rPr>
        <w:t xml:space="preserve">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w:t>
      </w:r>
      <w:r>
        <w:rPr>
          <w:rFonts w:ascii="Arial" w:cs="Arial" w:eastAsia="Arial" w:hAnsi="Arial"/>
          <w:sz w:val="19"/>
          <w:szCs w:val="19"/>
          <w:color w:val="auto"/>
        </w:rPr>
        <w:t>in-kind benefits provided or reimbursable expenses incurred</w:t>
      </w:r>
      <w:r>
        <w:rPr>
          <w:rFonts w:ascii="Arial" w:cs="Arial" w:eastAsia="Arial" w:hAnsi="Arial"/>
          <w:sz w:val="21"/>
          <w:szCs w:val="21"/>
          <w:color w:val="auto"/>
        </w:rPr>
        <w:t xml:space="preserve"> </w:t>
      </w:r>
      <w:r>
        <w:rPr>
          <w:rFonts w:ascii="Arial" w:cs="Arial" w:eastAsia="Arial" w:hAnsi="Arial"/>
          <w:sz w:val="19"/>
          <w:szCs w:val="19"/>
          <w:color w:val="auto"/>
        </w:rPr>
        <w:t>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Arial" w:cs="Arial" w:eastAsia="Arial" w:hAnsi="Arial"/>
          <w:sz w:val="21"/>
          <w:szCs w:val="21"/>
          <w:color w:val="auto"/>
        </w:rPr>
      </w:pPr>
    </w:p>
    <w:p>
      <w:pPr>
        <w:ind w:left="-120" w:right="60" w:firstLine="1644"/>
        <w:spacing w:after="0" w:line="245" w:lineRule="auto"/>
        <w:tabs>
          <w:tab w:leader="none" w:pos="2386" w:val="left"/>
        </w:tabs>
        <w:numPr>
          <w:ilvl w:val="1"/>
          <w:numId w:val="92"/>
        </w:numPr>
        <w:rPr>
          <w:rFonts w:ascii="Arial" w:cs="Arial" w:eastAsia="Arial" w:hAnsi="Arial"/>
          <w:sz w:val="21"/>
          <w:szCs w:val="21"/>
          <w:color w:val="auto"/>
        </w:rPr>
      </w:pPr>
      <w:r>
        <w:rPr>
          <w:rFonts w:ascii="Arial" w:cs="Arial" w:eastAsia="Arial" w:hAnsi="Arial"/>
          <w:sz w:val="21"/>
          <w:szCs w:val="21"/>
          <w:color w:val="auto"/>
        </w:rPr>
        <w:t xml:space="preserve">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w:t>
      </w:r>
      <w:r>
        <w:rPr>
          <w:rFonts w:ascii="Arial" w:cs="Arial" w:eastAsia="Arial" w:hAnsi="Arial"/>
          <w:sz w:val="19"/>
          <w:szCs w:val="19"/>
          <w:color w:val="auto"/>
        </w:rPr>
        <w:t>1.409A-1(h).</w:t>
      </w:r>
    </w:p>
    <w:p>
      <w:pPr>
        <w:spacing w:after="0" w:line="175" w:lineRule="exact"/>
        <w:rPr>
          <w:rFonts w:ascii="Arial" w:cs="Arial" w:eastAsia="Arial" w:hAnsi="Arial"/>
          <w:sz w:val="21"/>
          <w:szCs w:val="21"/>
          <w:color w:val="auto"/>
        </w:rPr>
      </w:pPr>
    </w:p>
    <w:p>
      <w:pPr>
        <w:ind w:left="-120" w:right="60" w:firstLine="1644"/>
        <w:spacing w:after="0" w:line="256" w:lineRule="auto"/>
        <w:tabs>
          <w:tab w:leader="none" w:pos="2398"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8" w:lineRule="exact"/>
        <w:rPr>
          <w:rFonts w:ascii="Arial" w:cs="Arial" w:eastAsia="Arial" w:hAnsi="Arial"/>
          <w:sz w:val="20"/>
          <w:szCs w:val="20"/>
          <w:color w:val="auto"/>
        </w:rPr>
      </w:pPr>
    </w:p>
    <w:p>
      <w:pPr>
        <w:jc w:val="both"/>
        <w:ind w:left="-120" w:right="140" w:firstLine="1644"/>
        <w:spacing w:after="0" w:line="252" w:lineRule="auto"/>
        <w:tabs>
          <w:tab w:leader="none" w:pos="2386"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205105</wp:posOffset>
            </wp:positionV>
            <wp:extent cx="717677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00"/>
          </w:cols>
          <w:pgMar w:left="440" w:top="344" w:right="459" w:bottom="1440" w:gutter="0" w:footer="0" w:header="0"/>
        </w:sectPr>
      </w:pPr>
    </w:p>
    <w:bookmarkStart w:id="161" w:name="page162"/>
    <w:bookmarkEnd w:id="161"/>
    <w:p>
      <w:pPr>
        <w:ind w:left="1620" w:hanging="791"/>
        <w:spacing w:after="0"/>
        <w:tabs>
          <w:tab w:leader="none" w:pos="162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Noncompetition and Cooperation</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ind w:left="-20" w:right="140" w:firstLine="1644"/>
        <w:spacing w:after="0" w:line="247" w:lineRule="auto"/>
        <w:tabs>
          <w:tab w:leader="none" w:pos="2486"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The terms of the Confidentiality and IP Assignment Agreement (the “Restrictive Covenant Agreement”), between the Company and the Executive,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shall continue to be in full force and effect and are incorporated by reference in this Agreement. The Executive hereby reaffirms the terms of the Restrictive Covenant Agreement as material terms of this Agreement.</w:t>
      </w:r>
    </w:p>
    <w:p>
      <w:pPr>
        <w:spacing w:after="0" w:line="174" w:lineRule="exact"/>
        <w:rPr>
          <w:rFonts w:ascii="Arial" w:cs="Arial" w:eastAsia="Arial" w:hAnsi="Arial"/>
          <w:sz w:val="21"/>
          <w:szCs w:val="21"/>
          <w:color w:val="auto"/>
        </w:rPr>
      </w:pPr>
    </w:p>
    <w:p>
      <w:pPr>
        <w:ind w:left="-20" w:firstLine="1644"/>
        <w:spacing w:after="0" w:line="257" w:lineRule="auto"/>
        <w:tabs>
          <w:tab w:leader="none" w:pos="2498"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Third-Party Agreements and Rights</w:t>
      </w:r>
      <w:r>
        <w:rPr>
          <w:rFonts w:ascii="Arial" w:cs="Arial" w:eastAsia="Arial" w:hAnsi="Arial"/>
          <w:sz w:val="20"/>
          <w:szCs w:val="20"/>
          <w:color w:val="auto"/>
        </w:rPr>
        <w:t xml:space="preserve">.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w:t>
      </w:r>
      <w:r>
        <w:rPr>
          <w:rFonts w:ascii="Arial" w:cs="Arial" w:eastAsia="Arial" w:hAnsi="Arial"/>
          <w:sz w:val="18"/>
          <w:szCs w:val="18"/>
          <w:color w:val="auto"/>
        </w:rPr>
        <w:t>the performance of the Executive’s proposed duties for the Company</w:t>
      </w:r>
      <w:r>
        <w:rPr>
          <w:rFonts w:ascii="Arial" w:cs="Arial" w:eastAsia="Arial" w:hAnsi="Arial"/>
          <w:sz w:val="20"/>
          <w:szCs w:val="20"/>
          <w:color w:val="auto"/>
        </w:rPr>
        <w:t xml:space="preserve"> </w:t>
      </w:r>
      <w:r>
        <w:rPr>
          <w:rFonts w:ascii="Arial" w:cs="Arial" w:eastAsia="Arial" w:hAnsi="Arial"/>
          <w:sz w:val="18"/>
          <w:szCs w:val="18"/>
          <w:color w:val="auto"/>
        </w:rPr>
        <w:t>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75" w:lineRule="exact"/>
        <w:rPr>
          <w:rFonts w:ascii="Arial" w:cs="Arial" w:eastAsia="Arial" w:hAnsi="Arial"/>
          <w:sz w:val="20"/>
          <w:szCs w:val="20"/>
          <w:color w:val="auto"/>
        </w:rPr>
      </w:pPr>
    </w:p>
    <w:p>
      <w:pPr>
        <w:ind w:left="-20" w:right="40" w:firstLine="1644"/>
        <w:spacing w:after="0" w:line="285" w:lineRule="auto"/>
        <w:tabs>
          <w:tab w:leader="none" w:pos="248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Litigation and Regulatory Cooperation</w:t>
      </w:r>
      <w:r>
        <w:rPr>
          <w:rFonts w:ascii="Arial" w:cs="Arial" w:eastAsia="Arial" w:hAnsi="Arial"/>
          <w:sz w:val="18"/>
          <w:szCs w:val="18"/>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145" w:lineRule="exact"/>
        <w:rPr>
          <w:rFonts w:ascii="Arial" w:cs="Arial" w:eastAsia="Arial" w:hAnsi="Arial"/>
          <w:sz w:val="18"/>
          <w:szCs w:val="18"/>
          <w:color w:val="auto"/>
        </w:rPr>
      </w:pPr>
    </w:p>
    <w:p>
      <w:pPr>
        <w:ind w:left="-20" w:right="80" w:firstLine="1644"/>
        <w:spacing w:after="0" w:line="286" w:lineRule="auto"/>
        <w:tabs>
          <w:tab w:leader="none" w:pos="2498"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 In addition, in the event the Executive breaches this Section 7 or the provisions incorporated herein during a period when she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her duties under this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40" w:top="344" w:right="339" w:bottom="1440" w:gutter="0" w:footer="0" w:header="0"/>
        </w:sectPr>
      </w:pPr>
    </w:p>
    <w:bookmarkStart w:id="162" w:name="page163"/>
    <w:bookmarkEnd w:id="162"/>
    <w:p>
      <w:pPr>
        <w:ind w:left="-20" w:right="560" w:firstLine="1644"/>
        <w:spacing w:after="0" w:line="252" w:lineRule="auto"/>
        <w:tabs>
          <w:tab w:leader="none" w:pos="2486"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Protected Disclosures and Other Protected Action</w:t>
      </w:r>
      <w:r>
        <w:rPr>
          <w:rFonts w:ascii="Arial" w:cs="Arial" w:eastAsia="Arial" w:hAnsi="Arial"/>
          <w:sz w:val="21"/>
          <w:szCs w:val="21"/>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68" w:lineRule="exact"/>
        <w:rPr>
          <w:rFonts w:ascii="Arial" w:cs="Arial" w:eastAsia="Arial" w:hAnsi="Arial"/>
          <w:sz w:val="21"/>
          <w:szCs w:val="21"/>
          <w:color w:val="auto"/>
        </w:rPr>
      </w:pPr>
    </w:p>
    <w:p>
      <w:pPr>
        <w:ind w:left="-20" w:right="40" w:firstLine="849"/>
        <w:spacing w:after="0" w:line="277" w:lineRule="auto"/>
        <w:tabs>
          <w:tab w:leader="none" w:pos="161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xml:space="preserve">.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w:t>
      </w:r>
      <w:r>
        <w:rPr>
          <w:rFonts w:ascii="Arial" w:cs="Arial" w:eastAsia="Arial" w:hAnsi="Arial"/>
          <w:sz w:val="17"/>
          <w:szCs w:val="17"/>
          <w:color w:val="auto"/>
        </w:rPr>
        <w:t>in the absence of such an agreement, under the auspices of the</w:t>
      </w:r>
      <w:r>
        <w:rPr>
          <w:rFonts w:ascii="Arial" w:cs="Arial" w:eastAsia="Arial" w:hAnsi="Arial"/>
          <w:sz w:val="19"/>
          <w:szCs w:val="19"/>
          <w:color w:val="auto"/>
        </w:rPr>
        <w:t xml:space="preserve"> </w:t>
      </w:r>
      <w:r>
        <w:rPr>
          <w:rFonts w:ascii="Arial" w:cs="Arial" w:eastAsia="Arial" w:hAnsi="Arial"/>
          <w:sz w:val="17"/>
          <w:szCs w:val="17"/>
          <w:color w:val="auto"/>
        </w:rPr>
        <w:t>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61" w:lineRule="exact"/>
        <w:rPr>
          <w:rFonts w:ascii="Arial" w:cs="Arial" w:eastAsia="Arial" w:hAnsi="Arial"/>
          <w:sz w:val="19"/>
          <w:szCs w:val="19"/>
          <w:color w:val="auto"/>
        </w:rPr>
      </w:pPr>
    </w:p>
    <w:p>
      <w:pPr>
        <w:ind w:left="-20" w:right="220" w:firstLine="849"/>
        <w:spacing w:after="0" w:line="277" w:lineRule="auto"/>
        <w:tabs>
          <w:tab w:leader="none" w:pos="161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46" w:lineRule="exact"/>
        <w:rPr>
          <w:rFonts w:ascii="Arial" w:cs="Arial" w:eastAsia="Arial" w:hAnsi="Arial"/>
          <w:sz w:val="19"/>
          <w:szCs w:val="19"/>
          <w:color w:val="auto"/>
        </w:rPr>
      </w:pPr>
    </w:p>
    <w:p>
      <w:pPr>
        <w:jc w:val="both"/>
        <w:ind w:left="-20" w:right="20" w:firstLine="849"/>
        <w:spacing w:after="0" w:line="252" w:lineRule="auto"/>
        <w:tabs>
          <w:tab w:leader="none" w:pos="17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and the Restrictive Covenant Agreement constitute the entire agreement between the parties with respect to the subject matter hereof and supersede all prior agreements between the parties concerning such subject matter, including the Prior Agreement.</w:t>
      </w:r>
    </w:p>
    <w:p>
      <w:pPr>
        <w:spacing w:after="0" w:line="168" w:lineRule="exact"/>
        <w:rPr>
          <w:rFonts w:ascii="Arial" w:cs="Arial" w:eastAsia="Arial" w:hAnsi="Arial"/>
          <w:sz w:val="21"/>
          <w:szCs w:val="21"/>
          <w:color w:val="auto"/>
        </w:rPr>
      </w:pPr>
    </w:p>
    <w:p>
      <w:pPr>
        <w:ind w:left="-20" w:right="160" w:firstLine="849"/>
        <w:spacing w:after="0" w:line="267" w:lineRule="auto"/>
        <w:tabs>
          <w:tab w:leader="none" w:pos="1712"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All payments made by the Company to the Executive under this Agreement shall be net of any tax or other amounts required to be withheld by the Company under applicable law.</w:t>
      </w:r>
    </w:p>
    <w:p>
      <w:pPr>
        <w:spacing w:after="0" w:line="153" w:lineRule="exact"/>
        <w:rPr>
          <w:rFonts w:ascii="Arial" w:cs="Arial" w:eastAsia="Arial" w:hAnsi="Arial"/>
          <w:sz w:val="21"/>
          <w:szCs w:val="21"/>
          <w:color w:val="auto"/>
        </w:rPr>
      </w:pPr>
    </w:p>
    <w:p>
      <w:pPr>
        <w:ind w:left="-20" w:firstLine="849"/>
        <w:spacing w:after="0" w:line="245" w:lineRule="auto"/>
        <w:tabs>
          <w:tab w:leader="none" w:pos="17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Successor to the Executive</w:t>
      </w:r>
      <w:r>
        <w:rPr>
          <w:rFonts w:ascii="Arial" w:cs="Arial" w:eastAsia="Arial" w:hAnsi="Arial"/>
          <w:sz w:val="21"/>
          <w:szCs w:val="21"/>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her under this Agreement, the Company shall continue such payments to the Executive’s beneficiary designated in writing to the Company prior to her death (or to her estate, if the Executive fails to make such designation).</w:t>
      </w:r>
    </w:p>
    <w:p>
      <w:pPr>
        <w:spacing w:after="0" w:line="175" w:lineRule="exact"/>
        <w:rPr>
          <w:rFonts w:ascii="Arial" w:cs="Arial" w:eastAsia="Arial" w:hAnsi="Arial"/>
          <w:sz w:val="21"/>
          <w:szCs w:val="21"/>
          <w:color w:val="auto"/>
        </w:rPr>
      </w:pPr>
    </w:p>
    <w:p>
      <w:pPr>
        <w:ind w:left="-20" w:right="20" w:firstLine="849"/>
        <w:spacing w:after="0" w:line="245" w:lineRule="auto"/>
        <w:tabs>
          <w:tab w:leader="none" w:pos="17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40" w:top="344" w:right="339" w:bottom="1440" w:gutter="0" w:footer="0" w:header="0"/>
        </w:sectPr>
      </w:pPr>
    </w:p>
    <w:bookmarkStart w:id="163" w:name="page164"/>
    <w:bookmarkEnd w:id="163"/>
    <w:p>
      <w:pPr>
        <w:ind w:left="-20" w:firstLine="849"/>
        <w:spacing w:after="0" w:line="267" w:lineRule="auto"/>
        <w:tabs>
          <w:tab w:leader="none" w:pos="17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provisions of this Agreement shall survive the termination of this Agreement and/or the termination of the Executive’s employment to the extent necessary to effectuate the terms contained herein.</w:t>
      </w:r>
    </w:p>
    <w:p>
      <w:pPr>
        <w:spacing w:after="0" w:line="153" w:lineRule="exact"/>
        <w:rPr>
          <w:rFonts w:ascii="Arial" w:cs="Arial" w:eastAsia="Arial" w:hAnsi="Arial"/>
          <w:sz w:val="21"/>
          <w:szCs w:val="21"/>
          <w:color w:val="auto"/>
        </w:rPr>
      </w:pPr>
    </w:p>
    <w:p>
      <w:pPr>
        <w:jc w:val="both"/>
        <w:ind w:left="-20" w:right="100" w:firstLine="849"/>
        <w:spacing w:after="0" w:line="247" w:lineRule="auto"/>
        <w:tabs>
          <w:tab w:leader="none" w:pos="17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4" w:lineRule="exact"/>
        <w:rPr>
          <w:rFonts w:ascii="Arial" w:cs="Arial" w:eastAsia="Arial" w:hAnsi="Arial"/>
          <w:sz w:val="21"/>
          <w:szCs w:val="21"/>
          <w:color w:val="auto"/>
        </w:rPr>
      </w:pPr>
    </w:p>
    <w:p>
      <w:pPr>
        <w:ind w:left="-20" w:right="60" w:firstLine="849"/>
        <w:spacing w:after="0" w:line="247" w:lineRule="auto"/>
        <w:tabs>
          <w:tab w:leader="none" w:pos="17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4" w:lineRule="exact"/>
        <w:rPr>
          <w:rFonts w:ascii="Arial" w:cs="Arial" w:eastAsia="Arial" w:hAnsi="Arial"/>
          <w:sz w:val="21"/>
          <w:szCs w:val="21"/>
          <w:color w:val="auto"/>
        </w:rPr>
      </w:pPr>
    </w:p>
    <w:p>
      <w:pPr>
        <w:ind w:left="-20" w:right="40" w:firstLine="849"/>
        <w:spacing w:after="0" w:line="267" w:lineRule="auto"/>
        <w:tabs>
          <w:tab w:leader="none" w:pos="17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be amended or modified only by a written instrument signed by the Executive and by a duly authorized representative of the Company.</w:t>
      </w:r>
    </w:p>
    <w:p>
      <w:pPr>
        <w:spacing w:after="0" w:line="153" w:lineRule="exact"/>
        <w:rPr>
          <w:rFonts w:ascii="Arial" w:cs="Arial" w:eastAsia="Arial" w:hAnsi="Arial"/>
          <w:sz w:val="21"/>
          <w:szCs w:val="21"/>
          <w:color w:val="auto"/>
        </w:rPr>
      </w:pPr>
    </w:p>
    <w:p>
      <w:pPr>
        <w:ind w:left="-20" w:right="60" w:firstLine="849"/>
        <w:spacing w:after="0" w:line="292" w:lineRule="auto"/>
        <w:tabs>
          <w:tab w:leader="none" w:pos="17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is a Massachusetts contract and shall be construed under and be governed in all respects by the laws of the Commonwealth of Massachusetts, without giving effect to the conflict of laws principles thereof.</w:t>
      </w:r>
    </w:p>
    <w:p>
      <w:pPr>
        <w:spacing w:after="0" w:line="130" w:lineRule="exact"/>
        <w:rPr>
          <w:rFonts w:ascii="Arial" w:cs="Arial" w:eastAsia="Arial" w:hAnsi="Arial"/>
          <w:sz w:val="20"/>
          <w:szCs w:val="20"/>
          <w:color w:val="auto"/>
        </w:rPr>
      </w:pPr>
    </w:p>
    <w:p>
      <w:pPr>
        <w:ind w:left="-20" w:right="120" w:firstLine="849"/>
        <w:spacing w:after="0" w:line="351" w:lineRule="auto"/>
        <w:tabs>
          <w:tab w:leader="none" w:pos="1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85" w:lineRule="exact"/>
        <w:rPr>
          <w:rFonts w:ascii="Arial" w:cs="Arial" w:eastAsia="Arial" w:hAnsi="Arial"/>
          <w:sz w:val="18"/>
          <w:szCs w:val="18"/>
          <w:color w:val="auto"/>
        </w:rPr>
      </w:pPr>
    </w:p>
    <w:p>
      <w:pPr>
        <w:ind w:left="-20" w:right="20" w:firstLine="849"/>
        <w:spacing w:after="0" w:line="245" w:lineRule="auto"/>
        <w:tabs>
          <w:tab w:leader="none" w:pos="17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Successor to Company</w:t>
      </w:r>
      <w:r>
        <w:rPr>
          <w:rFonts w:ascii="Arial" w:cs="Arial" w:eastAsia="Arial" w:hAnsi="Arial"/>
          <w:sz w:val="21"/>
          <w:szCs w:val="21"/>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5" w:lineRule="exact"/>
        <w:rPr>
          <w:rFonts w:ascii="Arial" w:cs="Arial" w:eastAsia="Arial" w:hAnsi="Arial"/>
          <w:sz w:val="21"/>
          <w:szCs w:val="21"/>
          <w:color w:val="auto"/>
        </w:rPr>
      </w:pPr>
    </w:p>
    <w:p>
      <w:pPr>
        <w:ind w:left="-20" w:right="400" w:firstLine="849"/>
        <w:spacing w:after="0" w:line="267" w:lineRule="auto"/>
        <w:tabs>
          <w:tab w:leader="none" w:pos="172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Gender Neutral</w:t>
      </w:r>
      <w:r>
        <w:rPr>
          <w:rFonts w:ascii="Arial" w:cs="Arial" w:eastAsia="Arial" w:hAnsi="Arial"/>
          <w:sz w:val="21"/>
          <w:szCs w:val="21"/>
          <w:color w:val="auto"/>
        </w:rPr>
        <w:t>. Wherever used herein, a pronoun in the masculine or feminine gender shall be considered as including the opposite gender as well unless the context clearly indicates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205105</wp:posOffset>
            </wp:positionV>
            <wp:extent cx="717677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40" w:top="583" w:right="35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1D1D1D"/>
        </w:rPr>
        <w:t>IN WITNESS WHEREOF, the parties have executed this Agreement effective on the date and year first above written.</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1D1D"/>
        </w:rPr>
        <w:t>AVROBIO,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52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0"/>
                <w:szCs w:val="20"/>
                <w:color w:val="1D1D1D"/>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20"/>
                <w:szCs w:val="20"/>
                <w:color w:val="1D1D1D"/>
              </w:rPr>
              <w:t>/s/ Geoff MacKay</w:t>
            </w:r>
          </w:p>
        </w:tc>
      </w:tr>
      <w:tr>
        <w:trPr>
          <w:trHeight w:val="219"/>
        </w:trPr>
        <w:tc>
          <w:tcPr>
            <w:tcW w:w="740" w:type="dxa"/>
            <w:vAlign w:val="bottom"/>
          </w:tcPr>
          <w:p>
            <w:pPr>
              <w:spacing w:after="0" w:line="219" w:lineRule="exact"/>
              <w:rPr>
                <w:sz w:val="20"/>
                <w:szCs w:val="20"/>
                <w:color w:val="auto"/>
              </w:rPr>
            </w:pPr>
            <w:r>
              <w:rPr>
                <w:rFonts w:ascii="Arial" w:cs="Arial" w:eastAsia="Arial" w:hAnsi="Arial"/>
                <w:sz w:val="20"/>
                <w:szCs w:val="20"/>
                <w:color w:val="1D1D1D"/>
              </w:rPr>
              <w:t>Name:</w:t>
            </w:r>
          </w:p>
        </w:tc>
        <w:tc>
          <w:tcPr>
            <w:tcW w:w="5140" w:type="dxa"/>
            <w:vAlign w:val="bottom"/>
          </w:tcPr>
          <w:p>
            <w:pPr>
              <w:spacing w:after="0" w:line="219" w:lineRule="exact"/>
              <w:rPr>
                <w:sz w:val="20"/>
                <w:szCs w:val="20"/>
                <w:color w:val="auto"/>
              </w:rPr>
            </w:pPr>
            <w:r>
              <w:rPr>
                <w:rFonts w:ascii="Arial" w:cs="Arial" w:eastAsia="Arial" w:hAnsi="Arial"/>
                <w:sz w:val="20"/>
                <w:szCs w:val="20"/>
                <w:color w:val="1D1D1D"/>
              </w:rPr>
              <w:t>Geoff MacKay</w:t>
            </w:r>
          </w:p>
        </w:tc>
      </w:tr>
      <w:tr>
        <w:trPr>
          <w:trHeight w:val="259"/>
        </w:trPr>
        <w:tc>
          <w:tcPr>
            <w:tcW w:w="740" w:type="dxa"/>
            <w:vAlign w:val="bottom"/>
          </w:tcPr>
          <w:p>
            <w:pPr>
              <w:spacing w:after="0"/>
              <w:rPr>
                <w:sz w:val="20"/>
                <w:szCs w:val="20"/>
                <w:color w:val="auto"/>
              </w:rPr>
            </w:pPr>
            <w:r>
              <w:rPr>
                <w:rFonts w:ascii="Arial" w:cs="Arial" w:eastAsia="Arial" w:hAnsi="Arial"/>
                <w:sz w:val="20"/>
                <w:szCs w:val="20"/>
                <w:color w:val="1D1D1D"/>
              </w:rPr>
              <w:t>Title:</w:t>
            </w:r>
          </w:p>
        </w:tc>
        <w:tc>
          <w:tcPr>
            <w:tcW w:w="5140" w:type="dxa"/>
            <w:vAlign w:val="bottom"/>
          </w:tcPr>
          <w:p>
            <w:pPr>
              <w:spacing w:after="0"/>
              <w:rPr>
                <w:sz w:val="20"/>
                <w:szCs w:val="20"/>
                <w:color w:val="auto"/>
              </w:rPr>
            </w:pPr>
            <w:r>
              <w:rPr>
                <w:rFonts w:ascii="Arial" w:cs="Arial" w:eastAsia="Arial" w:hAnsi="Arial"/>
                <w:sz w:val="20"/>
                <w:szCs w:val="20"/>
                <w:color w:val="1D1D1D"/>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1D1D1D"/>
        </w:rPr>
        <w:t>EXECUTIVE</w:t>
      </w:r>
    </w:p>
    <w:p>
      <w:pPr>
        <w:spacing w:after="0" w:line="200" w:lineRule="exact"/>
        <w:rPr>
          <w:sz w:val="20"/>
          <w:szCs w:val="20"/>
          <w:color w:val="auto"/>
        </w:rPr>
      </w:pPr>
    </w:p>
    <w:p>
      <w:pPr>
        <w:spacing w:after="0" w:line="265" w:lineRule="exact"/>
        <w:rPr>
          <w:sz w:val="20"/>
          <w:szCs w:val="20"/>
          <w:color w:val="auto"/>
        </w:rPr>
      </w:pPr>
    </w:p>
    <w:p>
      <w:pPr>
        <w:ind w:left="5260"/>
        <w:spacing w:after="0"/>
        <w:rPr>
          <w:sz w:val="20"/>
          <w:szCs w:val="20"/>
          <w:color w:val="auto"/>
        </w:rPr>
      </w:pPr>
      <w:r>
        <w:rPr>
          <w:rFonts w:ascii="Arial" w:cs="Arial" w:eastAsia="Arial" w:hAnsi="Arial"/>
          <w:sz w:val="20"/>
          <w:szCs w:val="20"/>
          <w:color w:val="1D1D1D"/>
        </w:rPr>
        <w:t>/s/ Deanna M.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32639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9"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Deanna Petersen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205105</wp:posOffset>
            </wp:positionV>
            <wp:extent cx="717677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400"/>
          </w:cols>
          <w:pgMar w:left="1160" w:top="352" w:right="3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1"/>
          <w:szCs w:val="21"/>
          <w:b w:val="1"/>
          <w:bCs w:val="1"/>
          <w:color w:val="auto"/>
        </w:rPr>
        <w:t>Schedule 1</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Approved Activities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Board Member, Tecogen, Inc. (TGEN)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205105</wp:posOffset>
            </wp:positionV>
            <wp:extent cx="717677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21"/>
          <w:szCs w:val="21"/>
          <w:b w:val="1"/>
          <w:bCs w:val="1"/>
          <w:color w:val="auto"/>
        </w:rPr>
        <w:t>Exhibit A</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Confidentiality and IP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9019"/>
          </w:cols>
          <w:pgMar w:left="1440" w:top="338"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List of Subsidiaries</w:t>
            </w:r>
          </w:p>
        </w:tc>
        <w:tc>
          <w:tcPr>
            <w:tcW w:w="560" w:type="dxa"/>
            <w:vAlign w:val="bottom"/>
          </w:tcPr>
          <w:p>
            <w:pPr>
              <w:spacing w:after="0"/>
              <w:rPr>
                <w:sz w:val="17"/>
                <w:szCs w:val="17"/>
                <w:color w:val="auto"/>
              </w:rPr>
            </w:pPr>
          </w:p>
        </w:tc>
      </w:tr>
      <w:tr>
        <w:trPr>
          <w:trHeight w:val="378"/>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w w:val="92"/>
              </w:rPr>
              <w:t>Jurisdiction of incorporation or organization</w:t>
            </w:r>
          </w:p>
        </w:tc>
      </w:tr>
      <w:tr>
        <w:trPr>
          <w:trHeight w:val="193"/>
        </w:trPr>
        <w:tc>
          <w:tcPr>
            <w:tcW w:w="7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82"/>
              </w:rPr>
              <w:t>AVROBIO</w:t>
            </w:r>
          </w:p>
        </w:tc>
        <w:tc>
          <w:tcPr>
            <w:tcW w:w="3480" w:type="dxa"/>
            <w:vAlign w:val="bottom"/>
          </w:tcPr>
          <w:p>
            <w:pPr>
              <w:ind w:left="140"/>
              <w:spacing w:after="0" w:line="194" w:lineRule="exact"/>
              <w:rPr>
                <w:sz w:val="20"/>
                <w:szCs w:val="20"/>
                <w:color w:val="auto"/>
              </w:rPr>
            </w:pPr>
            <w:r>
              <w:rPr>
                <w:rFonts w:ascii="Arial" w:cs="Arial" w:eastAsia="Arial" w:hAnsi="Arial"/>
                <w:sz w:val="18"/>
                <w:szCs w:val="18"/>
                <w:color w:val="auto"/>
              </w:rPr>
              <w:t>Inc.</w:t>
            </w:r>
          </w:p>
        </w:tc>
        <w:tc>
          <w:tcPr>
            <w:tcW w:w="2740" w:type="dxa"/>
            <w:vAlign w:val="bottom"/>
            <w:tcBorders>
              <w:top w:val="single" w:sz="8" w:color="auto"/>
            </w:tcBorders>
            <w:gridSpan w:val="3"/>
          </w:tcPr>
          <w:p>
            <w:pPr>
              <w:spacing w:after="0" w:line="194" w:lineRule="exact"/>
              <w:rPr>
                <w:sz w:val="20"/>
                <w:szCs w:val="20"/>
                <w:color w:val="auto"/>
              </w:rPr>
            </w:pPr>
            <w:r>
              <w:rPr>
                <w:rFonts w:ascii="Arial" w:cs="Arial" w:eastAsia="Arial" w:hAnsi="Arial"/>
                <w:sz w:val="18"/>
                <w:szCs w:val="18"/>
                <w:color w:val="auto"/>
              </w:rPr>
              <w:t>Ontario, Canada</w:t>
            </w:r>
          </w:p>
        </w:tc>
      </w:tr>
      <w:tr>
        <w:trPr>
          <w:trHeight w:val="212"/>
        </w:trPr>
        <w:tc>
          <w:tcPr>
            <w:tcW w:w="4180" w:type="dxa"/>
            <w:vAlign w:val="bottom"/>
            <w:gridSpan w:val="2"/>
          </w:tcPr>
          <w:p>
            <w:pPr>
              <w:spacing w:after="0"/>
              <w:rPr>
                <w:sz w:val="20"/>
                <w:szCs w:val="20"/>
                <w:color w:val="auto"/>
              </w:rPr>
            </w:pPr>
            <w:r>
              <w:rPr>
                <w:rFonts w:ascii="Arial" w:cs="Arial" w:eastAsia="Arial" w:hAnsi="Arial"/>
                <w:sz w:val="18"/>
                <w:szCs w:val="18"/>
                <w:color w:val="auto"/>
              </w:rPr>
              <w:t>AVROBIO Australia Pty Ltd</w:t>
            </w:r>
          </w:p>
        </w:tc>
        <w:tc>
          <w:tcPr>
            <w:tcW w:w="274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AVROBIO Securities Corporation</w:t>
            </w:r>
          </w:p>
        </w:tc>
        <w:tc>
          <w:tcPr>
            <w:tcW w:w="2740" w:type="dxa"/>
            <w:vAlign w:val="bottom"/>
            <w:gridSpan w:val="3"/>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347"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8" w:lineRule="exact"/>
        <w:rPr>
          <w:sz w:val="20"/>
          <w:szCs w:val="20"/>
          <w:color w:val="auto"/>
        </w:rPr>
      </w:pPr>
    </w:p>
    <w:p>
      <w:pPr>
        <w:ind w:left="880" w:right="100" w:hanging="435"/>
        <w:spacing w:after="0" w:line="295"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333-225788) pertaining to the AVROBIO, Inc. Amended and Restated 2015 Stock Option and Grant Plan, the AVROBIO, Inc. 2018 Stock Option and Incentive Plan, and the AVROBIO, Inc. 2018 Employee Stock Purchase Plan,</w:t>
      </w:r>
    </w:p>
    <w:p>
      <w:pPr>
        <w:spacing w:after="0" w:line="156" w:lineRule="exact"/>
        <w:rPr>
          <w:rFonts w:ascii="Arial" w:cs="Arial" w:eastAsia="Arial" w:hAnsi="Arial"/>
          <w:sz w:val="17"/>
          <w:szCs w:val="17"/>
          <w:color w:val="auto"/>
        </w:rPr>
      </w:pPr>
    </w:p>
    <w:p>
      <w:pPr>
        <w:ind w:left="880" w:hanging="435"/>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333-230493) pertaining to the Inducement Stock Option Agreement of AVROBIO, Inc.,</w:t>
      </w:r>
    </w:p>
    <w:p>
      <w:pPr>
        <w:spacing w:after="0" w:line="218" w:lineRule="exact"/>
        <w:rPr>
          <w:rFonts w:ascii="Arial" w:cs="Arial" w:eastAsia="Arial" w:hAnsi="Arial"/>
          <w:sz w:val="18"/>
          <w:szCs w:val="18"/>
          <w:color w:val="auto"/>
        </w:rPr>
      </w:pPr>
    </w:p>
    <w:p>
      <w:pPr>
        <w:ind w:left="880" w:right="140" w:hanging="435"/>
        <w:spacing w:after="0" w:line="265"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333-230494) pertaining to the AVROBIO, Inc. 2018 Stock Option and Incentive Plan and the AVROBIO, Inc. 2018 Employee Stock Purchase Plan,</w:t>
      </w:r>
    </w:p>
    <w:p>
      <w:pPr>
        <w:spacing w:after="0" w:line="180" w:lineRule="exact"/>
        <w:rPr>
          <w:rFonts w:ascii="Arial" w:cs="Arial" w:eastAsia="Arial" w:hAnsi="Arial"/>
          <w:sz w:val="18"/>
          <w:szCs w:val="18"/>
          <w:color w:val="auto"/>
        </w:rPr>
      </w:pPr>
    </w:p>
    <w:p>
      <w:pPr>
        <w:ind w:left="880" w:hanging="435"/>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S-3 No. 333-232489) of AVROBIO, Inc.,</w:t>
      </w:r>
    </w:p>
    <w:p>
      <w:pPr>
        <w:spacing w:after="0" w:line="217" w:lineRule="exact"/>
        <w:rPr>
          <w:rFonts w:ascii="Arial" w:cs="Arial" w:eastAsia="Arial" w:hAnsi="Arial"/>
          <w:sz w:val="18"/>
          <w:szCs w:val="18"/>
          <w:color w:val="auto"/>
        </w:rPr>
      </w:pPr>
    </w:p>
    <w:p>
      <w:pPr>
        <w:ind w:left="880" w:hanging="435"/>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333-234641) pertaining to the Inducement Stock Option Agreement of AVROBIO, Inc.,</w:t>
      </w:r>
    </w:p>
    <w:p>
      <w:pPr>
        <w:spacing w:after="0" w:line="218" w:lineRule="exact"/>
        <w:rPr>
          <w:rFonts w:ascii="Arial" w:cs="Arial" w:eastAsia="Arial" w:hAnsi="Arial"/>
          <w:sz w:val="18"/>
          <w:szCs w:val="18"/>
          <w:color w:val="auto"/>
        </w:rPr>
      </w:pPr>
    </w:p>
    <w:p>
      <w:pPr>
        <w:ind w:left="880" w:hanging="435"/>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S-3 No. 333-235641) of AVROBIO, Inc., and</w:t>
      </w:r>
    </w:p>
    <w:p>
      <w:pPr>
        <w:spacing w:after="0" w:line="218" w:lineRule="exact"/>
        <w:rPr>
          <w:rFonts w:ascii="Arial" w:cs="Arial" w:eastAsia="Arial" w:hAnsi="Arial"/>
          <w:sz w:val="18"/>
          <w:szCs w:val="18"/>
          <w:color w:val="auto"/>
        </w:rPr>
      </w:pPr>
    </w:p>
    <w:p>
      <w:pPr>
        <w:ind w:left="880" w:right="240" w:hanging="435"/>
        <w:spacing w:after="0" w:line="265"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Registration Statement (Form S-8 No. 333-235643) pertaining to the AVROBIO, Inc. 2019 Inducement Plan and the Inducement Stock Option Agreement of AVROBIO, Inc.;</w:t>
      </w:r>
    </w:p>
    <w:p>
      <w:pPr>
        <w:spacing w:after="0" w:line="180"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of our report dated March 16, 2020, with respect to the consolidated financial statements of AVROBIO, Inc. included in this Annual Report (Form 10-K) of AVROBIO, Inc. for the year ended December 31, 2019.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34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2" w:lineRule="exact"/>
        <w:rPr>
          <w:sz w:val="20"/>
          <w:szCs w:val="20"/>
          <w:color w:val="auto"/>
        </w:rPr>
      </w:pPr>
    </w:p>
    <w:p>
      <w:pPr>
        <w:ind w:left="900" w:hanging="89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18" w:lineRule="exact"/>
        <w:rPr>
          <w:rFonts w:ascii="Arial" w:cs="Arial" w:eastAsia="Arial" w:hAnsi="Arial"/>
          <w:sz w:val="18"/>
          <w:szCs w:val="18"/>
          <w:color w:val="auto"/>
        </w:rPr>
      </w:pPr>
    </w:p>
    <w:p>
      <w:pPr>
        <w:jc w:val="both"/>
        <w:ind w:left="900" w:right="40" w:hanging="894"/>
        <w:spacing w:after="0" w:line="256"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900" w:right="20" w:hanging="894"/>
        <w:spacing w:after="0" w:line="295"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jc w:val="both"/>
        <w:ind w:left="900" w:right="40" w:hanging="894"/>
        <w:spacing w:after="0" w:line="256"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780" w:right="20" w:hanging="884"/>
        <w:spacing w:after="0" w:line="278" w:lineRule="auto"/>
        <w:tabs>
          <w:tab w:leader="none" w:pos="17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ind w:left="1780" w:right="80" w:hanging="884"/>
        <w:spacing w:after="0" w:line="278" w:lineRule="auto"/>
        <w:tabs>
          <w:tab w:leader="none" w:pos="17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7"/>
          <w:szCs w:val="17"/>
          <w:color w:val="auto"/>
        </w:rPr>
      </w:pPr>
    </w:p>
    <w:p>
      <w:pPr>
        <w:ind w:left="1780" w:right="180" w:hanging="884"/>
        <w:spacing w:after="0" w:line="256" w:lineRule="auto"/>
        <w:tabs>
          <w:tab w:leader="none" w:pos="1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8"/>
          <w:szCs w:val="18"/>
          <w:color w:val="auto"/>
        </w:rPr>
      </w:pPr>
    </w:p>
    <w:p>
      <w:pPr>
        <w:ind w:left="1780" w:right="280" w:hanging="884"/>
        <w:spacing w:after="0" w:line="278" w:lineRule="auto"/>
        <w:tabs>
          <w:tab w:leader="none" w:pos="17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900" w:right="20" w:hanging="894"/>
        <w:spacing w:after="0" w:line="366" w:lineRule="auto"/>
        <w:tabs>
          <w:tab w:leader="none" w:pos="9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780" w:right="120" w:hanging="884"/>
        <w:spacing w:after="0" w:line="366" w:lineRule="auto"/>
        <w:tabs>
          <w:tab w:leader="none" w:pos="1780" w:val="left"/>
        </w:tabs>
        <w:numPr>
          <w:ilvl w:val="1"/>
          <w:numId w:val="9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780" w:right="400" w:hanging="884"/>
        <w:spacing w:after="0" w:line="265" w:lineRule="auto"/>
        <w:tabs>
          <w:tab w:leader="none" w:pos="1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6060" w:val="left"/>
          <w:tab w:leader="none" w:pos="82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Geoff MacKay</w:t>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-130175</wp:posOffset>
            </wp:positionV>
            <wp:extent cx="29940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299402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2" w:lineRule="exact"/>
        <w:rPr>
          <w:sz w:val="20"/>
          <w:szCs w:val="20"/>
          <w:color w:val="auto"/>
        </w:rPr>
      </w:pPr>
    </w:p>
    <w:p>
      <w:pPr>
        <w:ind w:left="900" w:hanging="894"/>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17" w:lineRule="exact"/>
        <w:rPr>
          <w:rFonts w:ascii="Arial" w:cs="Arial" w:eastAsia="Arial" w:hAnsi="Arial"/>
          <w:sz w:val="18"/>
          <w:szCs w:val="18"/>
          <w:color w:val="auto"/>
        </w:rPr>
      </w:pPr>
    </w:p>
    <w:p>
      <w:pPr>
        <w:jc w:val="both"/>
        <w:ind w:left="900" w:right="40" w:hanging="894"/>
        <w:spacing w:after="0" w:line="256"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900" w:right="20" w:hanging="894"/>
        <w:spacing w:after="0" w:line="295"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jc w:val="both"/>
        <w:ind w:left="900" w:right="40" w:hanging="894"/>
        <w:spacing w:after="0" w:line="256"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780" w:right="20" w:hanging="884"/>
        <w:spacing w:after="0" w:line="278" w:lineRule="auto"/>
        <w:tabs>
          <w:tab w:leader="none" w:pos="17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ind w:left="1780" w:right="80" w:hanging="884"/>
        <w:spacing w:after="0" w:line="278" w:lineRule="auto"/>
        <w:tabs>
          <w:tab w:leader="none" w:pos="17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7"/>
          <w:szCs w:val="17"/>
          <w:color w:val="auto"/>
        </w:rPr>
      </w:pPr>
    </w:p>
    <w:p>
      <w:pPr>
        <w:ind w:left="1780" w:right="180" w:hanging="884"/>
        <w:spacing w:after="0" w:line="256" w:lineRule="auto"/>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8"/>
          <w:szCs w:val="18"/>
          <w:color w:val="auto"/>
        </w:rPr>
      </w:pPr>
    </w:p>
    <w:p>
      <w:pPr>
        <w:ind w:left="1780" w:right="280" w:hanging="884"/>
        <w:spacing w:after="0" w:line="278" w:lineRule="auto"/>
        <w:tabs>
          <w:tab w:leader="none" w:pos="17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900" w:right="20" w:hanging="894"/>
        <w:spacing w:after="0" w:line="366" w:lineRule="auto"/>
        <w:tabs>
          <w:tab w:leader="none" w:pos="9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780" w:right="120" w:hanging="884"/>
        <w:spacing w:after="0" w:line="366" w:lineRule="auto"/>
        <w:tabs>
          <w:tab w:leader="none" w:pos="1780" w:val="left"/>
        </w:tabs>
        <w:numPr>
          <w:ilvl w:val="1"/>
          <w:numId w:val="9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780" w:right="400" w:hanging="884"/>
        <w:spacing w:after="0" w:line="265" w:lineRule="auto"/>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6060" w:val="left"/>
          <w:tab w:leader="none" w:pos="82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Erik Ostrowski</w:t>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-130175</wp:posOffset>
            </wp:positionV>
            <wp:extent cx="29940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299402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the Annual Report of AVROBIO, Inc. (the “Company”) on Form 10-K for the year ended December 31, 2019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8" w:lineRule="exact"/>
        <w:rPr>
          <w:sz w:val="20"/>
          <w:szCs w:val="20"/>
          <w:color w:val="auto"/>
        </w:rPr>
      </w:pP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260" w:hanging="254"/>
        <w:spacing w:after="0"/>
        <w:tabs>
          <w:tab w:leader="none" w:pos="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3" w:lineRule="exact"/>
        <w:rPr>
          <w:sz w:val="20"/>
          <w:szCs w:val="20"/>
          <w:color w:val="auto"/>
        </w:rPr>
      </w:pPr>
    </w:p>
    <w:p>
      <w:pPr>
        <w:spacing w:after="0"/>
        <w:tabs>
          <w:tab w:leader="none" w:pos="6060" w:val="left"/>
          <w:tab w:leader="none" w:pos="82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Geoff MacKay</w:t>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-130175</wp:posOffset>
            </wp:positionV>
            <wp:extent cx="2994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299402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pacing w:after="0" w:line="233" w:lineRule="exact"/>
        <w:rPr>
          <w:sz w:val="20"/>
          <w:szCs w:val="20"/>
          <w:color w:val="auto"/>
        </w:rPr>
      </w:pPr>
    </w:p>
    <w:p>
      <w:pPr>
        <w:spacing w:after="0"/>
        <w:tabs>
          <w:tab w:leader="none" w:pos="6060" w:val="left"/>
          <w:tab w:leader="none" w:pos="82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Erik Ostrowski</w:t>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-130175</wp:posOffset>
            </wp:positionV>
            <wp:extent cx="2994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299402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1)"/>
      <w:numFmt w:val="lowerRoman"/>
      <w:start w:val="3"/>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lowerLetter"/>
      <w:start w:val="1"/>
    </w:lvl>
    <w:lvl w:ilvl="1">
      <w:lvlJc w:val="left"/>
      <w:lvlText w:val="%2."/>
      <w:numFmt w:val="decimal"/>
      <w:start w:val="1"/>
    </w:lvl>
  </w:abstractNum>
  <w:abstractNum w:abstractNumId="59">
    <w:nsid w:val="68EB2F63"/>
    <w:multiLevelType w:val="hybridMultilevel"/>
    <w:lvl w:ilvl="0">
      <w:lvlJc w:val="left"/>
      <w:lvlText w:val="%1."/>
      <w:numFmt w:val="decimal"/>
      <w:start w:val="2"/>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1)"/>
      <w:numFmt w:val="decimal"/>
      <w:start w:val="4"/>
    </w:lvl>
  </w:abstractNum>
  <w:abstractNum w:abstractNumId="62">
    <w:nsid w:val="6A5EE64"/>
    <w:multiLevelType w:val="hybridMultilevel"/>
    <w:lvl w:ilvl="0">
      <w:lvlJc w:val="left"/>
      <w:lvlText w:val="%1."/>
      <w:numFmt w:val="decimal"/>
      <w:start w:val="11"/>
    </w:lvl>
  </w:abstractNum>
  <w:abstractNum w:abstractNumId="63">
    <w:nsid w:val="14330624"/>
    <w:multiLevelType w:val="hybridMultilevel"/>
    <w:lvl w:ilvl="0">
      <w:lvlJc w:val="left"/>
      <w:lvlText w:val="%1."/>
      <w:numFmt w:val="decimal"/>
      <w:start w:val="14"/>
    </w:lvl>
  </w:abstractNum>
  <w:abstractNum w:abstractNumId="64">
    <w:nsid w:val="7FFFCA11"/>
    <w:multiLevelType w:val="hybridMultilevel"/>
    <w:lvl w:ilvl="0">
      <w:lvlJc w:val="left"/>
      <w:lvlText w:val="%1."/>
      <w:numFmt w:val="decimal"/>
      <w:start w:val="15"/>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1)"/>
      <w:numFmt w:val="lowerRoman"/>
      <w:start w:val="1"/>
    </w:lvl>
  </w:abstractNum>
  <w:abstractNum w:abstractNumId="67">
    <w:nsid w:val="100F59DC"/>
    <w:multiLevelType w:val="hybridMultilevel"/>
    <w:lvl w:ilvl="0">
      <w:lvlJc w:val="left"/>
      <w:lvlText w:val="(%1)"/>
      <w:numFmt w:val="lowerRoman"/>
      <w:start w:val="3"/>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decimal"/>
      <w:start w:val="4"/>
    </w:lvl>
  </w:abstractNum>
  <w:abstractNum w:abstractNumId="73">
    <w:nsid w:val="76272110"/>
    <w:multiLevelType w:val="hybridMultilevel"/>
    <w:lvl w:ilvl="0">
      <w:lvlJc w:val="left"/>
      <w:lvlText w:val="%1."/>
      <w:numFmt w:val="decimal"/>
      <w:start w:val="5"/>
    </w:lvl>
    <w:lvl w:ilvl="1">
      <w:lvlJc w:val="left"/>
      <w:lvlText w:val="(%2)"/>
      <w:numFmt w:val="lowerRoman"/>
      <w:start w:val="2"/>
    </w:lvl>
  </w:abstractNum>
  <w:abstractNum w:abstractNumId="74">
    <w:nsid w:val="4C04A8AF"/>
    <w:multiLevelType w:val="hybridMultilevel"/>
    <w:lvl w:ilvl="0">
      <w:lvlJc w:val="left"/>
      <w:lvlText w:val="%1."/>
      <w:numFmt w:val="decimal"/>
      <w:start w:val="9"/>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4"/>
    </w:lvl>
  </w:abstractNum>
  <w:abstractNum w:abstractNumId="77">
    <w:nsid w:val="3222E7CD"/>
    <w:multiLevelType w:val="hybridMultilevel"/>
    <w:lvl w:ilvl="0">
      <w:lvlJc w:val="left"/>
      <w:lvlText w:val="%1."/>
      <w:numFmt w:val="decimal"/>
      <w:start w:val="5"/>
    </w:lvl>
  </w:abstractNum>
  <w:abstractNum w:abstractNumId="78">
    <w:nsid w:val="74DE0EE3"/>
    <w:multiLevelType w:val="hybridMultilevel"/>
    <w:lvl w:ilvl="0">
      <w:lvlJc w:val="left"/>
      <w:lvlText w:val="%1."/>
      <w:numFmt w:val="decimal"/>
      <w:start w:val="1"/>
    </w:lvl>
    <w:lvl w:ilvl="1">
      <w:lvlJc w:val="left"/>
      <w:lvlText w:val="(%2)"/>
      <w:numFmt w:val="lowerLetter"/>
      <w:start w:val="1"/>
    </w:lvl>
  </w:abstractNum>
  <w:abstractNum w:abstractNumId="79">
    <w:nsid w:val="68EBC550"/>
    <w:multiLevelType w:val="hybridMultilevel"/>
    <w:lvl w:ilvl="0">
      <w:lvlJc w:val="left"/>
      <w:lvlText w:val="%1"/>
      <w:numFmt w:val="decimal"/>
      <w:start w:val="1"/>
    </w:lvl>
    <w:lvl w:ilvl="1">
      <w:lvlJc w:val="left"/>
      <w:lvlText w:val="(%2)"/>
      <w:numFmt w:val="lowerLetter"/>
      <w:start w:val="2"/>
    </w:lvl>
  </w:abstractNum>
  <w:abstractNum w:abstractNumId="80">
    <w:nsid w:val="2DF6D648"/>
    <w:multiLevelType w:val="hybridMultilevel"/>
    <w:lvl w:ilvl="0">
      <w:lvlJc w:val="left"/>
      <w:lvlText w:val="%1."/>
      <w:numFmt w:val="decimal"/>
      <w:start w:val="3"/>
    </w:lvl>
    <w:lvl w:ilvl="1">
      <w:lvlJc w:val="left"/>
      <w:lvlText w:val="(%2)"/>
      <w:numFmt w:val="lowerLetter"/>
      <w:start w:val="1"/>
    </w:lvl>
  </w:abstractNum>
  <w:abstractNum w:abstractNumId="81">
    <w:nsid w:val="46B7D447"/>
    <w:multiLevelType w:val="hybridMultilevel"/>
    <w:lvl w:ilvl="0">
      <w:lvlJc w:val="left"/>
      <w:lvlText w:val="(%1)"/>
      <w:numFmt w:val="lowerLetter"/>
      <w:start w:val="3"/>
    </w:lvl>
  </w:abstractNum>
  <w:abstractNum w:abstractNumId="82">
    <w:nsid w:val="4A2AC31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83">
    <w:nsid w:val="39EE01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4">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5">
    <w:nsid w:val="CC1016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6">
    <w:nsid w:val="43F18422"/>
    <w:multiLevelType w:val="hybridMultilevel"/>
    <w:lvl w:ilvl="0">
      <w:lvlJc w:val="left"/>
      <w:lvlText w:val="%1"/>
      <w:numFmt w:val="lowerLetter"/>
      <w:start w:val="1"/>
    </w:lvl>
    <w:lvl w:ilvl="1">
      <w:lvlJc w:val="left"/>
      <w:lvlText w:val="(%2)"/>
      <w:numFmt w:val="lowerRoman"/>
      <w:start w:val="2"/>
    </w:lvl>
  </w:abstractNum>
  <w:abstractNum w:abstractNumId="87">
    <w:nsid w:val="60EF0119"/>
    <w:multiLevelType w:val="hybridMultilevel"/>
    <w:lvl w:ilvl="0">
      <w:lvlJc w:val="left"/>
      <w:lvlText w:val="(%1)"/>
      <w:numFmt w:val="lowerLetter"/>
      <w:start w:val="2"/>
    </w:lvl>
    <w:lvl w:ilvl="1">
      <w:lvlJc w:val="left"/>
      <w:lvlText w:val="(%2)"/>
      <w:numFmt w:val="lowerRoman"/>
      <w:start w:val="1"/>
    </w:lvl>
  </w:abstractNum>
  <w:abstractNum w:abstractNumId="88">
    <w:nsid w:val="26F324BA"/>
    <w:multiLevelType w:val="hybridMultilevel"/>
    <w:lvl w:ilvl="0">
      <w:lvlJc w:val="left"/>
      <w:lvlText w:val="%1"/>
      <w:numFmt w:val="lowerLetter"/>
      <w:start w:val="1"/>
    </w:lvl>
    <w:lvl w:ilvl="1">
      <w:lvlJc w:val="left"/>
      <w:lvlText w:val="(%2)"/>
      <w:numFmt w:val="lowerLetter"/>
      <w:start w:val="61"/>
    </w:lvl>
  </w:abstractNum>
  <w:abstractNum w:abstractNumId="89">
    <w:nsid w:val="7F01579B"/>
    <w:multiLevelType w:val="hybridMultilevel"/>
    <w:lvl w:ilvl="0">
      <w:lvlJc w:val="left"/>
      <w:lvlText w:val="(%1)"/>
      <w:numFmt w:val="lowerLetter"/>
      <w:start w:val="3"/>
    </w:lvl>
    <w:lvl w:ilvl="1">
      <w:lvlJc w:val="left"/>
      <w:lvlText w:val="(%2)"/>
      <w:numFmt w:val="lowerLetter"/>
      <w:start w:val="9"/>
    </w:lvl>
  </w:abstractNum>
  <w:abstractNum w:abstractNumId="90">
    <w:nsid w:val="49DA307D"/>
    <w:multiLevelType w:val="hybridMultilevel"/>
    <w:lvl w:ilvl="0">
      <w:lvlJc w:val="left"/>
      <w:lvlText w:val="(%1)"/>
      <w:numFmt w:val="lowerRoman"/>
      <w:start w:val="2"/>
    </w:lvl>
  </w:abstractNum>
  <w:abstractNum w:abstractNumId="91">
    <w:nsid w:val="7055A5F5"/>
    <w:multiLevelType w:val="hybridMultilevel"/>
    <w:lvl w:ilvl="0">
      <w:lvlJc w:val="left"/>
      <w:lvlText w:val="%1."/>
      <w:numFmt w:val="decimal"/>
      <w:start w:val="6"/>
    </w:lvl>
    <w:lvl w:ilvl="1">
      <w:lvlJc w:val="left"/>
      <w:lvlText w:val="(%2)"/>
      <w:numFmt w:val="lowerLetter"/>
      <w:start w:val="1"/>
    </w:lvl>
  </w:abstractNum>
  <w:abstractNum w:abstractNumId="92">
    <w:nsid w:val="5FB8370B"/>
    <w:multiLevelType w:val="hybridMultilevel"/>
    <w:lvl w:ilvl="0">
      <w:lvlJc w:val="left"/>
      <w:lvlText w:val="%1."/>
      <w:numFmt w:val="decimal"/>
      <w:start w:val="7"/>
    </w:lvl>
    <w:lvl w:ilvl="1">
      <w:lvlJc w:val="left"/>
      <w:lvlText w:val="(%2)"/>
      <w:numFmt w:val="lowerLetter"/>
      <w:start w:val="1"/>
    </w:lvl>
  </w:abstractNum>
  <w:abstractNum w:abstractNumId="93">
    <w:nsid w:val="50801EE1"/>
    <w:multiLevelType w:val="hybridMultilevel"/>
    <w:lvl w:ilvl="0">
      <w:lvlJc w:val="left"/>
      <w:lvlText w:val="%1"/>
      <w:numFmt w:val="decimal"/>
      <w:start w:val="1"/>
    </w:lvl>
    <w:lvl w:ilvl="1">
      <w:lvlJc w:val="left"/>
      <w:lvlText w:val="(%2)"/>
      <w:numFmt w:val="lowerLetter"/>
      <w:start w:val="5"/>
    </w:lvl>
  </w:abstractNum>
  <w:abstractNum w:abstractNumId="94">
    <w:nsid w:val="488AC1A"/>
    <w:multiLevelType w:val="hybridMultilevel"/>
    <w:lvl w:ilvl="0">
      <w:lvlJc w:val="left"/>
      <w:lvlText w:val="%1."/>
      <w:numFmt w:val="decimal"/>
      <w:start w:val="8"/>
    </w:lvl>
    <w:lvl w:ilvl="1">
      <w:lvlJc w:val="left"/>
      <w:lvlText w:val="%2"/>
      <w:numFmt w:val="lowerLetter"/>
      <w:start w:val="1"/>
    </w:lvl>
  </w:abstractNum>
  <w:abstractNum w:abstractNumId="95">
    <w:nsid w:val="5FB8011C"/>
    <w:multiLevelType w:val="hybridMultilevel"/>
    <w:lvl w:ilvl="0">
      <w:lvlJc w:val="left"/>
      <w:lvlText w:val="%1."/>
      <w:numFmt w:val="decimal"/>
      <w:start w:val="14"/>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172" Type="http://schemas.openxmlformats.org/officeDocument/2006/relationships/hyperlink" Target="http://www.sec.gov/Archives/edgar/data/1681087/000119312518202460/d153924dex31.htm" TargetMode="External"/><Relationship Id="rId173" Type="http://schemas.openxmlformats.org/officeDocument/2006/relationships/hyperlink" Target="http://www.sec.gov/Archives/edgar/data/1681087/000119312518202460/d153924dex32.htm" TargetMode="External"/><Relationship Id="rId174" Type="http://schemas.openxmlformats.org/officeDocument/2006/relationships/hyperlink" Target="http://www.sec.gov/Archives/edgar/data/1681087/000119312518188630/d562006dex41.htm" TargetMode="External"/><Relationship Id="rId175" Type="http://schemas.openxmlformats.org/officeDocument/2006/relationships/hyperlink" Target="http://www.sec.gov/Archives/edgar/data/1681087/000119312518175024/d562006dex42.htm" TargetMode="External"/><Relationship Id="rId176" Type="http://schemas.openxmlformats.org/officeDocument/2006/relationships/hyperlink" Target="http://www.sec.gov/Archives/edgar/data/1681087/000119312518175024/d562006dex101.htm" TargetMode="External"/><Relationship Id="rId177" Type="http://schemas.openxmlformats.org/officeDocument/2006/relationships/hyperlink" Target="http://www.sec.gov/Archives/edgar/data/1681087/000119312518188630/d562006dex102.htm" TargetMode="External"/><Relationship Id="rId178" Type="http://schemas.openxmlformats.org/officeDocument/2006/relationships/hyperlink" Target="http://www.sec.gov/Archives/edgar/data/1681087/000119312518188630/d562006dex103.htm" TargetMode="External"/><Relationship Id="rId179" Type="http://schemas.openxmlformats.org/officeDocument/2006/relationships/hyperlink" Target="http://www.sec.gov/Archives/edgar/data/1681087/000119312518188630/d562006dex104.htm" TargetMode="External"/><Relationship Id="rId180" Type="http://schemas.openxmlformats.org/officeDocument/2006/relationships/hyperlink" Target="http://www.sec.gov/Archives/edgar/data/1681087/000119312518181102/d562006dex105.htm" TargetMode="External"/><Relationship Id="rId181" Type="http://schemas.openxmlformats.org/officeDocument/2006/relationships/hyperlink" Target="http://www.sec.gov/Archives/edgar/data/1681087/000119312518188630/d562006dex106.htm" TargetMode="External"/><Relationship Id="rId182" Type="http://schemas.openxmlformats.org/officeDocument/2006/relationships/hyperlink" Target="http://www.sec.gov/Archives/edgar/data/1681087/000119312518175024/d562006dex107.htm" TargetMode="External"/><Relationship Id="rId183" Type="http://schemas.openxmlformats.org/officeDocument/2006/relationships/hyperlink" Target="http://www.sec.gov/Archives/edgar/data/1681087/000119312518175024/d562006dex108.htm" TargetMode="External"/><Relationship Id="rId184" Type="http://schemas.openxmlformats.org/officeDocument/2006/relationships/hyperlink" Target="http://www.sec.gov/Archives/edgar/data/1681087/000119312518188630/d562006dex109.htm" TargetMode="External"/><Relationship Id="rId185" Type="http://schemas.openxmlformats.org/officeDocument/2006/relationships/hyperlink" Target="http://www.sec.gov/Archives/edgar/data/1681087/000119312518356370/d676576dex101.htm" TargetMode="External"/><Relationship Id="rId188" Type="http://schemas.openxmlformats.org/officeDocument/2006/relationships/hyperlink" Target="http://www.sec.gov/Archives/edgar/data/1681087/000119312519085321/d677215dex1013.htm" TargetMode="External"/><Relationship Id="rId189" Type="http://schemas.openxmlformats.org/officeDocument/2006/relationships/hyperlink" Target="http://www.sec.gov/Archives/edgar/data/1681087/000119312519085321/d677215dex1014.htm" TargetMode="External"/><Relationship Id="rId190" Type="http://schemas.openxmlformats.org/officeDocument/2006/relationships/hyperlink" Target="http://www.sec.gov/Archives/edgar/data/1681087/000119312519085321/d677215dex1015.htm" TargetMode="External"/><Relationship Id="rId191" Type="http://schemas.openxmlformats.org/officeDocument/2006/relationships/hyperlink" Target="http://www.sec.gov/Archives/edgar/data/1681087/000119312518188630/d562006dex1014.htm" TargetMode="External"/><Relationship Id="rId192" Type="http://schemas.openxmlformats.org/officeDocument/2006/relationships/hyperlink" Target="http://www.sec.gov/Archives/edgar/data/1681087/000119312518175024/d562006dex1012.htm" TargetMode="External"/><Relationship Id="rId193" Type="http://schemas.openxmlformats.org/officeDocument/2006/relationships/hyperlink" Target="http://www.sec.gov/Archives/edgar/data/1681087/000119312519320938/d842233dex991.htm" TargetMode="External"/><Relationship Id="rId194" Type="http://schemas.openxmlformats.org/officeDocument/2006/relationships/hyperlink" Target="http://www.sec.gov/Archives/edgar/data/1681087/000119312519085335/d72421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2020-03-16T15:05:45Z</dcterms:created>
  <dcterms:modified xsi:type="dcterms:W3CDTF">2020-03-16T15:05:45Z</dcterms:modified>
</cp:coreProperties>
</file>