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3228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2280" cy="403225"/>
                    </a:xfrm>
                    <a:prstGeom prst="rect">
                      <a:avLst/>
                    </a:prstGeom>
                    <a:noFill/>
                  </pic:spPr>
                </pic:pic>
              </a:graphicData>
            </a:graphic>
          </wp:anchor>
        </w:drawing>
      </w:r>
    </w:p>
    <w:p>
      <w:pPr>
        <w:spacing w:after="0" w:line="3"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100 Northern Avenue</w:t>
      </w:r>
    </w:p>
    <w:p>
      <w:pPr>
        <w:spacing w:after="0" w:line="9"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Boston, MA 02210</w:t>
      </w:r>
    </w:p>
    <w:p>
      <w:pPr>
        <w:spacing w:after="0" w:line="238"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goodwinlaw.com</w:t>
      </w:r>
    </w:p>
    <w:p>
      <w:pPr>
        <w:spacing w:after="0" w:line="23" w:lineRule="exact"/>
        <w:rPr>
          <w:sz w:val="24"/>
          <w:szCs w:val="24"/>
          <w:color w:val="auto"/>
        </w:rPr>
      </w:pPr>
    </w:p>
    <w:p>
      <w:pPr>
        <w:ind w:left="9600"/>
        <w:spacing w:after="0"/>
        <w:rPr>
          <w:sz w:val="20"/>
          <w:szCs w:val="20"/>
          <w:color w:val="auto"/>
        </w:rPr>
      </w:pPr>
      <w:r>
        <w:rPr>
          <w:rFonts w:ascii="Arial" w:cs="Arial" w:eastAsia="Arial" w:hAnsi="Arial"/>
          <w:sz w:val="18"/>
          <w:szCs w:val="18"/>
          <w:color w:val="auto"/>
        </w:rPr>
        <w:t>+1 617 570 1000</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25, 2018</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Dorrie Yale</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Submitted May 11, 2018</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CIK No. 0001681087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Yale:</w:t>
      </w:r>
    </w:p>
    <w:p>
      <w:pPr>
        <w:spacing w:after="0" w:line="113" w:lineRule="exact"/>
        <w:rPr>
          <w:sz w:val="24"/>
          <w:szCs w:val="24"/>
          <w:color w:val="auto"/>
        </w:rPr>
      </w:pPr>
    </w:p>
    <w:p>
      <w:pPr>
        <w:ind w:right="80" w:firstLine="456"/>
        <w:spacing w:after="0" w:line="277" w:lineRule="auto"/>
        <w:rPr>
          <w:sz w:val="20"/>
          <w:szCs w:val="20"/>
          <w:color w:val="auto"/>
        </w:rPr>
      </w:pPr>
      <w:r>
        <w:rPr>
          <w:rFonts w:ascii="Arial" w:cs="Arial" w:eastAsia="Arial" w:hAnsi="Arial"/>
          <w:sz w:val="17"/>
          <w:szCs w:val="17"/>
          <w:color w:val="auto"/>
        </w:rPr>
        <w:t>This letter is submitted on behalf of AVROBIO, Inc. (the “</w:t>
      </w:r>
      <w:r>
        <w:rPr>
          <w:rFonts w:ascii="Arial" w:cs="Arial" w:eastAsia="Arial" w:hAnsi="Arial"/>
          <w:sz w:val="17"/>
          <w:szCs w:val="17"/>
          <w:b w:val="1"/>
          <w:bCs w:val="1"/>
          <w:color w:val="auto"/>
        </w:rPr>
        <w:t>Company</w:t>
      </w:r>
      <w:r>
        <w:rPr>
          <w:rFonts w:ascii="Arial" w:cs="Arial" w:eastAsia="Arial" w:hAnsi="Arial"/>
          <w:sz w:val="17"/>
          <w:szCs w:val="17"/>
          <w:color w:val="auto"/>
        </w:rPr>
        <w:t>”) in response to the comments of the staff of the Division of Corporation Finance (the “</w:t>
      </w:r>
      <w:r>
        <w:rPr>
          <w:rFonts w:ascii="Arial" w:cs="Arial" w:eastAsia="Arial" w:hAnsi="Arial"/>
          <w:sz w:val="17"/>
          <w:szCs w:val="17"/>
          <w:b w:val="1"/>
          <w:bCs w:val="1"/>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with respect to Amendment No. 1 to the Draft Registration Statement on Form S-1 confidentially submitted on May 11, 2018 (“</w:t>
      </w:r>
      <w:r>
        <w:rPr>
          <w:rFonts w:ascii="Arial" w:cs="Arial" w:eastAsia="Arial" w:hAnsi="Arial"/>
          <w:sz w:val="17"/>
          <w:szCs w:val="17"/>
          <w:b w:val="1"/>
          <w:bCs w:val="1"/>
          <w:color w:val="auto"/>
        </w:rPr>
        <w:t>Amendment No. 1</w:t>
      </w:r>
      <w:r>
        <w:rPr>
          <w:rFonts w:ascii="Arial" w:cs="Arial" w:eastAsia="Arial" w:hAnsi="Arial"/>
          <w:sz w:val="17"/>
          <w:szCs w:val="17"/>
          <w:color w:val="auto"/>
        </w:rPr>
        <w:t>”), as set forth in your letter dated May 23, 2018 addressed to Geoffrey MacKay, President and Chief Executive Officer of the Company (the “</w:t>
      </w:r>
      <w:r>
        <w:rPr>
          <w:rFonts w:ascii="Arial" w:cs="Arial" w:eastAsia="Arial" w:hAnsi="Arial"/>
          <w:sz w:val="17"/>
          <w:szCs w:val="17"/>
          <w:b w:val="1"/>
          <w:bCs w:val="1"/>
          <w:color w:val="auto"/>
        </w:rPr>
        <w:t>Comment Letter</w:t>
      </w:r>
      <w:r>
        <w:rPr>
          <w:rFonts w:ascii="Arial" w:cs="Arial" w:eastAsia="Arial" w:hAnsi="Arial"/>
          <w:sz w:val="17"/>
          <w:szCs w:val="17"/>
          <w:color w:val="auto"/>
        </w:rPr>
        <w:t>”). The Company is concurrently publicly filing its Registration Statement on Form S-1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includes changes to reflect responses to the Staff’s comments.</w:t>
      </w:r>
    </w:p>
    <w:p>
      <w:pPr>
        <w:spacing w:after="0" w:line="172" w:lineRule="exact"/>
        <w:rPr>
          <w:sz w:val="24"/>
          <w:szCs w:val="24"/>
          <w:color w:val="auto"/>
        </w:rPr>
      </w:pPr>
    </w:p>
    <w:p>
      <w:pPr>
        <w:ind w:right="140" w:firstLine="456"/>
        <w:spacing w:after="0" w:line="279" w:lineRule="auto"/>
        <w:rPr>
          <w:sz w:val="20"/>
          <w:szCs w:val="20"/>
          <w:color w:val="auto"/>
        </w:rPr>
      </w:pPr>
      <w:r>
        <w:rPr>
          <w:rFonts w:ascii="Arial" w:cs="Arial" w:eastAsia="Arial" w:hAnsi="Arial"/>
          <w:sz w:val="17"/>
          <w:szCs w:val="17"/>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refer to Amendment No. 1, and page references in the responses refer to the Registration Statement. All capitalized terms used and not otherwise defined herein shall have the meanings set forth in the Registration Statement.</w:t>
      </w:r>
    </w:p>
    <w:p>
      <w:pPr>
        <w:spacing w:after="0" w:line="171" w:lineRule="exact"/>
        <w:rPr>
          <w:sz w:val="24"/>
          <w:szCs w:val="24"/>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The responses provided herein are based upon information provided to Goodwin Procter LLP by the Company. In addition to submitting this letter via EDGAR, we are sending via Federal Express four (4) copies of each of this letter and Amendment No. 1 (marked to show changes from Amendment No. 1).</w:t>
      </w:r>
    </w:p>
    <w:p>
      <w:pPr>
        <w:spacing w:after="0" w:line="124" w:lineRule="exact"/>
        <w:rPr>
          <w:sz w:val="24"/>
          <w:szCs w:val="24"/>
          <w:color w:val="auto"/>
        </w:rPr>
      </w:pPr>
    </w:p>
    <w:p>
      <w:pPr>
        <w:ind w:right="4760"/>
        <w:spacing w:after="0" w:line="375" w:lineRule="auto"/>
        <w:rPr>
          <w:sz w:val="20"/>
          <w:szCs w:val="20"/>
          <w:color w:val="auto"/>
        </w:rPr>
      </w:pPr>
      <w:r>
        <w:rPr>
          <w:rFonts w:ascii="Arial" w:cs="Arial" w:eastAsia="Arial" w:hAnsi="Arial"/>
          <w:sz w:val="18"/>
          <w:szCs w:val="18"/>
          <w:u w:val="single" w:color="auto"/>
          <w:color w:val="auto"/>
        </w:rPr>
        <w:t>Amendment No. 1 to Draft Registration Statement on Form S-1 Submitted on May 11, 2018 Prospectus Summary, page 1</w:t>
      </w:r>
    </w:p>
    <w:p>
      <w:pPr>
        <w:spacing w:after="0" w:line="1"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COMMENT NO. 1: We acknowledge your revised disclosures in response to prior comment 1. However, please further revise your disclosure to remove the statement that lasting benefits have been observed in ongoing clinical trials of third parties. If you wish to keep the statement in the Business section, please expand your disclosure to specifically discuss results from those third party trials.</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RESPONSE: The Company respectfully advises the Staff that it has revised its disclosures on pages 1, 87 and 91 in response to the Staff’s comment.</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87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COMMENT NO. 2: Please expand your revised disclosure in the second paragraph of this section to explain the term “clinically 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RESPONSE: The Company respectfully advises the Staff that it has revised its disclosures on page 87 in response to the Staff’s comment.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concerning the enclosed matters, please contact the undersigned at (617) 570-1483.</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Xu</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Xu,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Goodwin Procter LLP</w:t>
      </w:r>
    </w:p>
    <w:p>
      <w:pPr>
        <w:spacing w:after="0" w:line="373" w:lineRule="exact"/>
        <w:rPr>
          <w:sz w:val="20"/>
          <w:szCs w:val="20"/>
          <w:color w:val="auto"/>
        </w:rPr>
      </w:pPr>
    </w:p>
    <w:p>
      <w:pPr>
        <w:jc w:val="both"/>
        <w:ind w:left="460" w:right="7520" w:hanging="452"/>
        <w:spacing w:after="0" w:line="291"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Geoff MacKay,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Katina Dorton, </w:t>
      </w:r>
      <w:r>
        <w:rPr>
          <w:rFonts w:ascii="Arial" w:cs="Arial" w:eastAsia="Arial" w:hAnsi="Arial"/>
          <w:sz w:val="16"/>
          <w:szCs w:val="16"/>
          <w:i w:val="1"/>
          <w:iCs w:val="1"/>
          <w:color w:val="auto"/>
        </w:rPr>
        <w:t>AVROBIO, Inc.</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sectPr>
      <w:pgSz w:w="11900" w:h="16838" w:orient="portrait"/>
      <w:cols w:equalWidth="0" w:num="1">
        <w:col w:w="10240"/>
      </w:cols>
      <w:pgMar w:left="240" w:top="27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2019-12-08T15:58:36Z</dcterms:created>
  <dcterms:modified xsi:type="dcterms:W3CDTF">2019-12-08T15:58:36Z</dcterms:modified>
</cp:coreProperties>
</file>