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2022</w:t>
      </w:r>
    </w:p>
    <w:p>
      <w:pPr>
        <w:spacing w:after="0" w:line="1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200" w:right="499" w:bottom="1440" w:gutter="0" w:footer="0" w:header="0"/>
        </w:sectPr>
      </w:pPr>
    </w:p>
    <w:p>
      <w:pPr>
        <w:spacing w:after="0" w:line="20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640" w:space="720"/>
            <w:col w:w="2900" w:space="720"/>
            <w:col w:w="2100"/>
          </w:cols>
          <w:pgMar w:left="320" w:top="200" w:right="499" w:bottom="1440" w:gutter="0" w:footer="0" w:header="0"/>
          <w:type w:val="continuous"/>
        </w:sect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780" w:space="720"/>
            <w:col w:w="2240"/>
          </w:cols>
          <w:pgMar w:left="320" w:top="200" w:right="499" w:bottom="1440" w:gutter="0" w:footer="0" w:header="0"/>
          <w:type w:val="continuous"/>
        </w:sectPr>
      </w:pP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080"/>
          </w:cols>
          <w:pgMar w:left="320" w:top="200" w:right="499" w:bottom="1440" w:gutter="0" w:footer="0" w:header="0"/>
          <w:type w:val="continuous"/>
        </w:sectPr>
      </w:pPr>
    </w:p>
    <w:p>
      <w:pPr>
        <w:spacing w:after="0" w:line="19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23"/>
        </w:trPr>
        <w:tc>
          <w:tcPr>
            <w:tcW w:w="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720" w:type="dxa"/>
            <w:vAlign w:val="bottom"/>
          </w:tcPr>
          <w:p>
            <w:pPr>
              <w:spacing w:after="0"/>
              <w:rPr>
                <w:sz w:val="21"/>
                <w:szCs w:val="21"/>
                <w:color w:val="auto"/>
              </w:rPr>
            </w:pPr>
          </w:p>
        </w:tc>
        <w:tc>
          <w:tcPr>
            <w:tcW w:w="4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7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4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AVRO</w:t>
            </w:r>
          </w:p>
        </w:tc>
        <w:tc>
          <w:tcPr>
            <w:tcW w:w="140" w:type="dxa"/>
            <w:vAlign w:val="bottom"/>
          </w:tcPr>
          <w:p>
            <w:pPr>
              <w:spacing w:after="0"/>
              <w:rPr>
                <w:sz w:val="20"/>
                <w:szCs w:val="20"/>
                <w:color w:val="auto"/>
              </w:rPr>
            </w:pPr>
          </w:p>
        </w:tc>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8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0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firstLine="546"/>
        <w:spacing w:after="0" w:line="282" w:lineRule="auto"/>
        <w:rPr>
          <w:sz w:val="20"/>
          <w:szCs w:val="20"/>
          <w:color w:val="auto"/>
        </w:rPr>
      </w:pPr>
      <w:r>
        <w:rPr>
          <w:rFonts w:ascii="Times New Roman" w:cs="Times New Roman" w:eastAsia="Times New Roman" w:hAnsi="Times New Roman"/>
          <w:sz w:val="18"/>
          <w:szCs w:val="18"/>
          <w:color w:val="auto"/>
        </w:rPr>
        <w:t>On June 8, 2022, AVROBIO, Inc. (the “Company”) held its previously announced 2022 Annual Meeting of Stockholders (the “Meeting”), at which a quorum was present. The proposals voted on at the Meeting and the final voting results for each proposal are as follows:</w:t>
      </w:r>
    </w:p>
    <w:p>
      <w:pPr>
        <w:spacing w:after="0" w:line="54" w:lineRule="exact"/>
        <w:rPr>
          <w:sz w:val="20"/>
          <w:szCs w:val="20"/>
          <w:color w:val="auto"/>
        </w:rPr>
      </w:pPr>
    </w:p>
    <w:p>
      <w:pPr>
        <w:ind w:right="480" w:firstLine="554"/>
        <w:spacing w:after="0" w:line="282" w:lineRule="auto"/>
        <w:tabs>
          <w:tab w:leader="none" w:pos="7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the three director nominees listed below to serve as Class I directors until the Company’s 2025 annual meeting of stockholders, with the votes cast as follows: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23"/>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Farfel, Ph.D.</w:t>
            </w:r>
          </w:p>
        </w:tc>
        <w:tc>
          <w:tcPr>
            <w:tcW w:w="3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20,123,180</w:t>
            </w:r>
          </w:p>
        </w:tc>
        <w:tc>
          <w:tcPr>
            <w:tcW w:w="6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6,314,307</w:t>
            </w:r>
          </w:p>
        </w:tc>
        <w:tc>
          <w:tcPr>
            <w:tcW w:w="5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7,438,917</w:t>
            </w:r>
          </w:p>
        </w:tc>
        <w:tc>
          <w:tcPr>
            <w:tcW w:w="220" w:type="dxa"/>
            <w:vAlign w:val="bottom"/>
            <w:tcBorders>
              <w:top w:val="single" w:sz="8" w:color="CCEEFF"/>
            </w:tcBorders>
            <w:shd w:val="clear" w:color="auto" w:fill="CCEEFF"/>
          </w:tcPr>
          <w:p>
            <w:pPr>
              <w:spacing w:after="0"/>
              <w:rPr>
                <w:sz w:val="19"/>
                <w:szCs w:val="19"/>
                <w:color w:val="auto"/>
              </w:rPr>
            </w:pPr>
          </w:p>
        </w:tc>
      </w:tr>
      <w:tr>
        <w:trPr>
          <w:trHeight w:val="229"/>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Paige, Ph.D.</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20,383,092</w:t>
            </w:r>
          </w:p>
        </w:tc>
        <w:tc>
          <w:tcPr>
            <w:tcW w:w="60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6,054,395</w:t>
            </w:r>
          </w:p>
        </w:tc>
        <w:tc>
          <w:tcPr>
            <w:tcW w:w="58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7,438,917</w:t>
            </w:r>
          </w:p>
        </w:tc>
        <w:tc>
          <w:tcPr>
            <w:tcW w:w="220" w:type="dxa"/>
            <w:vAlign w:val="bottom"/>
          </w:tcPr>
          <w:p>
            <w:pPr>
              <w:spacing w:after="0"/>
              <w:rPr>
                <w:sz w:val="19"/>
                <w:szCs w:val="19"/>
                <w:color w:val="auto"/>
              </w:rPr>
            </w:pPr>
          </w:p>
        </w:tc>
      </w:tr>
      <w:tr>
        <w:trPr>
          <w:trHeight w:val="230"/>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Vickers, Ph.D.</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20,717,963</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5,719,524</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7,438,917</w:t>
            </w:r>
          </w:p>
        </w:tc>
        <w:tc>
          <w:tcPr>
            <w:tcW w:w="22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ind w:firstLine="554"/>
        <w:spacing w:after="0" w:line="282" w:lineRule="auto"/>
        <w:tabs>
          <w:tab w:leader="none" w:pos="7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2022, with the votes cast as follows:</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0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Against</w:t>
            </w:r>
          </w:p>
        </w:tc>
        <w:tc>
          <w:tcPr>
            <w:tcW w:w="20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200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33,776,363</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57,906</w:t>
            </w:r>
          </w:p>
        </w:tc>
        <w:tc>
          <w:tcPr>
            <w:tcW w:w="80" w:type="dxa"/>
            <w:vAlign w:val="bottom"/>
          </w:tcPr>
          <w:p>
            <w:pPr>
              <w:spacing w:after="0"/>
              <w:rPr>
                <w:sz w:val="19"/>
                <w:szCs w:val="19"/>
                <w:color w:val="auto"/>
              </w:rPr>
            </w:pPr>
          </w:p>
        </w:tc>
        <w:tc>
          <w:tcPr>
            <w:tcW w:w="196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42,135</w:t>
            </w:r>
          </w:p>
        </w:tc>
        <w:tc>
          <w:tcPr>
            <w:tcW w:w="8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9" w:lineRule="exact"/>
        <w:rPr>
          <w:sz w:val="20"/>
          <w:szCs w:val="20"/>
          <w:color w:val="auto"/>
        </w:rPr>
      </w:pPr>
    </w:p>
    <w:p>
      <w:pPr>
        <w:ind w:left="740" w:hanging="186"/>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an amendment to the AVROBIO, Inc. 2018 Stock Option and Incentive Plan, with the votes cast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1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08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19,689,955</w:t>
            </w: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6,688,108</w:t>
            </w:r>
          </w:p>
        </w:tc>
        <w:tc>
          <w:tcPr>
            <w:tcW w:w="80" w:type="dxa"/>
            <w:vAlign w:val="bottom"/>
          </w:tcPr>
          <w:p>
            <w:pPr>
              <w:spacing w:after="0"/>
              <w:rPr>
                <w:sz w:val="19"/>
                <w:szCs w:val="19"/>
                <w:color w:val="auto"/>
              </w:rPr>
            </w:pPr>
          </w:p>
        </w:tc>
        <w:tc>
          <w:tcPr>
            <w:tcW w:w="17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59,424</w:t>
            </w:r>
          </w:p>
        </w:tc>
        <w:tc>
          <w:tcPr>
            <w:tcW w:w="80" w:type="dxa"/>
            <w:vAlign w:val="bottom"/>
          </w:tcPr>
          <w:p>
            <w:pPr>
              <w:spacing w:after="0"/>
              <w:rPr>
                <w:sz w:val="19"/>
                <w:szCs w:val="19"/>
                <w:color w:val="auto"/>
              </w:rPr>
            </w:pPr>
          </w:p>
        </w:tc>
        <w:tc>
          <w:tcPr>
            <w:tcW w:w="21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7,438,917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9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Second Amendment to the AVROBIO, Inc. 2018 Stock Option and Incentive Plan</w:t>
            </w: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300" w:type="dxa"/>
            <w:vAlign w:val="bottom"/>
          </w:tcPr>
          <w:p>
            <w:pPr>
              <w:spacing w:after="0"/>
              <w:rPr>
                <w:sz w:val="21"/>
                <w:szCs w:val="21"/>
                <w:color w:val="auto"/>
              </w:rPr>
            </w:pPr>
          </w:p>
        </w:tc>
      </w:tr>
      <w:tr>
        <w:trPr>
          <w:trHeight w:val="574"/>
        </w:trPr>
        <w:tc>
          <w:tcPr>
            <w:tcW w:w="104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4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AVROBIO, INC.</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2022</w:t>
            </w:r>
          </w:p>
        </w:tc>
        <w:tc>
          <w:tcPr>
            <w:tcW w:w="27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Geoff MacKay</w:t>
            </w:r>
          </w:p>
        </w:tc>
      </w:tr>
      <w:tr>
        <w:trPr>
          <w:trHeight w:val="211"/>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Geoff MacKay</w:t>
            </w:r>
          </w:p>
        </w:tc>
      </w:tr>
      <w:tr>
        <w:trPr>
          <w:trHeight w:val="234"/>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34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THE AVROBIO,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OPTION AND INCENTIVE PLAN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Second Amendment (this “Amendment”) to the AVROBIO, Inc. 2018 Stock Option and Incentive Plan (the “Plan”), of AVROBIO, Inc. (the “Company”) is effective as of the date of approval by the Company’s stockholders (the “Effective Date”). Capitalized terms used herein and not otherwise defined shall have the meanings ascribed to such terms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Effective Date, the Plan shall be amended as follows:</w:t>
      </w:r>
    </w:p>
    <w:p>
      <w:pPr>
        <w:spacing w:after="0" w:line="117" w:lineRule="exact"/>
        <w:rPr>
          <w:sz w:val="20"/>
          <w:szCs w:val="20"/>
          <w:color w:val="auto"/>
        </w:rPr>
      </w:pPr>
    </w:p>
    <w:p>
      <w:pPr>
        <w:ind w:left="800" w:hanging="792"/>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3(a) of the Plan is hereby deleted in its entirety and replaced with the following:</w:t>
      </w:r>
    </w:p>
    <w:p>
      <w:pPr>
        <w:spacing w:after="0" w:line="225" w:lineRule="exact"/>
        <w:rPr>
          <w:sz w:val="20"/>
          <w:szCs w:val="20"/>
          <w:color w:val="auto"/>
        </w:rPr>
      </w:pPr>
    </w:p>
    <w:p>
      <w:pPr>
        <w:ind w:left="600" w:right="60" w:firstLine="557"/>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13,486,099 shares, subject to adjustment as provided in Section 3(c). For purposes of this limitation, the shares of Stock underlying any Awards under the Plan and under the Company’s Amended and Restated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(including, for the avoidance of doubt, any such shares of Stock that are subject to such treatment between March 2, 2022 and the Effective Date)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the maximum aggregate number of shares of Stock that may be issued in the form of Incentive Stock Options shall not exceed 40,458,297, subject in all cases to adjustment as provided in Section 3(c).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90"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3(e) of the Plan is hereby inserted as follows:</w:t>
      </w:r>
    </w:p>
    <w:p>
      <w:pPr>
        <w:spacing w:after="0" w:line="212"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Vesting.   Subject to Sections 2(b)(v) and 3(d), any Awards that settle in Stock (other than such Awards representing a</w:t>
            </w:r>
          </w:p>
        </w:tc>
      </w:tr>
      <w:tr>
        <w:trPr>
          <w:trHeight w:val="20"/>
        </w:trPr>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18"/>
        </w:trPr>
        <w:tc>
          <w:tcPr>
            <w:tcW w:w="54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maximum of five percent (5%) of the Stock reserved for issuance under this Plan, subject to adjustment as provided in Section 3(c))</w:t>
            </w:r>
          </w:p>
        </w:tc>
      </w:tr>
      <w:tr>
        <w:trPr>
          <w:trHeight w:val="216"/>
        </w:trPr>
        <w:tc>
          <w:tcPr>
            <w:tcW w:w="54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shall be granted subject to a minimum time-vesting period of at least twelve (12) months, such that no such Awards shall vest prior</w:t>
            </w:r>
          </w:p>
        </w:tc>
      </w:tr>
      <w:tr>
        <w:trPr>
          <w:trHeight w:val="234"/>
        </w:trPr>
        <w:tc>
          <w:tcPr>
            <w:tcW w:w="54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the first anniversary of the applicable grant date.</w:t>
            </w:r>
          </w:p>
        </w:tc>
      </w:tr>
    </w:tbl>
    <w:p>
      <w:pPr>
        <w:spacing w:after="0" w:line="198"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sentence of Section 19 of the Plan is hereby deleted in its entirety and replaced with the following:</w:t>
      </w:r>
    </w:p>
    <w:p>
      <w:pPr>
        <w:spacing w:after="0" w:line="225" w:lineRule="exact"/>
        <w:rPr>
          <w:sz w:val="20"/>
          <w:szCs w:val="20"/>
          <w:color w:val="auto"/>
        </w:rPr>
      </w:pPr>
    </w:p>
    <w:p>
      <w:pPr>
        <w:ind w:left="1180" w:right="60"/>
        <w:spacing w:after="0" w:line="266" w:lineRule="auto"/>
        <w:rPr>
          <w:sz w:val="20"/>
          <w:szCs w:val="20"/>
          <w:color w:val="auto"/>
        </w:rPr>
      </w:pPr>
      <w:r>
        <w:rPr>
          <w:rFonts w:ascii="Times New Roman" w:cs="Times New Roman" w:eastAsia="Times New Roman" w:hAnsi="Times New Roman"/>
          <w:sz w:val="18"/>
          <w:szCs w:val="18"/>
          <w:color w:val="auto"/>
        </w:rPr>
        <w:t>No grants of Stock Options and other Awards may be made hereunder after the tenth anniversary of the Effective Date or the effective date of stockholder approval of any amendment to add shares to the Plan, and no grants of Incentive Stock Options may be made hereunder after the tenth anniversary of the date the Plan (or most recent amendment to add shares to the Plan) is approved by the Board.</w:t>
      </w:r>
    </w:p>
    <w:p>
      <w:pPr>
        <w:spacing w:after="0" w:line="176" w:lineRule="exact"/>
        <w:rPr>
          <w:sz w:val="20"/>
          <w:szCs w:val="20"/>
          <w:color w:val="auto"/>
        </w:rPr>
      </w:pPr>
    </w:p>
    <w:p>
      <w:pPr>
        <w:jc w:val="center"/>
        <w:ind w:left="4700" w:right="780" w:hanging="4692"/>
        <w:spacing w:after="0" w:line="53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Amendment, the Plan shall continue in full force and effect in accordance with the provisions thereof.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748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Amendment to be duly executed as of March 2, 2022.</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Geoff MacKay</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and President</w:t>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2022-06-10T15:39:49Z</dcterms:created>
  <dcterms:modified xsi:type="dcterms:W3CDTF">2022-06-10T15:39:49Z</dcterms:modified>
</cp:coreProperties>
</file>