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0</wp:posOffset>
            </wp:positionV>
            <wp:extent cx="1405255" cy="417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255" cy="417195"/>
                    </a:xfrm>
                    <a:prstGeom prst="rect">
                      <a:avLst/>
                    </a:prstGeom>
                    <a:noFill/>
                  </pic:spPr>
                </pic:pic>
              </a:graphicData>
            </a:graphic>
          </wp:anchor>
        </w:drawing>
        <w:t>UNITED STATES</w:t>
      </w:r>
    </w:p>
    <w:p>
      <w:pPr>
        <w:spacing w:after="0" w:line="8"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Washington, D.C. 20549</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SCHEDULE 13G</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4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(Name of Issuer)</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16510</wp:posOffset>
            </wp:positionV>
            <wp:extent cx="2138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8045" cy="8255"/>
                    </a:xfrm>
                    <a:prstGeom prst="rect">
                      <a:avLst/>
                    </a:prstGeom>
                    <a:noFill/>
                  </pic:spPr>
                </pic:pic>
              </a:graphicData>
            </a:graphic>
          </wp:anchor>
        </w:drawing>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2" w:lineRule="exact"/>
        <w:rPr>
          <w:sz w:val="24"/>
          <w:szCs w:val="24"/>
          <w:color w:val="auto"/>
        </w:rPr>
      </w:pPr>
    </w:p>
    <w:p>
      <w:pPr>
        <w:ind w:left="680" w:hanging="680"/>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2" w:lineRule="exact"/>
        <w:rPr>
          <w:sz w:val="24"/>
          <w:szCs w:val="24"/>
          <w:color w:val="auto"/>
        </w:rPr>
      </w:pPr>
    </w:p>
    <w:p>
      <w:pPr>
        <w:ind w:right="660" w:firstLine="644"/>
        <w:spacing w:after="0" w:line="319" w:lineRule="auto"/>
        <w:tabs>
          <w:tab w:leader="none" w:pos="82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3" w:lineRule="exact"/>
        <w:rPr>
          <w:sz w:val="24"/>
          <w:szCs w:val="24"/>
          <w:color w:val="auto"/>
        </w:rPr>
      </w:pPr>
    </w:p>
    <w:p>
      <w:pPr>
        <w:ind w:firstLine="644"/>
        <w:spacing w:after="0" w:line="261"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086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60" w:hanging="76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5420"/>
        <w:spacing w:after="0" w:line="568"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5" w:lineRule="exact"/>
        <w:rPr>
          <w:sz w:val="20"/>
          <w:szCs w:val="20"/>
          <w:color w:val="auto"/>
        </w:rPr>
      </w:pPr>
    </w:p>
    <w:p>
      <w:pPr>
        <w:ind w:left="760" w:hanging="76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98" w:lineRule="exact"/>
        <w:rPr>
          <w:rFonts w:ascii="Arial" w:cs="Arial" w:eastAsia="Arial" w:hAnsi="Arial"/>
          <w:sz w:val="16"/>
          <w:szCs w:val="16"/>
          <w:color w:val="auto"/>
        </w:rPr>
      </w:pPr>
    </w:p>
    <w:p>
      <w:pPr>
        <w:ind w:left="1240" w:hanging="475"/>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6860" w:hanging="760"/>
        <w:spacing w:after="0" w:line="52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0" w:right="1440" w:bottom="2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243,451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8300"/>
          </w:cols>
          <w:pgMar w:left="520" w:top="0" w:right="1440" w:bottom="248"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243,451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4740" w:hanging="760"/>
        <w:spacing w:after="0" w:line="52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243,451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3300" w:hanging="940"/>
        <w:spacing w:after="0" w:line="336" w:lineRule="auto"/>
        <w:tabs>
          <w:tab w:leader="none" w:pos="76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5660" w:hanging="760"/>
        <w:spacing w:after="0" w:line="52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1.02%</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6360" w:hanging="760"/>
        <w:spacing w:after="0" w:line="6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086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-878840</wp:posOffset>
            </wp:positionV>
            <wp:extent cx="708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-1773555</wp:posOffset>
            </wp:positionV>
            <wp:extent cx="7086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70866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248"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086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60" w:hanging="76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542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18" w:lineRule="exact"/>
        <w:rPr>
          <w:sz w:val="20"/>
          <w:szCs w:val="20"/>
          <w:color w:val="auto"/>
        </w:rPr>
      </w:pPr>
    </w:p>
    <w:p>
      <w:pPr>
        <w:ind w:left="760" w:hanging="76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98" w:lineRule="exact"/>
        <w:rPr>
          <w:rFonts w:ascii="Arial" w:cs="Arial" w:eastAsia="Arial" w:hAnsi="Arial"/>
          <w:sz w:val="16"/>
          <w:szCs w:val="16"/>
          <w:color w:val="auto"/>
        </w:rPr>
      </w:pPr>
    </w:p>
    <w:p>
      <w:pPr>
        <w:ind w:left="1240" w:hanging="475"/>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6860" w:hanging="760"/>
        <w:spacing w:after="0" w:line="52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0" w:right="14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243,451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8300"/>
          </w:cols>
          <w:pgMar w:left="520" w:top="0" w:right="1440" w:bottom="202"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243,451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4740" w:hanging="760"/>
        <w:spacing w:after="0" w:line="52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243,451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3300" w:hanging="940"/>
        <w:spacing w:after="0" w:line="336" w:lineRule="auto"/>
        <w:tabs>
          <w:tab w:leader="none" w:pos="7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5660" w:hanging="760"/>
        <w:spacing w:after="0" w:line="52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1.02%</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6360" w:hanging="760"/>
        <w:spacing w:after="0" w:line="759"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086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-908050</wp:posOffset>
            </wp:positionV>
            <wp:extent cx="7086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-1802765</wp:posOffset>
            </wp:positionV>
            <wp:extent cx="7086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0866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20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0060" w:type="dxa"/>
            <w:vAlign w:val="bottom"/>
          </w:tcPr>
          <w:p>
            <w:pPr>
              <w:ind w:left="240"/>
              <w:spacing w:after="0"/>
              <w:rPr>
                <w:sz w:val="20"/>
                <w:szCs w:val="20"/>
                <w:color w:val="auto"/>
              </w:rPr>
            </w:pPr>
            <w:r>
              <w:rPr>
                <w:rFonts w:ascii="Arial" w:cs="Arial" w:eastAsia="Arial" w:hAnsi="Arial"/>
                <w:sz w:val="18"/>
                <w:szCs w:val="18"/>
                <w:color w:val="auto"/>
              </w:rPr>
              <w:t>05455M100</w:t>
            </w:r>
          </w:p>
        </w:tc>
      </w:tr>
      <w:tr>
        <w:trPr>
          <w:trHeight w:val="200"/>
        </w:trPr>
        <w:tc>
          <w:tcPr>
            <w:tcW w:w="1100" w:type="dxa"/>
            <w:vAlign w:val="bottom"/>
            <w:tcBorders>
              <w:bottom w:val="single" w:sz="8" w:color="auto"/>
            </w:tcBorders>
          </w:tcPr>
          <w:p>
            <w:pPr>
              <w:spacing w:after="0"/>
              <w:rPr>
                <w:sz w:val="17"/>
                <w:szCs w:val="17"/>
                <w:color w:val="auto"/>
              </w:rPr>
            </w:pPr>
          </w:p>
        </w:tc>
        <w:tc>
          <w:tcPr>
            <w:tcW w:w="10060" w:type="dxa"/>
            <w:vAlign w:val="bottom"/>
            <w:tcBorders>
              <w:bottom w:val="single" w:sz="8" w:color="auto"/>
            </w:tcBorders>
          </w:tcPr>
          <w:p>
            <w:pPr>
              <w:spacing w:after="0"/>
              <w:rPr>
                <w:sz w:val="17"/>
                <w:szCs w:val="17"/>
                <w:color w:val="auto"/>
              </w:rPr>
            </w:pPr>
          </w:p>
        </w:tc>
      </w:tr>
    </w:tbl>
    <w:p>
      <w:pPr>
        <w:spacing w:after="0" w:line="254" w:lineRule="exact"/>
        <w:rPr>
          <w:sz w:val="20"/>
          <w:szCs w:val="20"/>
          <w:color w:val="auto"/>
        </w:rPr>
      </w:pPr>
    </w:p>
    <w:p>
      <w:pPr>
        <w:ind w:left="760" w:hanging="76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630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18" w:lineRule="exact"/>
        <w:rPr>
          <w:sz w:val="20"/>
          <w:szCs w:val="20"/>
          <w:color w:val="auto"/>
        </w:rPr>
      </w:pPr>
    </w:p>
    <w:p>
      <w:pPr>
        <w:ind w:left="760" w:hanging="76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7740" w:hanging="760"/>
        <w:spacing w:after="0" w:line="52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0" w:right="560" w:bottom="2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1,056,763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9180"/>
          </w:cols>
          <w:pgMar w:left="520" w:top="0" w:right="560" w:bottom="275"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1,056,763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5620" w:hanging="760"/>
        <w:spacing w:after="0" w:line="52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1,056,763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4180" w:hanging="940"/>
        <w:spacing w:after="0" w:line="336" w:lineRule="auto"/>
        <w:tabs>
          <w:tab w:leader="none" w:pos="7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6540" w:hanging="760"/>
        <w:spacing w:after="0" w:line="52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4.41%</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7240" w:hanging="760"/>
        <w:spacing w:after="0" w:line="64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086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-878840</wp:posOffset>
            </wp:positionV>
            <wp:extent cx="7086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-1773555</wp:posOffset>
            </wp:positionV>
            <wp:extent cx="7086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27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0866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hanging="76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542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18" w:lineRule="exact"/>
        <w:rPr>
          <w:sz w:val="20"/>
          <w:szCs w:val="20"/>
          <w:color w:val="auto"/>
        </w:rPr>
      </w:pPr>
    </w:p>
    <w:p>
      <w:pPr>
        <w:ind w:left="760" w:hanging="76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98" w:lineRule="exact"/>
        <w:rPr>
          <w:rFonts w:ascii="Arial" w:cs="Arial" w:eastAsia="Arial" w:hAnsi="Arial"/>
          <w:sz w:val="16"/>
          <w:szCs w:val="16"/>
          <w:color w:val="auto"/>
        </w:rPr>
      </w:pPr>
    </w:p>
    <w:p>
      <w:pPr>
        <w:ind w:left="1240" w:hanging="475"/>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6860" w:hanging="760"/>
        <w:spacing w:after="0" w:line="52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1,056,763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8300"/>
          </w:cols>
          <w:pgMar w:left="520" w:top="0" w:right="1440" w:bottom="0"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1,056,763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4740" w:hanging="760"/>
        <w:spacing w:after="0" w:line="52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1,056,763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3300" w:hanging="940"/>
        <w:spacing w:after="0" w:line="336" w:lineRule="auto"/>
        <w:tabs>
          <w:tab w:leader="none" w:pos="7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5660" w:hanging="760"/>
        <w:spacing w:after="0" w:line="52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4.41%</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6360" w:hanging="760"/>
        <w:spacing w:after="0" w:line="759"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086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-908050</wp:posOffset>
            </wp:positionV>
            <wp:extent cx="7086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-1802765</wp:posOffset>
            </wp:positionV>
            <wp:extent cx="7086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0866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086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60" w:hanging="760"/>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542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18" w:lineRule="exact"/>
        <w:rPr>
          <w:sz w:val="20"/>
          <w:szCs w:val="20"/>
          <w:color w:val="auto"/>
        </w:rPr>
      </w:pPr>
    </w:p>
    <w:p>
      <w:pPr>
        <w:ind w:left="760" w:hanging="760"/>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98" w:lineRule="exact"/>
        <w:rPr>
          <w:rFonts w:ascii="Arial" w:cs="Arial" w:eastAsia="Arial" w:hAnsi="Arial"/>
          <w:sz w:val="16"/>
          <w:szCs w:val="16"/>
          <w:color w:val="auto"/>
        </w:rPr>
      </w:pPr>
    </w:p>
    <w:p>
      <w:pPr>
        <w:ind w:left="1240" w:hanging="475"/>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6860" w:hanging="760"/>
        <w:spacing w:after="0" w:line="52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0" w:right="1440" w:bottom="1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1,357,784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8300"/>
          </w:cols>
          <w:pgMar w:left="520" w:top="0" w:right="1440" w:bottom="194"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1,357,784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4740" w:hanging="760"/>
        <w:spacing w:after="0" w:line="523"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1,357,784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3300" w:hanging="940"/>
        <w:spacing w:after="0" w:line="336" w:lineRule="auto"/>
        <w:tabs>
          <w:tab w:leader="none" w:pos="7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5660" w:hanging="760"/>
        <w:spacing w:after="0" w:line="5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5.67%</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6360" w:hanging="760"/>
        <w:spacing w:after="0" w:line="64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086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-878840</wp:posOffset>
            </wp:positionV>
            <wp:extent cx="7086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-1807210</wp:posOffset>
            </wp:positionV>
            <wp:extent cx="7086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94"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086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hanging="76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1" w:lineRule="exact"/>
        <w:rPr>
          <w:rFonts w:ascii="Arial" w:cs="Arial" w:eastAsia="Arial" w:hAnsi="Arial"/>
          <w:sz w:val="18"/>
          <w:szCs w:val="18"/>
          <w:color w:val="auto"/>
        </w:rPr>
      </w:pPr>
    </w:p>
    <w:p>
      <w:pPr>
        <w:ind w:left="760" w:right="542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18" w:lineRule="exact"/>
        <w:rPr>
          <w:sz w:val="20"/>
          <w:szCs w:val="20"/>
          <w:color w:val="auto"/>
        </w:rPr>
      </w:pPr>
    </w:p>
    <w:p>
      <w:pPr>
        <w:ind w:left="760" w:hanging="760"/>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98" w:lineRule="exact"/>
        <w:rPr>
          <w:rFonts w:ascii="Arial" w:cs="Arial" w:eastAsia="Arial" w:hAnsi="Arial"/>
          <w:sz w:val="16"/>
          <w:szCs w:val="16"/>
          <w:color w:val="auto"/>
        </w:rPr>
      </w:pPr>
    </w:p>
    <w:p>
      <w:pPr>
        <w:ind w:left="1240" w:hanging="475"/>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rFonts w:ascii="Arial" w:cs="Arial" w:eastAsia="Arial" w:hAnsi="Arial"/>
          <w:sz w:val="18"/>
          <w:szCs w:val="18"/>
          <w:color w:val="auto"/>
        </w:rPr>
      </w:pPr>
    </w:p>
    <w:p>
      <w:pPr>
        <w:ind w:left="1240" w:hanging="475"/>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hanging="760"/>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6860" w:hanging="760"/>
        <w:spacing w:after="0" w:line="52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0" w:right="14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1,357,784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8343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97" w:lineRule="exact"/>
        <w:rPr>
          <w:sz w:val="20"/>
          <w:szCs w:val="20"/>
          <w:color w:val="auto"/>
        </w:rPr>
      </w:pPr>
    </w:p>
    <w:p>
      <w:pPr>
        <w:sectPr>
          <w:pgSz w:w="12240" w:h="15840" w:orient="portrait"/>
          <w:cols w:equalWidth="0" w:num="2">
            <w:col w:w="1420" w:space="560"/>
            <w:col w:w="8300"/>
          </w:cols>
          <w:pgMar w:left="520" w:top="0" w:right="1440" w:bottom="33"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 Shared Dispositive Power</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1,357,784 shares</w:t>
      </w:r>
    </w:p>
    <w:p>
      <w:pPr>
        <w:spacing w:after="0" w:line="27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760" w:right="4740" w:hanging="760"/>
        <w:spacing w:after="0" w:line="52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1,357,784 shares</w:t>
      </w:r>
    </w:p>
    <w:p>
      <w:pPr>
        <w:spacing w:after="0" w:line="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940" w:right="3300" w:hanging="940"/>
        <w:spacing w:after="0" w:line="336" w:lineRule="auto"/>
        <w:tabs>
          <w:tab w:leader="none" w:pos="7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5" w:lineRule="exact"/>
        <w:rPr>
          <w:rFonts w:ascii="Arial" w:cs="Arial" w:eastAsia="Arial" w:hAnsi="Arial"/>
          <w:sz w:val="18"/>
          <w:szCs w:val="18"/>
          <w:color w:val="auto"/>
        </w:rPr>
      </w:pPr>
    </w:p>
    <w:p>
      <w:pPr>
        <w:ind w:left="760" w:right="5660" w:hanging="760"/>
        <w:spacing w:after="0" w:line="52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5.67%</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89" w:lineRule="exact"/>
        <w:rPr>
          <w:rFonts w:ascii="Arial" w:cs="Arial" w:eastAsia="Arial" w:hAnsi="Arial"/>
          <w:sz w:val="18"/>
          <w:szCs w:val="18"/>
          <w:color w:val="auto"/>
        </w:rPr>
      </w:pPr>
    </w:p>
    <w:p>
      <w:pPr>
        <w:ind w:left="760" w:right="6360" w:hanging="760"/>
        <w:spacing w:after="0" w:line="648"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086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-878840</wp:posOffset>
            </wp:positionV>
            <wp:extent cx="70866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-1773555</wp:posOffset>
            </wp:positionV>
            <wp:extent cx="70866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70866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33"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w:t>
      </w:r>
    </w:p>
    <w:p>
      <w:pPr>
        <w:spacing w:after="0" w:line="228" w:lineRule="exact"/>
        <w:rPr>
          <w:sz w:val="20"/>
          <w:szCs w:val="20"/>
          <w:color w:val="auto"/>
        </w:rPr>
      </w:pPr>
    </w:p>
    <w:p>
      <w:pPr>
        <w:ind w:left="1120" w:right="8000" w:hanging="557"/>
        <w:spacing w:after="0" w:line="592"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Name of Issuer AVROBIO, Inc.</w:t>
      </w:r>
    </w:p>
    <w:p>
      <w:pPr>
        <w:spacing w:after="0" w:line="1" w:lineRule="exact"/>
        <w:rPr>
          <w:rFonts w:ascii="Arial" w:cs="Arial" w:eastAsia="Arial" w:hAnsi="Arial"/>
          <w:sz w:val="17"/>
          <w:szCs w:val="17"/>
          <w:color w:val="auto"/>
        </w:rPr>
      </w:pPr>
    </w:p>
    <w:p>
      <w:pPr>
        <w:ind w:left="1120" w:hanging="557"/>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2"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6"/>
          <w:szCs w:val="16"/>
          <w:color w:val="auto"/>
        </w:rPr>
        <w:t>One Kendall Square, Building 300, Suite 201, Cambridge, MA 02139</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6" w:lineRule="exact"/>
        <w:rPr>
          <w:sz w:val="20"/>
          <w:szCs w:val="20"/>
          <w:color w:val="auto"/>
        </w:rPr>
      </w:pPr>
    </w:p>
    <w:p>
      <w:pPr>
        <w:ind w:left="1120" w:hanging="557"/>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2" w:lineRule="exact"/>
        <w:rPr>
          <w:rFonts w:ascii="Arial" w:cs="Arial" w:eastAsia="Arial" w:hAnsi="Arial"/>
          <w:sz w:val="18"/>
          <w:szCs w:val="18"/>
          <w:color w:val="auto"/>
        </w:rPr>
      </w:pPr>
    </w:p>
    <w:p>
      <w:pPr>
        <w:ind w:left="1120" w:right="578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 LP Cormorant Private Healthcare GP, LLC Cormorant Asset Management, LP</w:t>
      </w:r>
    </w:p>
    <w:p>
      <w:pPr>
        <w:ind w:left="112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07" w:lineRule="exact"/>
        <w:rPr>
          <w:rFonts w:ascii="Arial" w:cs="Arial" w:eastAsia="Arial" w:hAnsi="Arial"/>
          <w:sz w:val="18"/>
          <w:szCs w:val="18"/>
          <w:color w:val="auto"/>
        </w:rPr>
      </w:pPr>
    </w:p>
    <w:p>
      <w:pPr>
        <w:ind w:left="1120" w:hanging="557"/>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2" w:lineRule="exact"/>
        <w:rPr>
          <w:rFonts w:ascii="Arial" w:cs="Arial" w:eastAsia="Arial" w:hAnsi="Arial"/>
          <w:sz w:val="18"/>
          <w:szCs w:val="18"/>
          <w:color w:val="auto"/>
        </w:rPr>
      </w:pPr>
    </w:p>
    <w:p>
      <w:pPr>
        <w:ind w:left="1120" w:right="6760"/>
        <w:spacing w:after="0" w:line="274" w:lineRule="auto"/>
        <w:rPr>
          <w:rFonts w:ascii="Arial" w:cs="Arial" w:eastAsia="Arial" w:hAnsi="Arial"/>
          <w:sz w:val="18"/>
          <w:szCs w:val="18"/>
          <w:color w:val="auto"/>
        </w:rPr>
      </w:pPr>
      <w:r>
        <w:rPr>
          <w:rFonts w:ascii="Arial" w:cs="Arial" w:eastAsia="Arial" w:hAnsi="Arial"/>
          <w:sz w:val="18"/>
          <w:szCs w:val="18"/>
          <w:color w:val="auto"/>
        </w:rPr>
        <w:t>200 Clarendon Street, 52nd Floor Boston, MA 02116</w:t>
      </w:r>
    </w:p>
    <w:p>
      <w:pPr>
        <w:spacing w:after="0" w:line="171" w:lineRule="exact"/>
        <w:rPr>
          <w:rFonts w:ascii="Arial" w:cs="Arial" w:eastAsia="Arial" w:hAnsi="Arial"/>
          <w:sz w:val="18"/>
          <w:szCs w:val="18"/>
          <w:color w:val="auto"/>
        </w:rPr>
      </w:pPr>
    </w:p>
    <w:p>
      <w:pPr>
        <w:ind w:left="1120" w:hanging="557"/>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2" w:lineRule="exact"/>
        <w:rPr>
          <w:rFonts w:ascii="Arial" w:cs="Arial" w:eastAsia="Arial" w:hAnsi="Arial"/>
          <w:sz w:val="18"/>
          <w:szCs w:val="18"/>
          <w:color w:val="auto"/>
        </w:rPr>
      </w:pPr>
    </w:p>
    <w:p>
      <w:pPr>
        <w:ind w:left="1120" w:right="4480"/>
        <w:spacing w:after="0" w:line="252"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 LP - Delaware Cormorant Private Healthcare GP, LLC - Delaware Cormorant Asset Management, LP - Delaware</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07" w:lineRule="exact"/>
        <w:rPr>
          <w:rFonts w:ascii="Arial" w:cs="Arial" w:eastAsia="Arial" w:hAnsi="Arial"/>
          <w:sz w:val="18"/>
          <w:szCs w:val="18"/>
          <w:color w:val="auto"/>
        </w:rPr>
      </w:pPr>
    </w:p>
    <w:p>
      <w:pPr>
        <w:ind w:left="1120" w:right="7260" w:hanging="557"/>
        <w:spacing w:after="0" w:line="559"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120" w:right="8020" w:hanging="557"/>
        <w:spacing w:after="0" w:line="339"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0866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6" w:lineRule="exact"/>
        <w:rPr>
          <w:sz w:val="20"/>
          <w:szCs w:val="20"/>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 240.13d-1(b)(1)(ii)(G);</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329" w:lineRule="exact"/>
        <w:rPr>
          <w:rFonts w:ascii="Arial" w:cs="Arial" w:eastAsia="Arial" w:hAnsi="Arial"/>
          <w:sz w:val="18"/>
          <w:szCs w:val="18"/>
          <w:color w:val="auto"/>
        </w:rPr>
      </w:pPr>
    </w:p>
    <w:p>
      <w:pPr>
        <w:ind w:left="1700" w:hanging="1137"/>
        <w:spacing w:after="0" w:line="274" w:lineRule="auto"/>
        <w:tabs>
          <w:tab w:leader="none" w:pos="11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 of 1940 (15 U.S.C. 80a-3);</w:t>
      </w:r>
    </w:p>
    <w:p>
      <w:pPr>
        <w:spacing w:after="0" w:line="278"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329" w:lineRule="exact"/>
        <w:rPr>
          <w:rFonts w:ascii="Arial" w:cs="Arial" w:eastAsia="Arial" w:hAnsi="Arial"/>
          <w:sz w:val="18"/>
          <w:szCs w:val="18"/>
          <w:color w:val="auto"/>
        </w:rPr>
      </w:pPr>
    </w:p>
    <w:p>
      <w:pPr>
        <w:ind w:left="1120" w:hanging="55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w:t>
      </w:r>
    </w:p>
    <w:p>
      <w:pPr>
        <w:spacing w:after="0" w:line="200" w:lineRule="exact"/>
        <w:rPr>
          <w:sz w:val="20"/>
          <w:szCs w:val="20"/>
          <w:color w:val="auto"/>
        </w:rPr>
      </w:pPr>
    </w:p>
    <w:p>
      <w:pPr>
        <w:spacing w:after="0" w:line="3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75" w:lineRule="exact"/>
        <w:rPr>
          <w:sz w:val="20"/>
          <w:szCs w:val="20"/>
          <w:color w:val="auto"/>
        </w:rPr>
      </w:pPr>
    </w:p>
    <w:p>
      <w:pPr>
        <w:ind w:left="1100" w:hanging="550"/>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2" w:lineRule="exact"/>
        <w:rPr>
          <w:rFonts w:ascii="Arial" w:cs="Arial" w:eastAsia="Arial" w:hAnsi="Arial"/>
          <w:sz w:val="18"/>
          <w:szCs w:val="18"/>
          <w:color w:val="auto"/>
        </w:rPr>
      </w:pPr>
    </w:p>
    <w:p>
      <w:pPr>
        <w:ind w:left="1100" w:right="5420"/>
        <w:spacing w:after="0" w:line="283"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243,451 shares Cormorant Global Healthcare GP, LLC – 243,451 shares Cormorant Private Healthcare Fund I, LP – 1,056,763 shares Cormorant Private Healthcare GP, LLC – 1,056,763 shares Cormorant Asset Management, LP – 1,357,784 shares</w:t>
      </w:r>
    </w:p>
    <w:p>
      <w:pPr>
        <w:spacing w:after="0" w:line="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Bihua Chen – 1,357,784 shares</w:t>
      </w:r>
    </w:p>
    <w:p>
      <w:pPr>
        <w:spacing w:after="0" w:line="207" w:lineRule="exact"/>
        <w:rPr>
          <w:rFonts w:ascii="Arial" w:cs="Arial" w:eastAsia="Arial" w:hAnsi="Arial"/>
          <w:sz w:val="18"/>
          <w:szCs w:val="18"/>
          <w:color w:val="auto"/>
        </w:rPr>
      </w:pPr>
    </w:p>
    <w:p>
      <w:pPr>
        <w:ind w:left="1100" w:hanging="550"/>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2" w:lineRule="exact"/>
        <w:rPr>
          <w:rFonts w:ascii="Arial" w:cs="Arial" w:eastAsia="Arial" w:hAnsi="Arial"/>
          <w:sz w:val="18"/>
          <w:szCs w:val="18"/>
          <w:color w:val="auto"/>
        </w:rPr>
      </w:pPr>
    </w:p>
    <w:p>
      <w:pPr>
        <w:ind w:left="1100" w:right="602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1.02% Cormorant Global Healthcare GP, LLC – 1.02% Cormorant Private Healthcare Fund I, LP – 4.41% Cormorant Private Healthcare GP, LLC – 4.41% Cormorant Asset Management, LP – 5.67%</w:t>
      </w:r>
    </w:p>
    <w:p>
      <w:pPr>
        <w:ind w:left="1100"/>
        <w:spacing w:after="0"/>
        <w:rPr>
          <w:rFonts w:ascii="Arial" w:cs="Arial" w:eastAsia="Arial" w:hAnsi="Arial"/>
          <w:sz w:val="18"/>
          <w:szCs w:val="18"/>
          <w:color w:val="auto"/>
        </w:rPr>
      </w:pPr>
      <w:r>
        <w:rPr>
          <w:rFonts w:ascii="Arial" w:cs="Arial" w:eastAsia="Arial" w:hAnsi="Arial"/>
          <w:sz w:val="18"/>
          <w:szCs w:val="18"/>
          <w:color w:val="auto"/>
        </w:rPr>
        <w:t>Bihua Chen – 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08660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20" w:top="227" w:right="58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12" w:lineRule="exact"/>
        <w:rPr>
          <w:sz w:val="20"/>
          <w:szCs w:val="20"/>
          <w:color w:val="auto"/>
        </w:rPr>
      </w:pPr>
    </w:p>
    <w:p>
      <w:pPr>
        <w:ind w:left="1120" w:hanging="55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2" w:lineRule="exact"/>
        <w:rPr>
          <w:rFonts w:ascii="Arial" w:cs="Arial" w:eastAsia="Arial" w:hAnsi="Arial"/>
          <w:sz w:val="18"/>
          <w:szCs w:val="18"/>
          <w:color w:val="auto"/>
        </w:rPr>
      </w:pPr>
    </w:p>
    <w:p>
      <w:pPr>
        <w:ind w:left="1700" w:hanging="573"/>
        <w:spacing w:after="0"/>
        <w:tabs>
          <w:tab w:leader="none" w:pos="17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2" w:lineRule="exact"/>
        <w:rPr>
          <w:rFonts w:ascii="Arial" w:cs="Arial" w:eastAsia="Arial" w:hAnsi="Arial"/>
          <w:sz w:val="18"/>
          <w:szCs w:val="18"/>
          <w:color w:val="auto"/>
        </w:rPr>
      </w:pPr>
    </w:p>
    <w:p>
      <w:pPr>
        <w:ind w:left="1700" w:right="536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ind w:left="170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07" w:lineRule="exact"/>
        <w:rPr>
          <w:rFonts w:ascii="Arial" w:cs="Arial" w:eastAsia="Arial" w:hAnsi="Arial"/>
          <w:sz w:val="18"/>
          <w:szCs w:val="18"/>
          <w:color w:val="auto"/>
        </w:rPr>
      </w:pPr>
    </w:p>
    <w:p>
      <w:pPr>
        <w:ind w:left="1700" w:hanging="573"/>
        <w:spacing w:after="0"/>
        <w:tabs>
          <w:tab w:leader="none" w:pos="17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2" w:lineRule="exact"/>
        <w:rPr>
          <w:rFonts w:ascii="Arial" w:cs="Arial" w:eastAsia="Arial" w:hAnsi="Arial"/>
          <w:sz w:val="18"/>
          <w:szCs w:val="18"/>
          <w:color w:val="auto"/>
        </w:rPr>
      </w:pPr>
    </w:p>
    <w:p>
      <w:pPr>
        <w:ind w:left="1700" w:right="4840"/>
        <w:spacing w:after="0" w:line="283"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243,451 shares Cormorant Global Healthcare GP, LLC – 243,451 shares Cormorant Private Healthcare Fund I, LP – 1,056,763 shares Cormorant Private Healthcare GP, LLC – 1,056,763 shares Cormorant Asset Management, LP – 1,357,784 shares</w:t>
      </w:r>
    </w:p>
    <w:p>
      <w:pPr>
        <w:spacing w:after="0" w:line="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Bihua Chen – 1,357,784 shares</w:t>
      </w:r>
    </w:p>
    <w:p>
      <w:pPr>
        <w:spacing w:after="0" w:line="207" w:lineRule="exact"/>
        <w:rPr>
          <w:rFonts w:ascii="Arial" w:cs="Arial" w:eastAsia="Arial" w:hAnsi="Arial"/>
          <w:sz w:val="18"/>
          <w:szCs w:val="18"/>
          <w:color w:val="auto"/>
        </w:rPr>
      </w:pPr>
    </w:p>
    <w:p>
      <w:pPr>
        <w:ind w:left="1700" w:hanging="573"/>
        <w:spacing w:after="0"/>
        <w:tabs>
          <w:tab w:leader="none" w:pos="17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2" w:lineRule="exact"/>
        <w:rPr>
          <w:rFonts w:ascii="Arial" w:cs="Arial" w:eastAsia="Arial" w:hAnsi="Arial"/>
          <w:sz w:val="18"/>
          <w:szCs w:val="18"/>
          <w:color w:val="auto"/>
        </w:rPr>
      </w:pPr>
    </w:p>
    <w:p>
      <w:pPr>
        <w:ind w:left="1700" w:right="534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ind w:left="170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07" w:lineRule="exact"/>
        <w:rPr>
          <w:rFonts w:ascii="Arial" w:cs="Arial" w:eastAsia="Arial" w:hAnsi="Arial"/>
          <w:sz w:val="18"/>
          <w:szCs w:val="18"/>
          <w:color w:val="auto"/>
        </w:rPr>
      </w:pPr>
    </w:p>
    <w:p>
      <w:pPr>
        <w:ind w:left="1700" w:hanging="573"/>
        <w:spacing w:after="0"/>
        <w:tabs>
          <w:tab w:leader="none" w:pos="17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2" w:lineRule="exact"/>
        <w:rPr>
          <w:rFonts w:ascii="Arial" w:cs="Arial" w:eastAsia="Arial" w:hAnsi="Arial"/>
          <w:sz w:val="18"/>
          <w:szCs w:val="18"/>
          <w:color w:val="auto"/>
        </w:rPr>
      </w:pPr>
    </w:p>
    <w:p>
      <w:pPr>
        <w:ind w:left="1700" w:right="4840"/>
        <w:spacing w:after="0" w:line="283"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243,451 shares Cormorant Global Healthcare GP, LLC – 243,451 shares Cormorant Private Healthcare Fund I, LP – 1,056,763 shares Cormorant Private Healthcare GP, LLC – 1,056,763 shares Cormorant Asset Management, LP – 1,357,784 shares</w:t>
      </w:r>
    </w:p>
    <w:p>
      <w:pPr>
        <w:spacing w:after="0" w:line="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Bihua Chen – 1,357,784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640" w:firstLine="4"/>
        <w:spacing w:after="0" w:line="271" w:lineRule="auto"/>
        <w:tabs>
          <w:tab w:leader="none" w:pos="969" w:val="left"/>
        </w:tabs>
        <w:numPr>
          <w:ilvl w:val="1"/>
          <w:numId w:val="43"/>
        </w:numPr>
        <w:rPr>
          <w:rFonts w:ascii="Arial" w:cs="Arial" w:eastAsia="Arial" w:hAnsi="Arial"/>
          <w:sz w:val="17"/>
          <w:szCs w:val="17"/>
          <w:color w:val="auto"/>
        </w:rPr>
      </w:pPr>
      <w:r>
        <w:rPr>
          <w:rFonts w:ascii="Arial" w:cs="Arial" w:eastAsia="Arial" w:hAnsi="Arial"/>
          <w:sz w:val="17"/>
          <w:szCs w:val="17"/>
          <w:color w:val="auto"/>
        </w:rPr>
        <w:t>Shares reported herein for Cormorant Asset Management, LP represent shares which are beneficially Cormorant Global Healthcare Master Fund, LP (the "Master Fund") and Cormorant Private Healthcare Fund I, LP ("Fund I"), as reported herein, and a managed account (the "Account"). Cormorant Global Healthcare GP, LLC and Cormorant Private Healthcare GP, LLC serve as the general partners of the Master Fund and Fund I, respectively. Cormorant Asset Management, LP serves as the investment manager to the Master Fund, Fund I and the Account. Bihua Chen serves as the managing member of Cormorant Global Healthcare GP, LLC, Cormorant Private Healthcare GP, LLC and the general partner of Cormorant Asset Management, LP.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08660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disclaims beneficial ownership of the shares reported herein except to the extent of its or his pecuniary interest therein.</w:t>
      </w:r>
    </w:p>
    <w:p>
      <w:pPr>
        <w:spacing w:after="0" w:line="31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percentages reported herein are calculated based upon there being 23,955,870 shares of Common Stock issued and outstanding as of November 8, 2018. as reported in the Issuer's Form 10-Q for the quarter ended September 30, 2018 filed with the Securities and Exchange Commission on November 13, 2018.</w:t>
      </w:r>
    </w:p>
    <w:p>
      <w:pPr>
        <w:spacing w:after="0" w:line="3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6" w:lineRule="exact"/>
        <w:rPr>
          <w:sz w:val="20"/>
          <w:szCs w:val="20"/>
          <w:color w:val="auto"/>
        </w:rPr>
      </w:pPr>
    </w:p>
    <w:p>
      <w:pPr>
        <w:jc w:val="both"/>
        <w:ind w:firstLine="644"/>
        <w:spacing w:after="0" w:line="27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Exhibits</w:t>
      </w:r>
    </w:p>
    <w:p>
      <w:pPr>
        <w:spacing w:after="0" w:line="255" w:lineRule="exact"/>
        <w:rPr>
          <w:sz w:val="20"/>
          <w:szCs w:val="20"/>
          <w:color w:val="auto"/>
        </w:rPr>
      </w:pPr>
    </w:p>
    <w:p>
      <w:pPr>
        <w:ind w:left="680" w:right="220" w:hanging="680"/>
        <w:spacing w:after="0" w:line="274"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Joint Filing Agreement by and among the Reporting Persons, incorporated by reference to Exhibit 1 to the Schedule 13G filed by the Reporting Persons with the Securities and Exchange Commission on July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08660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CORMORANT GLOBAL HEALTHCARE MASTER FUND, LP</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Cormorant Global Healthcare GP, LLC</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CORMORANT GLOBAL HEALTHCARE GP, LLC</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CORMORANT PRIVATE HEALTHCARE FUND I, LP</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Cormorant Global Healthcare GP, LLC</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CORMORANT PRIVATE HEALTHCARE GP, LLC</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CORMORANT ASSET MANAGEMENT, LP</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Cormorant Asset Management GP, LLC</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Bihua Chen</w:t>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Roman"/>
      <w:start w:val="10"/>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bullet"/>
      <w:start w:val="1"/>
    </w:lvl>
  </w:abstractNum>
  <w:abstractNum w:abstractNumId="3">
    <w:nsid w:val="75A2A8D4"/>
    <w:multiLevelType w:val="hybridMultilevel"/>
    <w:lvl w:ilvl="0">
      <w:lvlJc w:val="left"/>
      <w:lvlText w:val="2"/>
      <w:numFmt w:val="bullet"/>
      <w:start w:val="1"/>
    </w:lvl>
    <w:lvl w:ilvl="1">
      <w:lvlJc w:val="left"/>
      <w:lvlText w:val="(%2)"/>
      <w:numFmt w:val="lowerLetter"/>
      <w:start w:val="1"/>
    </w:lvl>
  </w:abstractNum>
  <w:abstractNum w:abstractNumId="4">
    <w:nsid w:val="8EDBDAB"/>
    <w:multiLevelType w:val="hybridMultilevel"/>
    <w:lvl w:ilvl="0">
      <w:lvlJc w:val="left"/>
      <w:lvlText w:val="3"/>
      <w:numFmt w:val="bullet"/>
      <w:start w:val="1"/>
    </w:lvl>
  </w:abstractNum>
  <w:abstractNum w:abstractNumId="5">
    <w:nsid w:val="79838CB2"/>
    <w:multiLevelType w:val="hybridMultilevel"/>
    <w:lvl w:ilvl="0">
      <w:lvlJc w:val="left"/>
      <w:lvlText w:val="4"/>
      <w:numFmt w:val="bullet"/>
      <w:start w:val="1"/>
    </w:lvl>
  </w:abstractNum>
  <w:abstractNum w:abstractNumId="6">
    <w:nsid w:val="4353D0CD"/>
    <w:multiLevelType w:val="hybridMultilevel"/>
    <w:lvl w:ilvl="0">
      <w:lvlJc w:val="left"/>
      <w:lvlText w:val="9"/>
      <w:numFmt w:val="bullet"/>
      <w:start w:val="1"/>
    </w:lvl>
  </w:abstractNum>
  <w:abstractNum w:abstractNumId="7">
    <w:nsid w:val="B03E0C6"/>
    <w:multiLevelType w:val="hybridMultilevel"/>
    <w:lvl w:ilvl="0">
      <w:lvlJc w:val="left"/>
      <w:lvlText w:val="%1"/>
      <w:numFmt w:val="decimal"/>
      <w:start w:val="10"/>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lvl w:ilvl="1">
      <w:lvlJc w:val="left"/>
      <w:lvlText w:val="(%2)"/>
      <w:numFmt w:val="lowerLetter"/>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9"/>
      <w:numFmt w:val="bullet"/>
      <w:start w:val="1"/>
    </w:lvl>
  </w:abstractNum>
  <w:abstractNum w:abstractNumId="13">
    <w:nsid w:val="2901D82"/>
    <w:multiLevelType w:val="hybridMultilevel"/>
    <w:lvl w:ilvl="0">
      <w:lvlJc w:val="left"/>
      <w:lvlText w:val="%1"/>
      <w:numFmt w:val="decimal"/>
      <w:start w:val="10"/>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2"/>
      <w:numFmt w:val="bullet"/>
      <w:start w:val="1"/>
    </w:lvl>
    <w:lvl w:ilvl="1">
      <w:lvlJc w:val="left"/>
      <w:lvlText w:val="(%2)"/>
      <w:numFmt w:val="lowerLetter"/>
      <w:start w:val="1"/>
    </w:lvl>
  </w:abstractNum>
  <w:abstractNum w:abstractNumId="16">
    <w:nsid w:val="1E7FF521"/>
    <w:multiLevelType w:val="hybridMultilevel"/>
    <w:lvl w:ilvl="0">
      <w:lvlJc w:val="left"/>
      <w:lvlText w:val="3"/>
      <w:numFmt w:val="bullet"/>
      <w:start w:val="1"/>
    </w:lvl>
  </w:abstractNum>
  <w:abstractNum w:abstractNumId="17">
    <w:nsid w:val="7C3DBD3D"/>
    <w:multiLevelType w:val="hybridMultilevel"/>
    <w:lvl w:ilvl="0">
      <w:lvlJc w:val="left"/>
      <w:lvlText w:val="4"/>
      <w:numFmt w:val="bullet"/>
      <w:start w:val="1"/>
    </w:lvl>
  </w:abstractNum>
  <w:abstractNum w:abstractNumId="18">
    <w:nsid w:val="737B8DDC"/>
    <w:multiLevelType w:val="hybridMultilevel"/>
    <w:lvl w:ilvl="0">
      <w:lvlJc w:val="left"/>
      <w:lvlText w:val="9"/>
      <w:numFmt w:val="bullet"/>
      <w:start w:val="1"/>
    </w:lvl>
  </w:abstractNum>
  <w:abstractNum w:abstractNumId="19">
    <w:nsid w:val="6CEAF087"/>
    <w:multiLevelType w:val="hybridMultilevel"/>
    <w:lvl w:ilvl="0">
      <w:lvlJc w:val="left"/>
      <w:lvlText w:val="%1"/>
      <w:numFmt w:val="decimal"/>
      <w:start w:val="10"/>
    </w:lvl>
  </w:abstractNum>
  <w:abstractNum w:abstractNumId="20">
    <w:nsid w:val="22221A70"/>
    <w:multiLevelType w:val="hybridMultilevel"/>
    <w:lvl w:ilvl="0">
      <w:lvlJc w:val="left"/>
      <w:lvlText w:val="1"/>
      <w:numFmt w:val="bullet"/>
      <w:start w:val="1"/>
    </w:lvl>
  </w:abstractNum>
  <w:abstractNum w:abstractNumId="21">
    <w:nsid w:val="4516DDE9"/>
    <w:multiLevelType w:val="hybridMultilevel"/>
    <w:lvl w:ilvl="0">
      <w:lvlJc w:val="left"/>
      <w:lvlText w:val="2"/>
      <w:numFmt w:val="bullet"/>
      <w:start w:val="1"/>
    </w:lvl>
    <w:lvl w:ilvl="1">
      <w:lvlJc w:val="left"/>
      <w:lvlText w:val="(%2)"/>
      <w:numFmt w:val="lowerLetter"/>
      <w:start w:val="1"/>
    </w:lvl>
  </w:abstractNum>
  <w:abstractNum w:abstractNumId="22">
    <w:nsid w:val="3006C83E"/>
    <w:multiLevelType w:val="hybridMultilevel"/>
    <w:lvl w:ilvl="0">
      <w:lvlJc w:val="left"/>
      <w:lvlText w:val="3"/>
      <w:numFmt w:val="bullet"/>
      <w:start w:val="1"/>
    </w:lvl>
  </w:abstractNum>
  <w:abstractNum w:abstractNumId="23">
    <w:nsid w:val="614FD4A1"/>
    <w:multiLevelType w:val="hybridMultilevel"/>
    <w:lvl w:ilvl="0">
      <w:lvlJc w:val="left"/>
      <w:lvlText w:val="4"/>
      <w:numFmt w:val="bullet"/>
      <w:start w:val="1"/>
    </w:lvl>
  </w:abstractNum>
  <w:abstractNum w:abstractNumId="24">
    <w:nsid w:val="419AC241"/>
    <w:multiLevelType w:val="hybridMultilevel"/>
    <w:lvl w:ilvl="0">
      <w:lvlJc w:val="left"/>
      <w:lvlText w:val="9"/>
      <w:numFmt w:val="bullet"/>
      <w:start w:val="1"/>
    </w:lvl>
  </w:abstractNum>
  <w:abstractNum w:abstractNumId="25">
    <w:nsid w:val="5577F8E1"/>
    <w:multiLevelType w:val="hybridMultilevel"/>
    <w:lvl w:ilvl="0">
      <w:lvlJc w:val="left"/>
      <w:lvlText w:val="%1"/>
      <w:numFmt w:val="decimal"/>
      <w:start w:val="10"/>
    </w:lvl>
  </w:abstractNum>
  <w:abstractNum w:abstractNumId="26">
    <w:nsid w:val="440BADFC"/>
    <w:multiLevelType w:val="hybridMultilevel"/>
    <w:lvl w:ilvl="0">
      <w:lvlJc w:val="left"/>
      <w:lvlText w:val="1"/>
      <w:numFmt w:val="bullet"/>
      <w:start w:val="1"/>
    </w:lvl>
  </w:abstractNum>
  <w:abstractNum w:abstractNumId="27">
    <w:nsid w:val="5072367"/>
    <w:multiLevelType w:val="hybridMultilevel"/>
    <w:lvl w:ilvl="0">
      <w:lvlJc w:val="left"/>
      <w:lvlText w:val="2"/>
      <w:numFmt w:val="bullet"/>
      <w:start w:val="1"/>
    </w:lvl>
    <w:lvl w:ilvl="1">
      <w:lvlJc w:val="left"/>
      <w:lvlText w:val="(%2)"/>
      <w:numFmt w:val="lowerLetter"/>
      <w:start w:val="1"/>
    </w:lvl>
  </w:abstractNum>
  <w:abstractNum w:abstractNumId="28">
    <w:nsid w:val="3804823E"/>
    <w:multiLevelType w:val="hybridMultilevel"/>
    <w:lvl w:ilvl="0">
      <w:lvlJc w:val="left"/>
      <w:lvlText w:val="3"/>
      <w:numFmt w:val="bullet"/>
      <w:start w:val="1"/>
    </w:lvl>
  </w:abstractNum>
  <w:abstractNum w:abstractNumId="29">
    <w:nsid w:val="77465F01"/>
    <w:multiLevelType w:val="hybridMultilevel"/>
    <w:lvl w:ilvl="0">
      <w:lvlJc w:val="left"/>
      <w:lvlText w:val="4"/>
      <w:numFmt w:val="bullet"/>
      <w:start w:val="1"/>
    </w:lvl>
  </w:abstractNum>
  <w:abstractNum w:abstractNumId="30">
    <w:nsid w:val="7724C67E"/>
    <w:multiLevelType w:val="hybridMultilevel"/>
    <w:lvl w:ilvl="0">
      <w:lvlJc w:val="left"/>
      <w:lvlText w:val="9"/>
      <w:numFmt w:val="bullet"/>
      <w:start w:val="1"/>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bullet"/>
      <w:start w:val="1"/>
    </w:lvl>
  </w:abstractNum>
  <w:abstractNum w:abstractNumId="33">
    <w:nsid w:val="5E884ADC"/>
    <w:multiLevelType w:val="hybridMultilevel"/>
    <w:lvl w:ilvl="0">
      <w:lvlJc w:val="left"/>
      <w:lvlText w:val="2"/>
      <w:numFmt w:val="bullet"/>
      <w:start w:val="1"/>
    </w:lvl>
    <w:lvl w:ilvl="1">
      <w:lvlJc w:val="left"/>
      <w:lvlText w:val="(%2)"/>
      <w:numFmt w:val="lowerLetter"/>
      <w:start w:val="1"/>
    </w:lvl>
  </w:abstractNum>
  <w:abstractNum w:abstractNumId="34">
    <w:nsid w:val="51EAD36B"/>
    <w:multiLevelType w:val="hybridMultilevel"/>
    <w:lvl w:ilvl="0">
      <w:lvlJc w:val="left"/>
      <w:lvlText w:val="3"/>
      <w:numFmt w:val="bullet"/>
      <w:start w:val="1"/>
    </w:lvl>
  </w:abstractNum>
  <w:abstractNum w:abstractNumId="35">
    <w:nsid w:val="2D517796"/>
    <w:multiLevelType w:val="hybridMultilevel"/>
    <w:lvl w:ilvl="0">
      <w:lvlJc w:val="left"/>
      <w:lvlText w:val="4"/>
      <w:numFmt w:val="bullet"/>
      <w:start w:val="1"/>
    </w:lvl>
  </w:abstractNum>
  <w:abstractNum w:abstractNumId="36">
    <w:nsid w:val="580BD78F"/>
    <w:multiLevelType w:val="hybridMultilevel"/>
    <w:lvl w:ilvl="0">
      <w:lvlJc w:val="left"/>
      <w:lvlText w:val="9"/>
      <w:numFmt w:val="bullet"/>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2019-12-15T16:07:16Z</dcterms:created>
  <dcterms:modified xsi:type="dcterms:W3CDTF">2019-12-15T16:07:16Z</dcterms:modified>
</cp:coreProperties>
</file>