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50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50862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REICIN ALISE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TECTONIC THERAPEUTIC,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490 ARSENAL WAY,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03"/>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Tectonic Therapeutic,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TECX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12/04/2024</w:t>
      </w:r>
    </w:p>
    <w:p>
      <w:pPr>
        <w:spacing w:after="0" w:line="20" w:lineRule="exact"/>
        <w:rPr>
          <w:sz w:val="24"/>
          <w:szCs w:val="24"/>
          <w:color w:val="auto"/>
        </w:rPr>
      </w:pPr>
      <w:r>
        <w:rPr>
          <w:sz w:val="24"/>
          <w:szCs w:val="24"/>
          <w:color w:val="auto"/>
        </w:rPr>
        <w:br w:type="column"/>
      </w:r>
    </w:p>
    <w:p>
      <w:pPr>
        <w:ind w:left="-3" w:right="600" w:firstLine="3"/>
        <w:spacing w:after="0" w:line="26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2"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1"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4" w:lineRule="exact"/>
        <w:rPr>
          <w:sz w:val="24"/>
          <w:szCs w:val="24"/>
          <w:color w:val="auto"/>
        </w:rPr>
      </w:pPr>
    </w:p>
    <w:p>
      <w:pPr>
        <w:sectPr>
          <w:pgSz w:w="11900" w:h="16838" w:orient="portrait"/>
          <w:cols w:equalWidth="0" w:num="3">
            <w:col w:w="3200" w:space="720"/>
            <w:col w:w="3103" w:space="720"/>
            <w:col w:w="3337"/>
          </w:cols>
          <w:pgMar w:left="460" w:top="216" w:right="359" w:bottom="1440" w:gutter="0" w:footer="0" w:header="0"/>
          <w:type w:val="continuous"/>
        </w:sectPr>
      </w:pPr>
    </w:p>
    <w:p>
      <w:pPr>
        <w:spacing w:after="0" w:line="208"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WATERTOWN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02472</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6"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0"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3"/>
                <w:szCs w:val="13"/>
                <w:color w:val="auto"/>
              </w:rPr>
            </w:pPr>
          </w:p>
        </w:tc>
        <w:tc>
          <w:tcPr>
            <w:tcW w:w="17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2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20" w:type="dxa"/>
            <w:vAlign w:val="bottom"/>
          </w:tcPr>
          <w:p>
            <w:pPr>
              <w:ind w:left="180"/>
              <w:spacing w:after="0" w:line="130" w:lineRule="exact"/>
              <w:rPr>
                <w:sz w:val="20"/>
                <w:szCs w:val="20"/>
                <w:color w:val="auto"/>
              </w:rPr>
            </w:pPr>
            <w:r>
              <w:rPr>
                <w:rFonts w:ascii="Arial" w:cs="Arial" w:eastAsia="Arial" w:hAnsi="Arial"/>
                <w:sz w:val="12"/>
                <w:szCs w:val="12"/>
                <w:b w:val="1"/>
                <w:bCs w:val="1"/>
                <w:color w:val="auto"/>
                <w:w w:val="99"/>
              </w:rPr>
              <w:t>(A) or</w:t>
            </w:r>
          </w:p>
        </w:tc>
        <w:tc>
          <w:tcPr>
            <w:tcW w:w="5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2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12/04/2024</w:t>
            </w: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w w:val="91"/>
              </w:rPr>
              <w:t>11,717</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40" w:type="dxa"/>
            <w:vAlign w:val="bottom"/>
            <w:tcBorders>
              <w:bottom w:val="single" w:sz="8" w:color="2C2C2C"/>
            </w:tcBorders>
            <w:gridSpan w:val="3"/>
          </w:tcPr>
          <w:p>
            <w:pPr>
              <w:jc w:val="center"/>
              <w:ind w:right="201"/>
              <w:spacing w:after="0"/>
              <w:rPr>
                <w:sz w:val="20"/>
                <w:szCs w:val="20"/>
                <w:color w:val="auto"/>
              </w:rPr>
            </w:pPr>
            <w:r>
              <w:rPr>
                <w:rFonts w:ascii="Times New Roman" w:cs="Times New Roman" w:eastAsia="Times New Roman" w:hAnsi="Times New Roman"/>
                <w:sz w:val="17"/>
                <w:szCs w:val="17"/>
                <w:color w:val="0000FF"/>
              </w:rPr>
              <w:t>178,297</w:t>
            </w:r>
            <w:r>
              <w:rPr>
                <w:rFonts w:ascii="Times New Roman" w:cs="Times New Roman" w:eastAsia="Times New Roman" w:hAnsi="Times New Roman"/>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340" w:type="dxa"/>
            <w:vAlign w:val="bottom"/>
            <w:gridSpan w:val="3"/>
            <w:vMerge w:val="restart"/>
          </w:tcPr>
          <w:p>
            <w:pPr>
              <w:jc w:val="right"/>
              <w:ind w:right="281"/>
              <w:spacing w:after="0"/>
              <w:rPr>
                <w:sz w:val="20"/>
                <w:szCs w:val="20"/>
                <w:color w:val="auto"/>
              </w:rPr>
            </w:pPr>
            <w:r>
              <w:rPr>
                <w:rFonts w:ascii="Times New Roman" w:cs="Times New Roman" w:eastAsia="Times New Roman" w:hAnsi="Times New Roman"/>
                <w:sz w:val="17"/>
                <w:szCs w:val="17"/>
                <w:color w:val="0000FF"/>
              </w:rPr>
              <w:t>124,530</w:t>
            </w:r>
          </w:p>
        </w:tc>
        <w:tc>
          <w:tcPr>
            <w:tcW w:w="280" w:type="dxa"/>
            <w:vAlign w:val="bottom"/>
          </w:tcPr>
          <w:p>
            <w:pPr>
              <w:spacing w:after="0"/>
              <w:rPr>
                <w:sz w:val="21"/>
                <w:szCs w:val="21"/>
                <w:color w:val="auto"/>
              </w:rPr>
            </w:pPr>
          </w:p>
        </w:tc>
        <w:tc>
          <w:tcPr>
            <w:tcW w:w="68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04"/>
        </w:trPr>
        <w:tc>
          <w:tcPr>
            <w:tcW w:w="2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11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46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0" w:type="dxa"/>
            <w:vAlign w:val="bottom"/>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380" w:type="dxa"/>
            <w:vAlign w:val="bottom"/>
            <w:gridSpan w:val="12"/>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6,000</w:t>
            </w: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51.28</w:t>
            </w:r>
          </w:p>
        </w:tc>
        <w:tc>
          <w:tcPr>
            <w:tcW w:w="1080" w:type="dxa"/>
            <w:vAlign w:val="bottom"/>
            <w:vMerge w:val="restart"/>
          </w:tcPr>
          <w:p>
            <w:pPr>
              <w:ind w:left="240"/>
              <w:spacing w:after="0" w:line="143" w:lineRule="exact"/>
              <w:rPr>
                <w:sz w:val="20"/>
                <w:szCs w:val="20"/>
                <w:color w:val="auto"/>
              </w:rPr>
            </w:pPr>
            <w:r>
              <w:rPr>
                <w:rFonts w:ascii="Times New Roman" w:cs="Times New Roman" w:eastAsia="Times New Roman" w:hAnsi="Times New Roman"/>
                <w:sz w:val="13"/>
                <w:szCs w:val="13"/>
                <w:color w:val="0000FF"/>
              </w:rPr>
              <w:t>12/04/2024</w:t>
            </w:r>
          </w:p>
        </w:tc>
        <w:tc>
          <w:tcPr>
            <w:tcW w:w="1100" w:type="dxa"/>
            <w:vAlign w:val="bottom"/>
          </w:tcPr>
          <w:p>
            <w:pPr>
              <w:spacing w:after="0"/>
              <w:rPr>
                <w:sz w:val="5"/>
                <w:szCs w:val="5"/>
                <w:color w:val="auto"/>
              </w:rPr>
            </w:pPr>
          </w:p>
        </w:tc>
        <w:tc>
          <w:tcPr>
            <w:tcW w:w="6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180" w:type="dxa"/>
            <w:vAlign w:val="bottom"/>
          </w:tcPr>
          <w:p>
            <w:pPr>
              <w:spacing w:after="0"/>
              <w:rPr>
                <w:sz w:val="5"/>
                <w:szCs w:val="5"/>
                <w:color w:val="auto"/>
              </w:rPr>
            </w:pPr>
          </w:p>
        </w:tc>
        <w:tc>
          <w:tcPr>
            <w:tcW w:w="46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6,000</w:t>
            </w:r>
          </w:p>
        </w:tc>
        <w:tc>
          <w:tcPr>
            <w:tcW w:w="3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2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12/03/2034</w:t>
            </w:r>
          </w:p>
        </w:tc>
        <w:tc>
          <w:tcPr>
            <w:tcW w:w="68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line="143" w:lineRule="exact"/>
              <w:rPr>
                <w:sz w:val="20"/>
                <w:szCs w:val="20"/>
                <w:color w:val="auto"/>
              </w:rPr>
            </w:pPr>
            <w:r>
              <w:rPr>
                <w:rFonts w:ascii="Times New Roman" w:cs="Times New Roman" w:eastAsia="Times New Roman" w:hAnsi="Times New Roman"/>
                <w:sz w:val="13"/>
                <w:szCs w:val="13"/>
                <w:color w:val="0000FF"/>
              </w:rPr>
              <w:t>6,000</w:t>
            </w:r>
          </w:p>
        </w:tc>
        <w:tc>
          <w:tcPr>
            <w:tcW w:w="280" w:type="dxa"/>
            <w:vAlign w:val="bottom"/>
          </w:tcPr>
          <w:p>
            <w:pPr>
              <w:spacing w:after="0"/>
              <w:rPr>
                <w:sz w:val="5"/>
                <w:szCs w:val="5"/>
                <w:color w:val="auto"/>
              </w:rPr>
            </w:pPr>
          </w:p>
        </w:tc>
        <w:tc>
          <w:tcPr>
            <w:tcW w:w="680" w:type="dxa"/>
            <w:vAlign w:val="bottom"/>
            <w:vMerge w:val="restart"/>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2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4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52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represented by restricted stock units. Each restricted stock unit represents a contingent right to receive one share of common stock of the Issuer. The shares shall vest in 4 equal annual installments with the first installment vesting on June 20, 2025, subject to the Reporting Person's continued service to the Issuer on each such vesting date.</w:t>
      </w:r>
    </w:p>
    <w:p>
      <w:pPr>
        <w:spacing w:after="0" w:line="16" w:lineRule="exact"/>
        <w:rPr>
          <w:rFonts w:ascii="Times New Roman" w:cs="Times New Roman" w:eastAsia="Times New Roman" w:hAnsi="Times New Roman"/>
          <w:sz w:val="13"/>
          <w:szCs w:val="13"/>
          <w:color w:val="008000"/>
        </w:rPr>
      </w:pPr>
    </w:p>
    <w:p>
      <w:pPr>
        <w:ind w:left="40" w:right="14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4,079 of these shares are subject to vesting and a repurchase right in favor of the Issuer. Such repurchase right will lapse on December 31, 2024 so long as the Reporting Person continues to provide service to the Issuer on such vesting date.</w:t>
      </w:r>
    </w:p>
    <w:p>
      <w:pPr>
        <w:spacing w:after="0" w:line="16" w:lineRule="exact"/>
        <w:rPr>
          <w:rFonts w:ascii="Times New Roman" w:cs="Times New Roman" w:eastAsia="Times New Roman" w:hAnsi="Times New Roman"/>
          <w:sz w:val="13"/>
          <w:szCs w:val="13"/>
          <w:color w:val="008000"/>
        </w:rPr>
      </w:pPr>
    </w:p>
    <w:p>
      <w:pPr>
        <w:ind w:left="40" w:right="26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by the Reicin-Boiarsky Family Trust (the "Trust"). The Reporting Person's spouse is a co-trustee of the Trust. Accordingly, the Reporting Person may be deemed to have shared voting and dispositive power over the securities held by the Trust. The Reporting Person disclaims beneficial ownership of the shares held by the Trust except to the extent of her pecuniary interest therein, and this report shall not be deemed an admission that the Reporting Person is the beneficial owner of these securities for purposes of Section 16 or for any other purpose.</w:t>
      </w:r>
    </w:p>
    <w:p>
      <w:pPr>
        <w:spacing w:after="0" w:line="26" w:lineRule="exact"/>
        <w:rPr>
          <w:rFonts w:ascii="Times New Roman" w:cs="Times New Roman" w:eastAsia="Times New Roman" w:hAnsi="Times New Roman"/>
          <w:sz w:val="13"/>
          <w:szCs w:val="13"/>
          <w:color w:val="008000"/>
        </w:rPr>
      </w:pPr>
    </w:p>
    <w:p>
      <w:pPr>
        <w:ind w:left="40" w:right="26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as to 25% of the shares on June 20, 2025 with the remainder vesting in the following 36 equal monthly installments, subject to the Reporting Person's continued service to the Issuer on each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Daniel Lochner, Attorney-</w:t>
            </w:r>
          </w:p>
        </w:tc>
        <w:tc>
          <w:tcPr>
            <w:tcW w:w="100" w:type="dxa"/>
            <w:vAlign w:val="bottom"/>
          </w:tcPr>
          <w:p>
            <w:pPr>
              <w:spacing w:after="0"/>
              <w:rPr>
                <w:sz w:val="17"/>
                <w:szCs w:val="17"/>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12/06/2024</w:t>
            </w:r>
          </w:p>
        </w:tc>
        <w:tc>
          <w:tcPr>
            <w:tcW w:w="0" w:type="dxa"/>
            <w:vAlign w:val="bottom"/>
          </w:tcPr>
          <w:p>
            <w:pPr>
              <w:spacing w:after="0"/>
              <w:rPr>
                <w:sz w:val="1"/>
                <w:szCs w:val="1"/>
                <w:color w:val="auto"/>
              </w:rPr>
            </w:pPr>
          </w:p>
        </w:tc>
      </w:tr>
      <w:tr>
        <w:trPr>
          <w:trHeight w:val="84"/>
        </w:trPr>
        <w:tc>
          <w:tcPr>
            <w:tcW w:w="48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62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80" w:type="dxa"/>
            <w:vAlign w:val="bottom"/>
            <w:tcBorders>
              <w:bottom w:val="single" w:sz="8" w:color="auto"/>
            </w:tcBorders>
            <w:vMerge w:val="continue"/>
          </w:tcPr>
          <w:p>
            <w:pPr>
              <w:spacing w:after="0"/>
              <w:rPr>
                <w:sz w:val="7"/>
                <w:szCs w:val="7"/>
                <w:color w:val="auto"/>
              </w:rPr>
            </w:pPr>
          </w:p>
        </w:tc>
        <w:tc>
          <w:tcPr>
            <w:tcW w:w="162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57533" TargetMode="External"/><Relationship Id="rId14"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2024-12-06T16:24:37Z</dcterms:created>
  <dcterms:modified xsi:type="dcterms:W3CDTF">2024-12-06T16:24:37Z</dcterms:modified>
</cp:coreProperties>
</file>