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May 13, 2019</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AVROBIO, INC.</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040"/>
          </w:cols>
          <w:pgMar w:left="440" w:top="225" w:right="419" w:bottom="1440" w:gutter="0" w:footer="0" w:header="0"/>
        </w:sectPr>
      </w:pPr>
    </w:p>
    <w:p>
      <w:pPr>
        <w:spacing w:after="0" w:line="232"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20" w:space="720"/>
            <w:col w:w="2860" w:space="720"/>
            <w:col w:w="2220"/>
          </w:cols>
          <w:pgMar w:left="440" w:top="225"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40"/>
          </w:cols>
          <w:pgMar w:left="440" w:top="225" w:right="419" w:bottom="1440" w:gutter="0" w:footer="0" w:header="0"/>
          <w:type w:val="continuous"/>
        </w:sectPr>
      </w:pP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ectPr>
          <w:pgSz w:w="11900" w:h="16838" w:orient="portrait"/>
          <w:cols w:equalWidth="0" w:num="1">
            <w:col w:w="11040"/>
          </w:cols>
          <w:pgMar w:left="440" w:top="225" w:right="419" w:bottom="1440" w:gutter="0" w:footer="0" w:header="0"/>
          <w:type w:val="continuous"/>
        </w:sectPr>
      </w:pPr>
    </w:p>
    <w:p>
      <w:pPr>
        <w:spacing w:after="0" w:line="378"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Name of each exchange on which</w:t>
            </w:r>
          </w:p>
        </w:tc>
      </w:tr>
      <w:tr>
        <w:trPr>
          <w:trHeight w:val="241"/>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3740" w:type="dxa"/>
            <w:vAlign w:val="bottom"/>
            <w:gridSpan w:val="3"/>
          </w:tcPr>
          <w:p>
            <w:pPr>
              <w:ind w:left="100"/>
              <w:spacing w:after="0"/>
              <w:rPr>
                <w:sz w:val="20"/>
                <w:szCs w:val="20"/>
                <w:color w:val="auto"/>
              </w:rPr>
            </w:pPr>
            <w:r>
              <w:rPr>
                <w:rFonts w:ascii="Arial" w:cs="Arial" w:eastAsia="Arial" w:hAnsi="Arial"/>
                <w:sz w:val="18"/>
                <w:szCs w:val="18"/>
                <w:b w:val="1"/>
                <w:bCs w:val="1"/>
                <w:color w:val="auto"/>
              </w:rPr>
              <w:t>Trading Symbol(s)</w:t>
            </w:r>
          </w:p>
        </w:tc>
        <w:tc>
          <w:tcPr>
            <w:tcW w:w="3540" w:type="dxa"/>
            <w:vAlign w:val="bottom"/>
          </w:tcPr>
          <w:p>
            <w:pPr>
              <w:spacing w:after="0"/>
              <w:rPr>
                <w:sz w:val="20"/>
                <w:szCs w:val="20"/>
                <w:color w:val="auto"/>
              </w:rPr>
            </w:pPr>
            <w:r>
              <w:rPr>
                <w:rFonts w:ascii="Arial" w:cs="Arial" w:eastAsia="Arial" w:hAnsi="Arial"/>
                <w:sz w:val="18"/>
                <w:szCs w:val="18"/>
                <w:b w:val="1"/>
                <w:bCs w:val="1"/>
                <w:color w:val="auto"/>
              </w:rPr>
              <w:t>registered</w:t>
            </w:r>
          </w:p>
        </w:tc>
      </w:tr>
      <w:tr>
        <w:trPr>
          <w:trHeight w:val="230"/>
        </w:trPr>
        <w:tc>
          <w:tcPr>
            <w:tcW w:w="20" w:type="dxa"/>
            <w:vAlign w:val="bottom"/>
          </w:tcPr>
          <w:p>
            <w:pPr>
              <w:spacing w:after="0"/>
              <w:rPr>
                <w:sz w:val="20"/>
                <w:szCs w:val="20"/>
                <w:color w:val="auto"/>
              </w:rPr>
            </w:pPr>
          </w:p>
        </w:tc>
        <w:tc>
          <w:tcPr>
            <w:tcW w:w="3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$0.0001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AVRO</w:t>
            </w:r>
          </w:p>
        </w:tc>
        <w:tc>
          <w:tcPr>
            <w:tcW w:w="100" w:type="dxa"/>
            <w:vAlign w:val="bottom"/>
          </w:tcPr>
          <w:p>
            <w:pPr>
              <w:spacing w:after="0"/>
              <w:rPr>
                <w:sz w:val="20"/>
                <w:szCs w:val="20"/>
                <w:color w:val="auto"/>
              </w:rPr>
            </w:pPr>
          </w:p>
        </w:tc>
        <w:tc>
          <w:tcPr>
            <w:tcW w:w="3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Nasdaq Global Select Market</w:t>
            </w:r>
          </w:p>
        </w:tc>
      </w:tr>
    </w:tbl>
    <w:p>
      <w:pPr>
        <w:sectPr>
          <w:pgSz w:w="11900" w:h="16838" w:orient="portrait"/>
          <w:cols w:equalWidth="0" w:num="1">
            <w:col w:w="11040"/>
          </w:cols>
          <w:pgMar w:left="440" w:top="225" w:right="41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On May 13, 2019, AVROBIO, Inc. (the “Company”) issued a press release containing information about the Company’s results of operations for the three months ended March 31, 2019. A copy of this press release is furnished as Exhibit 99.1 to this Current Report on Form 8-K.</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this Form 8-K (including Exhibit 99.1)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6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AVROBIO, Inc., dated May 13,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699770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480" w:type="dxa"/>
            <w:vAlign w:val="bottom"/>
            <w:gridSpan w:val="2"/>
          </w:tcPr>
          <w:p>
            <w:pPr>
              <w:ind w:left="2120"/>
              <w:spacing w:after="0"/>
              <w:rPr>
                <w:sz w:val="20"/>
                <w:szCs w:val="20"/>
                <w:color w:val="auto"/>
              </w:rPr>
            </w:pPr>
            <w:r>
              <w:rPr>
                <w:rFonts w:ascii="Arial" w:cs="Arial" w:eastAsia="Arial" w:hAnsi="Arial"/>
                <w:sz w:val="18"/>
                <w:szCs w:val="18"/>
                <w:color w:val="auto"/>
              </w:rPr>
              <w:t>AVROBIO,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May 13, 2019</w:t>
            </w:r>
          </w:p>
        </w:tc>
        <w:tc>
          <w:tcPr>
            <w:tcW w:w="7480" w:type="dxa"/>
            <w:vAlign w:val="bottom"/>
            <w:gridSpan w:val="2"/>
          </w:tcPr>
          <w:p>
            <w:pPr>
              <w:ind w:left="2120"/>
              <w:spacing w:after="0"/>
              <w:rPr>
                <w:sz w:val="20"/>
                <w:szCs w:val="20"/>
                <w:color w:val="auto"/>
              </w:rPr>
            </w:pPr>
            <w:r>
              <w:rPr>
                <w:rFonts w:ascii="Arial" w:cs="Arial" w:eastAsia="Arial" w:hAnsi="Arial"/>
                <w:sz w:val="18"/>
                <w:szCs w:val="18"/>
                <w:color w:val="auto"/>
              </w:rPr>
              <w:t>By:  /s/ Geoff MacKay</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Geoff MacKay</w:t>
            </w:r>
          </w:p>
        </w:tc>
      </w:tr>
      <w:tr>
        <w:trPr>
          <w:trHeight w:val="230"/>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2828290</wp:posOffset>
            </wp:positionH>
            <wp:positionV relativeFrom="paragraph">
              <wp:posOffset>172085</wp:posOffset>
            </wp:positionV>
            <wp:extent cx="1346200"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62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AVROBIO, Inc. Reports First Quarter 2019 Financial Results and Provides Business Update</w:t>
      </w:r>
    </w:p>
    <w:p>
      <w:pPr>
        <w:spacing w:after="0" w:line="219" w:lineRule="exact"/>
        <w:rPr>
          <w:sz w:val="20"/>
          <w:szCs w:val="20"/>
          <w:color w:val="auto"/>
        </w:rPr>
      </w:pPr>
    </w:p>
    <w:p>
      <w:pPr>
        <w:jc w:val="center"/>
        <w:ind w:left="460" w:right="40"/>
        <w:spacing w:after="0" w:line="277" w:lineRule="auto"/>
        <w:rPr>
          <w:sz w:val="20"/>
          <w:szCs w:val="20"/>
          <w:color w:val="auto"/>
        </w:rPr>
      </w:pPr>
      <w:r>
        <w:rPr>
          <w:rFonts w:ascii="Arial" w:cs="Arial" w:eastAsia="Arial" w:hAnsi="Arial"/>
          <w:sz w:val="18"/>
          <w:szCs w:val="18"/>
          <w:i w:val="1"/>
          <w:iCs w:val="1"/>
          <w:color w:val="auto"/>
        </w:rPr>
        <w:t>Regulatory clearances achieved that enable integration of the plato</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platform into Fabry FAB-201 and Gaucher GAU-201 clinical trials in the second half of 2019</w:t>
      </w:r>
    </w:p>
    <w:p>
      <w:pPr>
        <w:spacing w:after="0" w:line="170" w:lineRule="exact"/>
        <w:rPr>
          <w:sz w:val="20"/>
          <w:szCs w:val="20"/>
          <w:color w:val="auto"/>
        </w:rPr>
      </w:pPr>
    </w:p>
    <w:p>
      <w:pPr>
        <w:jc w:val="center"/>
        <w:ind w:left="460" w:right="240"/>
        <w:spacing w:after="0" w:line="277" w:lineRule="auto"/>
        <w:rPr>
          <w:sz w:val="20"/>
          <w:szCs w:val="20"/>
          <w:color w:val="auto"/>
        </w:rPr>
      </w:pPr>
      <w:r>
        <w:rPr>
          <w:rFonts w:ascii="Arial" w:cs="Arial" w:eastAsia="Arial" w:hAnsi="Arial"/>
          <w:sz w:val="18"/>
          <w:szCs w:val="18"/>
          <w:i w:val="1"/>
          <w:iCs w:val="1"/>
          <w:color w:val="auto"/>
        </w:rPr>
        <w:t>IND for AVR-RD-01 for the treatment of Fabry disease cleared by the FDA; AVROBIO plans to open U.S. clinical trial sites for its ongoing multi-country FAB-201 trial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Next interim Fabry clinical data update anticipated during summer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Investigator-sponsored cystinosis clinical trial on track to start in the second half of 2019</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CAMBRIDGE, Mass., May 13, 2019 – AVROBIO, Inc. (NASDAQ: AVRO) (the “Company”), a Phase 2 clinical-stage gene therapy company, today reported financial results for the first quarter ended March 31, 2019 and provided a business update.</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“2019 is off to a strong start as we advance our pipeline of gene therapies for lysosomal storage diseases on multiple fronts. We expect to exit this year with three gene therapy programs in clinical trials – for Fabry, Gaucher and cystinosis,” commented Geoff MacKay, President and Chief Executive Officer of AVROBIO. “Underpinning this progress is plato™, AVROBIO’s proprietary platform for developing, manufacturing, and commercializing our gene therapy programs globally, which we plan to utilize initially in our Company-sponsored clinical trials in Fabry and Gaucher. Our highest priority in early 2019 was to secure regulatory clearances that enable the use of plato in multiple trials in multiple countries, namely in Australia, Canada and the U.S. We believe that the plato platform, which is designed to enable the treatment of thousands of patients, if our gene therapies are approved, represents a significant advance toward commercial readiness.”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 and Program Milestones</w:t>
      </w:r>
    </w:p>
    <w:p>
      <w:pPr>
        <w:spacing w:after="0" w:line="131" w:lineRule="exact"/>
        <w:rPr>
          <w:sz w:val="20"/>
          <w:szCs w:val="20"/>
          <w:color w:val="auto"/>
        </w:rPr>
      </w:pPr>
    </w:p>
    <w:p>
      <w:pPr>
        <w:ind w:left="860" w:right="60" w:hanging="316"/>
        <w:spacing w:after="0" w:line="256"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AVROBIO’s plato platform</w:t>
      </w:r>
      <w:r>
        <w:rPr>
          <w:rFonts w:ascii="Arial" w:cs="Arial" w:eastAsia="Arial" w:hAnsi="Arial"/>
          <w:sz w:val="18"/>
          <w:szCs w:val="18"/>
          <w:color w:val="auto"/>
        </w:rPr>
        <w:t>: plato is the Company’s commercial-scale platform for anticipated future worldwide commercialization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pipeline expansion activities. Three important upgrades are expected to be incorporated in 2019 – a proprietary state-of-the-art four-plasmid vector system, automation of a closed cell manufacturing process and a conditioning regimen that utilizes therapeutic drug monitoring (TDM). The plato platform is designed to enhance the potential potency, safety, efficacy, and long-term durability of AVROBIO’s gene therapies, and may additionally provide the capability to address central nervous system manifestations that accompany many lysosomal storage diseases.</w:t>
      </w:r>
    </w:p>
    <w:p>
      <w:pPr>
        <w:sectPr>
          <w:pgSz w:w="11900" w:h="16838" w:orient="portrait"/>
          <w:cols w:equalWidth="0" w:num="1">
            <w:col w:w="11020"/>
          </w:cols>
          <w:pgMar w:left="440" w:top="121" w:right="439" w:bottom="1440" w:gutter="0" w:footer="0" w:header="0"/>
        </w:sectPr>
      </w:pPr>
    </w:p>
    <w:bookmarkStart w:id="4" w:name="page5"/>
    <w:bookmarkEnd w:id="4"/>
    <w:p>
      <w:pPr>
        <w:ind w:left="316" w:right="220" w:hanging="316"/>
        <w:spacing w:after="0" w:line="282" w:lineRule="auto"/>
        <w:tabs>
          <w:tab w:leader="none" w:pos="316"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Fabry disease: </w:t>
      </w:r>
      <w:r>
        <w:rPr>
          <w:rFonts w:ascii="Arial" w:cs="Arial" w:eastAsia="Arial" w:hAnsi="Arial"/>
          <w:sz w:val="18"/>
          <w:szCs w:val="18"/>
          <w:color w:val="auto"/>
        </w:rPr>
        <w:t>AVR-RD-01 is AVROBIO’s investigational gene therapy candidate for the treatment of Fabry disease. During the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w:t>
      </w:r>
    </w:p>
    <w:p>
      <w:pPr>
        <w:spacing w:after="0" w:line="71" w:lineRule="exact"/>
        <w:rPr>
          <w:rFonts w:ascii="Arial" w:cs="Arial" w:eastAsia="Arial" w:hAnsi="Arial"/>
          <w:sz w:val="18"/>
          <w:szCs w:val="18"/>
          <w:color w:val="auto"/>
        </w:rPr>
      </w:pPr>
    </w:p>
    <w:p>
      <w:pPr>
        <w:ind w:left="876" w:right="280" w:hanging="430"/>
        <w:spacing w:after="0" w:line="277" w:lineRule="auto"/>
        <w:tabs>
          <w:tab w:leader="none" w:pos="876"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Completed enrollment in the investigator-sponsored FACTs</w:t>
      </w:r>
      <w:r>
        <w:rPr>
          <w:rFonts w:ascii="Arial" w:cs="Arial" w:eastAsia="Arial" w:hAnsi="Arial"/>
          <w:sz w:val="15"/>
          <w:szCs w:val="15"/>
          <w:color w:val="auto"/>
        </w:rPr>
        <w:t>1</w:t>
      </w:r>
      <w:r>
        <w:rPr>
          <w:rFonts w:ascii="Arial" w:cs="Arial" w:eastAsia="Arial" w:hAnsi="Arial"/>
          <w:sz w:val="18"/>
          <w:szCs w:val="18"/>
          <w:color w:val="auto"/>
        </w:rPr>
        <w:t xml:space="preserve"> Phase 1 study, and continued recruitment in AVROBIO’s FAB-201</w:t>
      </w:r>
      <w:r>
        <w:rPr>
          <w:rFonts w:ascii="Arial" w:cs="Arial" w:eastAsia="Arial" w:hAnsi="Arial"/>
          <w:sz w:val="15"/>
          <w:szCs w:val="15"/>
          <w:color w:val="auto"/>
        </w:rPr>
        <w:t>2</w:t>
      </w:r>
      <w:r>
        <w:rPr>
          <w:rFonts w:ascii="Arial" w:cs="Arial" w:eastAsia="Arial" w:hAnsi="Arial"/>
          <w:sz w:val="18"/>
          <w:szCs w:val="18"/>
          <w:color w:val="auto"/>
        </w:rPr>
        <w:t xml:space="preserve"> Phase 2 trial. A total of seven patients have now been dosed across these two studies.</w:t>
      </w:r>
    </w:p>
    <w:p>
      <w:pPr>
        <w:spacing w:after="0" w:line="75" w:lineRule="exact"/>
        <w:rPr>
          <w:rFonts w:ascii="Arial" w:cs="Arial" w:eastAsia="Arial" w:hAnsi="Arial"/>
          <w:sz w:val="18"/>
          <w:szCs w:val="18"/>
          <w:color w:val="auto"/>
        </w:rPr>
      </w:pPr>
    </w:p>
    <w:p>
      <w:pPr>
        <w:ind w:left="876" w:right="280" w:hanging="430"/>
        <w:spacing w:after="0" w:line="286" w:lineRule="auto"/>
        <w:tabs>
          <w:tab w:leader="none" w:pos="876" w:val="left"/>
        </w:tabs>
        <w:numPr>
          <w:ilvl w:val="1"/>
          <w:numId w:val="3"/>
        </w:numPr>
        <w:rPr>
          <w:rFonts w:ascii="Arial" w:cs="Arial" w:eastAsia="Arial" w:hAnsi="Arial"/>
          <w:sz w:val="17"/>
          <w:szCs w:val="17"/>
          <w:color w:val="auto"/>
        </w:rPr>
      </w:pPr>
      <w:r>
        <w:rPr>
          <w:rFonts w:ascii="Arial" w:cs="Arial" w:eastAsia="Arial" w:hAnsi="Arial"/>
          <w:sz w:val="17"/>
          <w:szCs w:val="17"/>
          <w:color w:val="auto"/>
        </w:rPr>
        <w:t>Achieved U.S. Food and Drug Administration (FDA) clearance of AVROBIO’s Investigational New Drug (IND) application for AVR-RD-01. This allows AVROBIO to move forward on two key program initiatives anticipated for the second half of 2019: the incorporation of our plato platform into the FAB-201 Phase 2 trial and the opening of our first clinical site in the U.S.</w:t>
      </w:r>
    </w:p>
    <w:p>
      <w:pPr>
        <w:spacing w:after="0" w:line="70" w:lineRule="exact"/>
        <w:rPr>
          <w:rFonts w:ascii="Arial" w:cs="Arial" w:eastAsia="Arial" w:hAnsi="Arial"/>
          <w:sz w:val="17"/>
          <w:szCs w:val="17"/>
          <w:color w:val="auto"/>
        </w:rPr>
      </w:pPr>
    </w:p>
    <w:p>
      <w:pPr>
        <w:ind w:left="876" w:right="40" w:hanging="430"/>
        <w:spacing w:after="0" w:line="255" w:lineRule="auto"/>
        <w:tabs>
          <w:tab w:leader="none" w:pos="876" w:val="left"/>
        </w:tabs>
        <w:numPr>
          <w:ilvl w:val="1"/>
          <w:numId w:val="3"/>
        </w:numPr>
        <w:rPr>
          <w:rFonts w:ascii="Arial" w:cs="Arial" w:eastAsia="Arial" w:hAnsi="Arial"/>
          <w:sz w:val="18"/>
          <w:szCs w:val="18"/>
          <w:color w:val="auto"/>
        </w:rPr>
      </w:pPr>
      <w:r>
        <w:rPr>
          <w:rFonts w:ascii="Arial" w:cs="Arial" w:eastAsia="Arial" w:hAnsi="Arial"/>
          <w:sz w:val="18"/>
          <w:szCs w:val="18"/>
          <w:color w:val="auto"/>
        </w:rPr>
        <w:t>Presented clinical data in February 2019 that continued to support the potential of AVR-RD-01 as a gene therapy for Fabry disease. All patients reporting data exhibited elevated AGA enzyme activity, with the first patient in the Phase 1 study exhibiting elevated AGA enzyme activity at 22 months after being treated with AVR-RD-01. An impact of gene therapy on substrate and metabolite levels was observed both in patients who have discontinued enzyme replacement therapy (ERT) as well as in treatment-naïve patients. Lyso-Gb3 levels of the first patient in the Phase 1 study were lower at 22 months while on AVR-RD-01 alone than while on ERT alone. An 85 percent reduction in lyso-Gb3 activity was observed for the first patient in the Phase 2 clinical trial, who is ERT-naïve, at the six-month timepoint.</w:t>
      </w:r>
    </w:p>
    <w:p>
      <w:pPr>
        <w:spacing w:after="0" w:line="90" w:lineRule="exact"/>
        <w:rPr>
          <w:rFonts w:ascii="Arial" w:cs="Arial" w:eastAsia="Arial" w:hAnsi="Arial"/>
          <w:sz w:val="18"/>
          <w:szCs w:val="18"/>
          <w:color w:val="auto"/>
        </w:rPr>
      </w:pPr>
    </w:p>
    <w:p>
      <w:pPr>
        <w:jc w:val="both"/>
        <w:ind w:left="316" w:right="160" w:hanging="316"/>
        <w:spacing w:after="0" w:line="261" w:lineRule="auto"/>
        <w:tabs>
          <w:tab w:leader="none" w:pos="316"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Gaucher disease: </w:t>
      </w:r>
      <w:r>
        <w:rPr>
          <w:rFonts w:ascii="Arial" w:cs="Arial" w:eastAsia="Arial" w:hAnsi="Arial"/>
          <w:sz w:val="18"/>
          <w:szCs w:val="18"/>
          <w:color w:val="auto"/>
        </w:rPr>
        <w:t>AVR-RD-02 is AVROBIO’s investigational gene therapy candidate for the treatment of Gaucher disease.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clearance for its clinical trial application (CTA) utilizing the plato platform from Health Canada and plans to initiate its GAU-201 Phase 1/2 clinical trial in the second half of 2019. We expect the trial to enroll 8 to 16 patients with Type 1 Gaucher disease and to include both treatment-naïve patients as well as patients stable on ERT.</w:t>
      </w:r>
    </w:p>
    <w:p>
      <w:pPr>
        <w:spacing w:after="0" w:line="85" w:lineRule="exact"/>
        <w:rPr>
          <w:rFonts w:ascii="Arial" w:cs="Arial" w:eastAsia="Arial" w:hAnsi="Arial"/>
          <w:sz w:val="18"/>
          <w:szCs w:val="18"/>
          <w:color w:val="auto"/>
        </w:rPr>
      </w:pPr>
    </w:p>
    <w:p>
      <w:pPr>
        <w:ind w:left="316" w:right="20" w:hanging="316"/>
        <w:spacing w:after="0" w:line="261" w:lineRule="auto"/>
        <w:tabs>
          <w:tab w:leader="none" w:pos="316"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Cystinosis: </w:t>
      </w:r>
      <w:r>
        <w:rPr>
          <w:rFonts w:ascii="Arial" w:cs="Arial" w:eastAsia="Arial" w:hAnsi="Arial"/>
          <w:sz w:val="18"/>
          <w:szCs w:val="18"/>
          <w:color w:val="auto"/>
        </w:rPr>
        <w:t>AVR-RD-04 is AVROBIO’s investigational gene therapy candidate for the treatment of patients with cystinosis. The FDA</w:t>
      </w:r>
      <w:r>
        <w:rPr>
          <w:rFonts w:ascii="Arial" w:cs="Arial" w:eastAsia="Arial" w:hAnsi="Arial"/>
          <w:sz w:val="18"/>
          <w:szCs w:val="18"/>
          <w:b w:val="1"/>
          <w:bCs w:val="1"/>
          <w:color w:val="auto"/>
        </w:rPr>
        <w:t xml:space="preserve"> </w:t>
      </w:r>
      <w:r>
        <w:rPr>
          <w:rFonts w:ascii="Arial" w:cs="Arial" w:eastAsia="Arial" w:hAnsi="Arial"/>
          <w:sz w:val="18"/>
          <w:szCs w:val="18"/>
          <w:color w:val="auto"/>
        </w:rPr>
        <w:t>cleared the IND application for the investigator-sponsored Phase 1/2 clinical trial of AVR-RD-04. The trial, which is designed to enroll up to 6 patients who are currently being treated with cysteamine, will be conducted at the University of California, San Diego (UCSD) and is expected to start in the second half of 2019.</w:t>
      </w:r>
    </w:p>
    <w:p>
      <w:pPr>
        <w:spacing w:after="0" w:line="85" w:lineRule="exact"/>
        <w:rPr>
          <w:rFonts w:ascii="Arial" w:cs="Arial" w:eastAsia="Arial" w:hAnsi="Arial"/>
          <w:sz w:val="18"/>
          <w:szCs w:val="18"/>
          <w:color w:val="auto"/>
        </w:rPr>
      </w:pPr>
    </w:p>
    <w:p>
      <w:pPr>
        <w:ind w:left="316" w:right="340" w:hanging="316"/>
        <w:spacing w:after="0" w:line="347" w:lineRule="auto"/>
        <w:tabs>
          <w:tab w:leader="none" w:pos="316"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AVROBIO highlighted its manufacturing expertise and preclinical data at the 2019 ASGCT Annual Meeting. </w:t>
      </w:r>
      <w:r>
        <w:rPr>
          <w:rFonts w:ascii="Arial" w:cs="Arial" w:eastAsia="Arial" w:hAnsi="Arial"/>
          <w:sz w:val="16"/>
          <w:szCs w:val="16"/>
          <w:color w:val="auto"/>
        </w:rPr>
        <w:t>AVROBIO’s senior</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and academic collaborators made presentations at the American Society of Cell and Gene Therapy (ASGCT), including:</w:t>
      </w:r>
    </w:p>
    <w:p>
      <w:pPr>
        <w:spacing w:after="0" w:line="25" w:lineRule="exact"/>
        <w:rPr>
          <w:rFonts w:ascii="Arial" w:cs="Arial" w:eastAsia="Arial" w:hAnsi="Arial"/>
          <w:sz w:val="16"/>
          <w:szCs w:val="16"/>
          <w:color w:val="auto"/>
        </w:rPr>
      </w:pPr>
    </w:p>
    <w:p>
      <w:pPr>
        <w:ind w:left="876" w:right="320" w:hanging="430"/>
        <w:spacing w:after="0" w:line="277" w:lineRule="auto"/>
        <w:tabs>
          <w:tab w:leader="none" w:pos="876" w:val="left"/>
        </w:tabs>
        <w:numPr>
          <w:ilvl w:val="1"/>
          <w:numId w:val="3"/>
        </w:numPr>
        <w:rPr>
          <w:rFonts w:ascii="Arial" w:cs="Arial" w:eastAsia="Arial" w:hAnsi="Arial"/>
          <w:sz w:val="18"/>
          <w:szCs w:val="18"/>
          <w:color w:val="auto"/>
        </w:rPr>
      </w:pPr>
      <w:r>
        <w:rPr>
          <w:rFonts w:ascii="Arial" w:cs="Arial" w:eastAsia="Arial" w:hAnsi="Arial"/>
          <w:sz w:val="18"/>
          <w:szCs w:val="18"/>
          <w:color w:val="auto"/>
        </w:rPr>
        <w:t>Kim Warren, Ph.D., Head of Operations for AVROBIO, who presented on the potential of AVROBIO’s plato platform to address gene therapy manufacturing and commercialization challenges.</w:t>
      </w:r>
    </w:p>
    <w:p>
      <w:pPr>
        <w:spacing w:after="0" w:line="75" w:lineRule="exact"/>
        <w:rPr>
          <w:rFonts w:ascii="Arial" w:cs="Arial" w:eastAsia="Arial" w:hAnsi="Arial"/>
          <w:sz w:val="18"/>
          <w:szCs w:val="18"/>
          <w:color w:val="auto"/>
        </w:rPr>
      </w:pPr>
    </w:p>
    <w:p>
      <w:pPr>
        <w:ind w:left="876" w:right="60" w:hanging="430"/>
        <w:spacing w:after="0" w:line="277" w:lineRule="auto"/>
        <w:tabs>
          <w:tab w:leader="none" w:pos="876" w:val="left"/>
        </w:tabs>
        <w:numPr>
          <w:ilvl w:val="1"/>
          <w:numId w:val="3"/>
        </w:numPr>
        <w:rPr>
          <w:rFonts w:ascii="Arial" w:cs="Arial" w:eastAsia="Arial" w:hAnsi="Arial"/>
          <w:sz w:val="18"/>
          <w:szCs w:val="18"/>
          <w:color w:val="auto"/>
        </w:rPr>
      </w:pPr>
      <w:r>
        <w:rPr>
          <w:rFonts w:ascii="Arial" w:cs="Arial" w:eastAsia="Arial" w:hAnsi="Arial"/>
          <w:sz w:val="18"/>
          <w:szCs w:val="18"/>
          <w:color w:val="auto"/>
        </w:rPr>
        <w:t>Azadeh Golipour, Ph.D., AVROBIO’s Senior Director of Manufacturing Operations, who presented on advances in the development of plato’s automated gene modified cell production process, from concept to process verification.</w:t>
      </w:r>
    </w:p>
    <w:p>
      <w:pPr>
        <w:spacing w:after="0" w:line="75" w:lineRule="exact"/>
        <w:rPr>
          <w:rFonts w:ascii="Arial" w:cs="Arial" w:eastAsia="Arial" w:hAnsi="Arial"/>
          <w:sz w:val="18"/>
          <w:szCs w:val="18"/>
          <w:color w:val="auto"/>
        </w:rPr>
      </w:pPr>
    </w:p>
    <w:p>
      <w:pPr>
        <w:ind w:left="876" w:hanging="430"/>
        <w:spacing w:after="0" w:line="277" w:lineRule="auto"/>
        <w:tabs>
          <w:tab w:leader="none" w:pos="876" w:val="left"/>
        </w:tabs>
        <w:numPr>
          <w:ilvl w:val="1"/>
          <w:numId w:val="3"/>
        </w:numPr>
        <w:rPr>
          <w:rFonts w:ascii="Arial" w:cs="Arial" w:eastAsia="Arial" w:hAnsi="Arial"/>
          <w:sz w:val="18"/>
          <w:szCs w:val="18"/>
          <w:color w:val="auto"/>
        </w:rPr>
      </w:pPr>
      <w:r>
        <w:rPr>
          <w:rFonts w:ascii="Arial" w:cs="Arial" w:eastAsia="Arial" w:hAnsi="Arial"/>
          <w:sz w:val="18"/>
          <w:szCs w:val="18"/>
          <w:color w:val="auto"/>
        </w:rPr>
        <w:t>Stefan Karlsson, MD, Ph.D., Professor in the Division of Molecular Medicine and Gene Therapy at Lund University in Sweden, who presented preclinical data from the Company’s programs in Gaucher disease.</w:t>
      </w:r>
    </w:p>
    <w:p>
      <w:pPr>
        <w:spacing w:after="0" w:line="75" w:lineRule="exact"/>
        <w:rPr>
          <w:rFonts w:ascii="Arial" w:cs="Arial" w:eastAsia="Arial" w:hAnsi="Arial"/>
          <w:sz w:val="18"/>
          <w:szCs w:val="18"/>
          <w:color w:val="auto"/>
        </w:rPr>
      </w:pPr>
    </w:p>
    <w:p>
      <w:pPr>
        <w:ind w:left="876" w:hanging="430"/>
        <w:spacing w:after="0"/>
        <w:tabs>
          <w:tab w:leader="none" w:pos="876" w:val="left"/>
        </w:tabs>
        <w:numPr>
          <w:ilvl w:val="1"/>
          <w:numId w:val="3"/>
        </w:numPr>
        <w:rPr>
          <w:rFonts w:ascii="Arial" w:cs="Arial" w:eastAsia="Arial" w:hAnsi="Arial"/>
          <w:sz w:val="17"/>
          <w:szCs w:val="17"/>
          <w:color w:val="auto"/>
        </w:rPr>
      </w:pPr>
      <w:r>
        <w:rPr>
          <w:rFonts w:ascii="Arial" w:cs="Arial" w:eastAsia="Arial" w:hAnsi="Arial"/>
          <w:sz w:val="17"/>
          <w:szCs w:val="17"/>
          <w:color w:val="auto"/>
        </w:rPr>
        <w:t>Stephanie Cherqui, Ph.D. and her UCSD team members, who gave several oral presentations on preclinical cystinosis data.</w:t>
      </w:r>
    </w:p>
    <w:p>
      <w:pPr>
        <w:sectPr>
          <w:pgSz w:w="11900" w:h="16838" w:orient="portrait"/>
          <w:cols w:equalWidth="0" w:num="1">
            <w:col w:w="10476"/>
          </w:cols>
          <w:pgMar w:left="984" w:top="270"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Quarter 2019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AVROBIO reported a net loss of $17.1 million for the first quarter of 2019 as compared to a net loss of $8.2 million for the comparable period in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due to increased research and development expenses, as well as increased general and administrative expenses.</w:t>
      </w:r>
    </w:p>
    <w:p>
      <w:pPr>
        <w:spacing w:after="0" w:line="21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Research and development expenses were $12.4 million for the first quarter of 2019 as compared to $5.6 million for the comparable period in 2018. This increase was driven by increased preclinical, clinical development and manufacturing activities related to the advancement of the Company’s pipeline, as well as increased personnel-related costs including non-cash stock-based compensation expense resulting from an increase in employee headcount.</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 and administrative expenses were $5.3 million for the first quarter of 2019 as compared to $2.1 million for the comparable period in 2018. This increase was primarily due to an increase in employee headcount, legal, consulting and professional fees related to the support of ongoing business operations as a publicly traded company, as well as the impact of non-cash stock-based compensation.</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As of March 31, 2019, AVROBIO had $108.5 million in cash and cash equivalents, as compared to $126.3 million in cash and cash equivalents as of December 31, 2018. Based on the Company’s current operating plan, AVROBIO expects its cash and cash equivalents as of March 31, 2019 will enable the Company to fund its operating expenses and capital expenditure requirements into the second half of 2020.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AVROBIO, Inc.</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AVROBIO, Inc., is a Phase 2 clinical-stage gene therapy company. AVROBIO is focused on the development of its gene therapy candidate, AVR-RD-01, in Fabry disease, as well as additional gene therapy programs in other lysosomal storage disorders including Gaucher disease, cystinosis and Pompe disease. The Company’s plato</w:t>
      </w:r>
      <w:r>
        <w:rPr>
          <w:rFonts w:ascii="Arial" w:cs="Arial" w:eastAsia="Arial" w:hAnsi="Arial"/>
          <w:sz w:val="15"/>
          <w:szCs w:val="15"/>
          <w:color w:val="auto"/>
        </w:rPr>
        <w:t>™</w:t>
      </w:r>
      <w:r>
        <w:rPr>
          <w:rFonts w:ascii="Arial" w:cs="Arial" w:eastAsia="Arial" w:hAnsi="Arial"/>
          <w:sz w:val="18"/>
          <w:szCs w:val="18"/>
          <w:color w:val="auto"/>
        </w:rPr>
        <w:t xml:space="preserve"> platform includes a proprietary vector system, automated cell manufacturing solution and refined conditioning regimen with therapeutic drug monitoring. AVROBIO is headquartered in Cambridge, MA and has offices in Toronto, ON. For additional information, visit www.avrobio.com.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contains forward-looking statements, including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These forward-looking statements include, without limitation, statements regarding our business strategy, prospective products and goals, the therapeutic potential of our product candidates, anticipated benefits of our gene therapy platform including potential impact on our commercialization and pipeline expansion activities, the design, commencement, enrollment and timing of ongoing or planned clinical trials, clinical trial results, product approvals and regulatory pathways, potential regulatory approvals and the timing thereof, timing and likelihood of success, plans and objectives of management for future operations, future results of anticipated products, and the market opportunity for our product candidates, and statements regarding the Company’s financial and cash position and expected cash runway. Any such statements in this press release that are not statements of historical fact may be deemed to be forward-looking statements. Results in preclinical or early stage clinical trials may not be indicative of results from later stage or larger scale clinical trials and do not ensure regulatory approval. You should not place undue reliance on these statements, or the scientific data presented.</w:t>
      </w:r>
    </w:p>
    <w:p>
      <w:pPr>
        <w:sectPr>
          <w:pgSz w:w="11900" w:h="16838" w:orient="portrait"/>
          <w:cols w:equalWidth="0" w:num="1">
            <w:col w:w="11020"/>
          </w:cols>
          <w:pgMar w:left="440" w:top="270" w:right="439" w:bottom="1440" w:gutter="0" w:footer="0" w:header="0"/>
        </w:sectPr>
      </w:pPr>
    </w:p>
    <w:bookmarkStart w:id="6" w:name="page7"/>
    <w:bookmarkEnd w:id="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forward-looking statements in this press release are based on AVROBIO’s current expectations, estimates and projections about our industry as well as management’s current beliefs and expectations of future events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realize the intended benefits of our gene therapy platform, including the features of our plato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Annual Report on Form 10-K for the fiscal year ended December 31, 2018,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694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8" w:lineRule="exact"/>
        <w:rPr>
          <w:sz w:val="20"/>
          <w:szCs w:val="20"/>
          <w:color w:val="auto"/>
        </w:rPr>
      </w:pPr>
    </w:p>
    <w:p>
      <w:pPr>
        <w:ind w:left="440" w:hanging="436"/>
        <w:spacing w:after="0"/>
        <w:tabs>
          <w:tab w:leader="none" w:pos="440" w:val="left"/>
        </w:tabs>
        <w:numPr>
          <w:ilvl w:val="0"/>
          <w:numId w:val="4"/>
        </w:numPr>
        <w:rPr>
          <w:rFonts w:ascii="Arial" w:cs="Arial" w:eastAsia="Arial" w:hAnsi="Arial"/>
          <w:sz w:val="15"/>
          <w:szCs w:val="15"/>
          <w:color w:val="auto"/>
        </w:rPr>
      </w:pPr>
      <w:r>
        <w:rPr>
          <w:rFonts w:ascii="Arial" w:cs="Arial" w:eastAsia="Arial" w:hAnsi="Arial"/>
          <w:sz w:val="18"/>
          <w:szCs w:val="18"/>
          <w:color w:val="auto"/>
        </w:rPr>
        <w:t>FACTs = Fabry disease Clinical research and Therapeutics in Canada</w:t>
      </w:r>
    </w:p>
    <w:p>
      <w:pPr>
        <w:spacing w:after="0" w:line="22" w:lineRule="exact"/>
        <w:rPr>
          <w:sz w:val="20"/>
          <w:szCs w:val="20"/>
          <w:color w:val="auto"/>
        </w:rPr>
      </w:pPr>
    </w:p>
    <w:p>
      <w:pPr>
        <w:ind w:left="440" w:right="360" w:hanging="436"/>
        <w:spacing w:after="0" w:line="256" w:lineRule="auto"/>
        <w:tabs>
          <w:tab w:leader="none" w:pos="44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official name of the ‘FAB-201 Study’ is AVRO-RD-01-201, which is a Phase 2 trial of AVROBIO’s investigational gene therapy, AVR-RD-01, in Fabry disease. FAB-201 is designed to evaluate the safety and efficacy of AVR-RD-01 in 8 to 12 treatment- naïve male Fabry patients.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chris.brinzey@westwicke.com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Kathryn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Yates Network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914-204-6412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kathryn@theyatesnetwork.com</w:t>
      </w:r>
    </w:p>
    <w:p>
      <w:pPr>
        <w:sectPr>
          <w:pgSz w:w="11900" w:h="16838" w:orient="portrait"/>
          <w:cols w:equalWidth="0" w:num="1">
            <w:col w:w="11020"/>
          </w:cols>
          <w:pgMar w:left="440" w:top="274"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w w:val="96"/>
              </w:rPr>
              <w:t>March 31,</w:t>
            </w:r>
          </w:p>
        </w:tc>
        <w:tc>
          <w:tcPr>
            <w:tcW w:w="1320" w:type="dxa"/>
            <w:vAlign w:val="bottom"/>
            <w:gridSpan w:val="4"/>
          </w:tcPr>
          <w:p>
            <w:pPr>
              <w:ind w:left="46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2019</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2018</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108,476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126,302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5,203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assets</w:t>
            </w:r>
          </w:p>
        </w:tc>
        <w:tc>
          <w:tcPr>
            <w:tcW w:w="1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117,368</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133,479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Accounts payable</w:t>
            </w: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3,458</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1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106,788</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122,184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117,368</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133,479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70" w:right="1440" w:bottom="1440" w:gutter="0" w:footer="0" w:header="0"/>
        </w:sectPr>
      </w:pPr>
    </w:p>
    <w:bookmarkStart w:id="8" w:name="page9"/>
    <w:bookmarkEnd w:id="8"/>
    <w:p>
      <w:pPr>
        <w:jc w:val="center"/>
        <w:ind w:left="320" w:right="319"/>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STATEMENTS OF OPERATIONS (In thousands, except share and per share data) (Unaudited)</w:t>
      </w: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6"/>
          </w:tcPr>
          <w:p>
            <w:pPr>
              <w:jc w:val="right"/>
              <w:ind w:right="36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12,446</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17,700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Total other income (expense), net</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(17,103)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w w:val="98"/>
              </w:rPr>
              <w:t>Reconciliation of net loss to net loss attributed to common stockholders:</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(17,103)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Accretion of issuance costs on convertible preferred stock</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 – basic and diluted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(17,103)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w w:val="94"/>
              </w:rPr>
              <w:t>Net loss per share attributable to common stockholders – basic and diluted</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Weighted-average number of common shares used in computing net loss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share attributable to common stockholders – basic and diluted</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23,893,696</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2,324,790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2019-12-28T12:12:36Z</dcterms:created>
  <dcterms:modified xsi:type="dcterms:W3CDTF">2019-12-28T12:12:36Z</dcterms:modified>
</cp:coreProperties>
</file>