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November 4, 2021, AVROBIO, Inc. (the “Company”) issued a press release containing information about the Company’s results of operations for the three and nine months ended September 30, 2021. A copy of this press release is furnished as Exhibit 99.1 to this Current Report on Form 8-K.</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November 4, 2021.</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Reports Third Quarter 2021 Financial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Business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Provided comprehensive safety update on AVROBIO’s lentiviral gene therapy platform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programs at ESGCT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Received FDA feedback on CMC requirements for anticipated Fabry disease registration trial;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registration study initiation anticipated for mid-2022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Cash runway extended into fourth quarter of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Secured up to $65 million in availability of non-dilutive term loan financing</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CAMBRIDGE, Mass., Nov. 4, 2021 — </w:t>
      </w:r>
      <w:r>
        <w:rPr>
          <w:rFonts w:ascii="Arial" w:cs="Arial" w:eastAsia="Arial" w:hAnsi="Arial"/>
          <w:sz w:val="17"/>
          <w:szCs w:val="17"/>
          <w:u w:val="single" w:color="auto"/>
          <w:color w:val="auto"/>
        </w:rPr>
        <w:t>AVROBIO, Inc</w:t>
      </w:r>
      <w:r>
        <w:rPr>
          <w:rFonts w:ascii="Arial" w:cs="Arial" w:eastAsia="Arial" w:hAnsi="Arial"/>
          <w:sz w:val="17"/>
          <w:szCs w:val="17"/>
          <w:color w:val="auto"/>
        </w:rPr>
        <w:t>. (Nasdaq: AVRO), a leading clinical-stage gene therapy company with a mission to free people from a lifetime of genetic disease, today reported financial results for the quarter ended Sept. 30, 2021, and provided a business update.</w:t>
      </w:r>
    </w:p>
    <w:p>
      <w:pPr>
        <w:spacing w:after="0" w:line="14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believe the data update provided at the 2021 European Society of Gene &amp; Cell Therapy (ESGCT) Virtual Congress in October continues to strengthen the risk/benefit profile of our first-in-class lentiviral gene therapy platform,” said Geoff MacKay, president and CEO of AVROBIO. “The safety data to date, combined with the efficacy and durability data previously announced, continue to support the potential of our one-time gene therapies to transform the lives of patients living with life-limiting lysosomal disorders.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we recently received feedback from the U.S. Food and Drug Administration (FDA) on chemistry, manufacturing and controls (CMC) requirements for the Fabry disease registrational trial and are planning to successfully meet regulatory requirements prior to the planned initiation of the registration trial in mid-2022,” adds MacKay. “Activities across the pipeline remain robust. With approximately two years of cash runway, and multiple data and regulatory updates as well as several trial initiations expected over the next 12 months, we head into 2022 with strong business momentum and in a solid financial position.”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 and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Received feedback from FDA in September 2021 on CMC requirements for Fabry disease registration trial:</w:t>
      </w:r>
    </w:p>
    <w:p>
      <w:pPr>
        <w:spacing w:after="0" w:line="131"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Subsequent meeting to discuss trial design and confirm updated CMC plans expected to be held in first quarter of 2022.</w:t>
      </w:r>
    </w:p>
    <w:p>
      <w:pPr>
        <w:sectPr>
          <w:pgSz w:w="11900" w:h="16838" w:orient="portrait"/>
          <w:cols w:equalWidth="0" w:num="1">
            <w:col w:w="11020"/>
          </w:cols>
          <w:pgMar w:left="440" w:top="121" w:right="439" w:bottom="1440" w:gutter="0" w:footer="0" w:header="0"/>
        </w:sectPr>
      </w:pPr>
    </w:p>
    <w:bookmarkStart w:id="4" w:name="page5"/>
    <w:bookmarkEnd w:id="4"/>
    <w:p>
      <w:pPr>
        <w:ind w:left="420" w:right="14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aiming to initiate a registration trial in mid-2022, subject to implementing certain modifications to its CMC plans and feedback from its planned meeting with FDA to discuss trial design.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 comprehensive safety update on AVROBIO’s Fabry disease and Gaucher disease programs at ESGCT:</w:t>
      </w:r>
    </w:p>
    <w:p>
      <w:pPr>
        <w:spacing w:after="0" w:line="131" w:lineRule="exact"/>
        <w:rPr>
          <w:sz w:val="20"/>
          <w:szCs w:val="20"/>
          <w:color w:val="auto"/>
        </w:rPr>
      </w:pPr>
    </w:p>
    <w:p>
      <w:pPr>
        <w:ind w:left="420" w:hanging="316"/>
        <w:spacing w:after="0" w:line="25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Safety data from the eight adult patients dosed in the Phase 2 FAB-GT trial (N=8) and five adult patients dosed in the Phase 1 trial (N=5) of AVR-RD-01 show no adverse events (AEs) or serious adverse events (SAEs) related to drug product. The AEs and SAEs experienced by trial participants to date in the two trials have been generally consistent with myeloablative conditioning, protocol-mandated drugs, underlying disease or pre-existing conditions.</w:t>
      </w:r>
    </w:p>
    <w:p>
      <w:pPr>
        <w:spacing w:after="0" w:line="92" w:lineRule="exact"/>
        <w:rPr>
          <w:rFonts w:ascii="Arial" w:cs="Arial" w:eastAsia="Arial" w:hAnsi="Arial"/>
          <w:sz w:val="18"/>
          <w:szCs w:val="18"/>
          <w:color w:val="auto"/>
        </w:rPr>
      </w:pPr>
    </w:p>
    <w:p>
      <w:pPr>
        <w:ind w:left="420" w:right="160" w:hanging="316"/>
        <w:spacing w:after="0" w:line="25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safety data from the first patient dosed in the Phase 1/2 Guard1 trial of AVR-RD-02 show no AEs or SAEs related to drug product at more than 14 months post-treatment. Reported AEs for this patient, who was treated with investigational AVR-RD-02 incorporating key elements of AVROBIO’s proprietary plato</w:t>
      </w:r>
      <w:r>
        <w:rPr>
          <w:rFonts w:ascii="Arial" w:cs="Arial" w:eastAsia="Arial" w:hAnsi="Arial"/>
          <w:sz w:val="15"/>
          <w:szCs w:val="15"/>
          <w:color w:val="auto"/>
        </w:rPr>
        <w:t>®</w:t>
      </w:r>
      <w:r>
        <w:rPr>
          <w:rFonts w:ascii="Arial" w:cs="Arial" w:eastAsia="Arial" w:hAnsi="Arial"/>
          <w:sz w:val="18"/>
          <w:szCs w:val="18"/>
          <w:color w:val="auto"/>
        </w:rPr>
        <w:t xml:space="preserve"> gene therapy platform, have been consistent with myeloablative conditioning, protocol-mandated drugs, underlying disease and pre-existing conditions.</w:t>
      </w:r>
    </w:p>
    <w:p>
      <w:pPr>
        <w:spacing w:after="0" w:line="92" w:lineRule="exact"/>
        <w:rPr>
          <w:rFonts w:ascii="Arial" w:cs="Arial" w:eastAsia="Arial" w:hAnsi="Arial"/>
          <w:sz w:val="18"/>
          <w:szCs w:val="18"/>
          <w:color w:val="auto"/>
        </w:rPr>
      </w:pPr>
    </w:p>
    <w:p>
      <w:pPr>
        <w:ind w:left="420" w:right="18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Unveiled new industry-leading techniques designed to better clarify the safety profile of investigational gene therapies at the cellular level. The company has seen no evidence of persistent dominant clonal expansions across all patients studied.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See the full safety data update </w:t>
      </w:r>
      <w:hyperlink r:id="rId21">
        <w:r>
          <w:rPr>
            <w:rFonts w:ascii="Arial" w:cs="Arial" w:eastAsia="Arial" w:hAnsi="Arial"/>
            <w:sz w:val="18"/>
            <w:szCs w:val="18"/>
            <w:u w:val="single" w:color="auto"/>
            <w:color w:val="0000EE"/>
          </w:rPr>
          <w:t>here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auto"/>
        </w:rPr>
        <w:t>Received Rare Pediatric Disease Designation from FDA for AVR-RD-05, a gene therapy for Mucopolysaccharidosis Type II (MPSII) or Hunter syndrome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Multiple program milestones anticipated over the next 12 months:</w:t>
      </w:r>
    </w:p>
    <w:p>
      <w:pPr>
        <w:spacing w:after="0" w:line="131" w:lineRule="exact"/>
        <w:rPr>
          <w:sz w:val="20"/>
          <w:szCs w:val="20"/>
          <w:color w:val="auto"/>
        </w:rPr>
      </w:pPr>
    </w:p>
    <w:p>
      <w:pPr>
        <w:ind w:left="420" w:right="28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AVR-RD-01 in Fabry disease: </w:t>
      </w:r>
      <w:r>
        <w:rPr>
          <w:rFonts w:ascii="Arial" w:cs="Arial" w:eastAsia="Arial" w:hAnsi="Arial"/>
          <w:sz w:val="18"/>
          <w:szCs w:val="18"/>
          <w:color w:val="auto"/>
        </w:rPr>
        <w:t>Company remains on track to provide an efficacy data update for both the Phase 1 and Phase 2 trials at the 18</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Annual WORLD</w:t>
      </w:r>
      <w:r>
        <w:rPr>
          <w:rFonts w:ascii="Arial" w:cs="Arial" w:eastAsia="Arial" w:hAnsi="Arial"/>
          <w:sz w:val="18"/>
          <w:szCs w:val="18"/>
          <w:i w:val="1"/>
          <w:iCs w:val="1"/>
          <w:color w:val="auto"/>
        </w:rPr>
        <w:t>Symposium</w:t>
      </w:r>
      <w:r>
        <w:rPr>
          <w:rFonts w:ascii="Arial" w:cs="Arial" w:eastAsia="Arial" w:hAnsi="Arial"/>
          <w:sz w:val="18"/>
          <w:szCs w:val="18"/>
          <w:color w:val="auto"/>
        </w:rPr>
        <w:t xml:space="preserve"> in February 2022.</w:t>
      </w:r>
    </w:p>
    <w:p>
      <w:pPr>
        <w:spacing w:after="0" w:line="75" w:lineRule="exact"/>
        <w:rPr>
          <w:rFonts w:ascii="Arial" w:cs="Arial" w:eastAsia="Arial" w:hAnsi="Arial"/>
          <w:sz w:val="18"/>
          <w:szCs w:val="18"/>
          <w:color w:val="auto"/>
        </w:rPr>
      </w:pPr>
    </w:p>
    <w:p>
      <w:pPr>
        <w:ind w:left="420" w:right="320" w:hanging="316"/>
        <w:spacing w:after="0" w:line="263"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AVR-RD-04 in cystinosis: </w:t>
      </w:r>
      <w:r>
        <w:rPr>
          <w:rFonts w:ascii="Arial" w:cs="Arial" w:eastAsia="Arial" w:hAnsi="Arial"/>
          <w:sz w:val="18"/>
          <w:szCs w:val="18"/>
          <w:color w:val="auto"/>
        </w:rPr>
        <w:t>All three patients dosed to date continue to remain off oral cysteamine. The company remains on track to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and regulatory update in the first quarter of 2022 and plans to initiate a company-sponsored clinical trial in the second half of 2022, subject to regulatory clearance.</w:t>
      </w:r>
    </w:p>
    <w:p>
      <w:pPr>
        <w:spacing w:after="0" w:line="89" w:lineRule="exact"/>
        <w:rPr>
          <w:rFonts w:ascii="Arial" w:cs="Arial" w:eastAsia="Arial" w:hAnsi="Arial"/>
          <w:sz w:val="18"/>
          <w:szCs w:val="18"/>
          <w:color w:val="auto"/>
        </w:rPr>
      </w:pPr>
    </w:p>
    <w:p>
      <w:pPr>
        <w:ind w:left="420" w:right="36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AVR-RD-02 in Gaucher disease type 1: </w:t>
      </w:r>
      <w:r>
        <w:rPr>
          <w:rFonts w:ascii="Arial" w:cs="Arial" w:eastAsia="Arial" w:hAnsi="Arial"/>
          <w:sz w:val="18"/>
          <w:szCs w:val="18"/>
          <w:color w:val="auto"/>
        </w:rPr>
        <w:t>AVROBIO continues to enroll patients in its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Phase 1/2 Guard1 trial</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second patient dosed.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plans to provide a full program update in the first half of 2022.</w:t>
      </w:r>
    </w:p>
    <w:p>
      <w:pPr>
        <w:sectPr>
          <w:pgSz w:w="11900" w:h="16838" w:orient="portrait"/>
          <w:cols w:equalWidth="0" w:num="1">
            <w:col w:w="10920"/>
          </w:cols>
          <w:pgMar w:left="440" w:top="274" w:right="539" w:bottom="1440" w:gutter="0" w:footer="0" w:header="0"/>
        </w:sectPr>
      </w:pPr>
    </w:p>
    <w:bookmarkStart w:id="5" w:name="page6"/>
    <w:bookmarkEnd w:id="5"/>
    <w:p>
      <w:pPr>
        <w:ind w:left="420" w:right="60" w:hanging="316"/>
        <w:spacing w:after="0" w:line="263"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AVR-RD-06 in Gaucher disease type 3: </w:t>
      </w:r>
      <w:r>
        <w:rPr>
          <w:rFonts w:ascii="Arial" w:cs="Arial" w:eastAsia="Arial" w:hAnsi="Arial"/>
          <w:sz w:val="18"/>
          <w:szCs w:val="18"/>
          <w:color w:val="auto"/>
        </w:rPr>
        <w:t>The company plans to engage regulatory agencies to discuss the clinical development and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 and expects to initiate a clinical trial, which potentially could serve as a registration trial, of AVR-RD-06 in patients with Gaucher disease type 3 in the second half of 2022, subject to regulatory clearance.</w:t>
      </w:r>
    </w:p>
    <w:p>
      <w:pPr>
        <w:spacing w:after="0" w:line="89" w:lineRule="exact"/>
        <w:rPr>
          <w:rFonts w:ascii="Arial" w:cs="Arial" w:eastAsia="Arial" w:hAnsi="Arial"/>
          <w:sz w:val="18"/>
          <w:szCs w:val="18"/>
          <w:color w:val="auto"/>
        </w:rPr>
      </w:pPr>
    </w:p>
    <w:p>
      <w:pPr>
        <w:ind w:left="420" w:right="540" w:hanging="316"/>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AVROBIO remains on track with its plans to initiate a company-sponsored Phase 1/2 clinical trial of AVR-RD-03 in Pompe in 2022 and an investigator-sponsored Phase 1/2 clinical trial of AVR-RD-05 in Hunter syndrome in the second half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 to $65 million in availability of non-dilutive financing secured with Silicon Valley Bank</w:t>
      </w:r>
    </w:p>
    <w:p>
      <w:pPr>
        <w:spacing w:after="0" w:line="131" w:lineRule="exact"/>
        <w:rPr>
          <w:sz w:val="20"/>
          <w:szCs w:val="20"/>
          <w:color w:val="auto"/>
        </w:rPr>
      </w:pPr>
    </w:p>
    <w:p>
      <w:pPr>
        <w:ind w:left="420" w:right="420" w:hanging="316"/>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entered into a loan and security agreement on Nov. 2, 2021, with Silicon Valley Bank (SVB) that provides up to $65 million of borrowing capacity.</w:t>
      </w:r>
    </w:p>
    <w:p>
      <w:pPr>
        <w:spacing w:after="0" w:line="75" w:lineRule="exact"/>
        <w:rPr>
          <w:rFonts w:ascii="Arial" w:cs="Arial" w:eastAsia="Arial" w:hAnsi="Arial"/>
          <w:sz w:val="18"/>
          <w:szCs w:val="18"/>
          <w:color w:val="auto"/>
        </w:rPr>
      </w:pPr>
    </w:p>
    <w:p>
      <w:pPr>
        <w:ind w:left="420" w:right="20" w:hanging="316"/>
        <w:spacing w:after="0" w:line="342"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the terms of the agreement, $30 million is available at closing of which the company has drawn $15 million. The company has the option to draw down the remaining tranches, subject to certain conditions including the achievement of certain clinical and regulatory milestones.</w:t>
      </w:r>
    </w:p>
    <w:p>
      <w:pPr>
        <w:spacing w:after="0" w:line="29" w:lineRule="exact"/>
        <w:rPr>
          <w:rFonts w:ascii="Arial" w:cs="Arial" w:eastAsia="Arial" w:hAnsi="Arial"/>
          <w:sz w:val="16"/>
          <w:szCs w:val="16"/>
          <w:color w:val="auto"/>
        </w:rPr>
      </w:pPr>
    </w:p>
    <w:p>
      <w:pPr>
        <w:ind w:left="420" w:hanging="31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is the greater of 8.1% or the Prime Rate plus 4.85%.</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no financial covenants and no warrants associated with the term loan.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 xml:space="preserve">Appointed Essra Ridha, M.D., to chief medical officer, bringing wide-ranging expertise in early- and late-stage clinical development of </w:t>
      </w:r>
      <w:r>
        <w:rPr>
          <w:rFonts w:ascii="Arial" w:cs="Arial" w:eastAsia="Arial" w:hAnsi="Arial"/>
          <w:sz w:val="18"/>
          <w:szCs w:val="18"/>
          <w:i w:val="1"/>
          <w:iCs w:val="1"/>
          <w:u w:val="single" w:color="auto"/>
          <w:color w:val="auto"/>
        </w:rPr>
        <w:t>ex vivo</w:t>
      </w:r>
      <w:r>
        <w:rPr>
          <w:rFonts w:ascii="Arial" w:cs="Arial" w:eastAsia="Arial" w:hAnsi="Arial"/>
          <w:sz w:val="18"/>
          <w:szCs w:val="18"/>
          <w:u w:val="single" w:color="auto"/>
          <w:color w:val="auto"/>
        </w:rPr>
        <w:t xml:space="preserve"> lentiviral gene therapies, in October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AVROBIO reported a net loss of $32.6 million for the third quarter of 2021 as compared to a net loss of $36.8 million for the comparable period in 2020. This decrease in net loss was driven by decreased research and development expenses, partially offset by increased general and administrative expenses.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Research and development expenses were $23.0 million for the third quarter of 2021 as compared to $28.5 million for the comparable period in 2020. This decrease was driven by an $8.0 million upfront license fee we paid for our Hunter program during the third quarter of 2020, offset by increased program development activities related to the advancement of the company’s pipeline.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$9.6 million for the third quarter of 2021 as compared to $8.2 million for the comparable period in 2020. This increase was primarily due to an increase in employee headcount, which includes the impact of non-cash stock-based compensation, which was offset by a decrease in facilities costs, professional fees and legal fees.</w:t>
      </w:r>
    </w:p>
    <w:p>
      <w:pPr>
        <w:sectPr>
          <w:pgSz w:w="11900" w:h="16838" w:orient="portrait"/>
          <w:cols w:equalWidth="0" w:num="1">
            <w:col w:w="11000"/>
          </w:cols>
          <w:pgMar w:left="440" w:top="274" w:right="459" w:bottom="1440" w:gutter="0" w:footer="0" w:header="0"/>
        </w:sectPr>
      </w:pPr>
    </w:p>
    <w:bookmarkStart w:id="6" w:name="page7"/>
    <w:bookmarkEnd w:id="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September 30, 2021, AVROBIO had $201.4 million in cash and cash equivalents, as compared to $259.7 million in cash and cash equivalents as of Dec. 31, 2020. Based on the company’s current operating plan, AVROBIO expects its cash and cash equivalents as of September 30, 2021, together with $15 million drawn at close from the term loan announced today, will enable the company to fund its operating expenses and capital expenditure requirements into the fourth quarter of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vision is to bring personalized gene therapy to the world. We aim to prevent, halt or reverse disease throughout the body with a single dose of gene therapy designed to drive durable expression of therapeutic protein, even in hard-to-reach tissues and organs including brain, muscle and bone. Our ex vivo lentiviral gene therapy pipeline includes clinical programs in Fabry disease, Gaucher disease type 1 and cystinosis as well as preclinical programs in Hunter syndrome, Gaucher disease type 3 and Pompe disease. AVROBIO is powered by our industry-leading plato</w:t>
      </w:r>
      <w:r>
        <w:rPr>
          <w:rFonts w:ascii="Arial" w:cs="Arial" w:eastAsia="Arial" w:hAnsi="Arial"/>
          <w:sz w:val="14"/>
          <w:szCs w:val="14"/>
          <w:color w:val="auto"/>
        </w:rPr>
        <w:t>®</w:t>
      </w:r>
      <w:r>
        <w:rPr>
          <w:rFonts w:ascii="Arial" w:cs="Arial" w:eastAsia="Arial" w:hAnsi="Arial"/>
          <w:sz w:val="17"/>
          <w:szCs w:val="17"/>
          <w:color w:val="auto"/>
        </w:rPr>
        <w:t xml:space="preserve"> gene therapy platform, our foundation designed to deliver gene therapy worldwide. We are headquartered in Cambridge, Mass., with an office in Toronto, Ontario. For additional information, visit </w:t>
      </w:r>
      <w:r>
        <w:rPr>
          <w:rFonts w:ascii="Arial" w:cs="Arial" w:eastAsia="Arial" w:hAnsi="Arial"/>
          <w:sz w:val="17"/>
          <w:szCs w:val="17"/>
          <w:u w:val="single" w:color="auto"/>
          <w:color w:val="auto"/>
        </w:rPr>
        <w:t>avrobio.com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product candidates, the design, commencement, enrollment and timing of ongoing or planned clinical trials, clinical trial results, product approvals and regulatory pathways, our plans and expectations with respect to the development of our product candidates, including timing and design of planned clinical trials for such product candidates and anticipated interactions with regulatory agencies, the timing of new clinical and regulatory updates, anticipated benefits of our gene therapy platform including potential impact on our commercialization activities, timing and likelihood of success, the expected benefits and results of our implementation of the plato</w:t>
      </w:r>
      <w:r>
        <w:rPr>
          <w:rFonts w:ascii="Arial" w:cs="Arial" w:eastAsia="Arial" w:hAnsi="Arial"/>
          <w:sz w:val="14"/>
          <w:szCs w:val="14"/>
          <w:color w:val="auto"/>
        </w:rPr>
        <w:t>®</w:t>
      </w:r>
      <w:r>
        <w:rPr>
          <w:rFonts w:ascii="Arial" w:cs="Arial" w:eastAsia="Arial" w:hAnsi="Arial"/>
          <w:sz w:val="17"/>
          <w:szCs w:val="17"/>
          <w:color w:val="auto"/>
        </w:rPr>
        <w:t xml:space="preserve"> platform in our clinical trials and gene therapy programs, the expected safety profile of our investigational gene therapies, and statements regarding our financial and cash position and expected cash runway.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ectPr>
          <w:pgSz w:w="11900" w:h="16838" w:orient="portrait"/>
          <w:cols w:equalWidth="0" w:num="1">
            <w:col w:w="10980"/>
          </w:cols>
          <w:pgMar w:left="440" w:top="274" w:right="47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regulatory agencies may disagree with our anticipated development approach for our product candidates, that we may not be able to utilize our planned registration trial of AVR-RD-01 for full approval but instead be required to conduct additional testing, that we may be required to conduct our planned testing in a more time-consuming, expensive, challenging or otherwise different manner than we envision or have conducted for our existing trials, particularly in light of the FDA’s preference for clinical trials to be double-blinded and potentially include sham controls, the risk that we may not be able to utilize our envisioned surrogate endpoint to support full approval of AVR-RD-01 but instead be required to measure a different endpoint such as a clinical outcome,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13"/>
          <w:szCs w:val="13"/>
          <w:color w:val="auto"/>
        </w:rPr>
        <w:t>®</w:t>
      </w:r>
      <w:r>
        <w:rPr>
          <w:rFonts w:ascii="Arial" w:cs="Arial" w:eastAsia="Arial" w:hAnsi="Arial"/>
          <w:sz w:val="16"/>
          <w:szCs w:val="16"/>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Kit Rodophele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617-999-9620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krodophele@tenbridgecommunications.com</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8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201,369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10,289</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216,453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271,234</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2,966</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19,828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13,932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22,884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193,569</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254,344</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216,453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271,234</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7"/>
          </w:tcPr>
          <w:p>
            <w:pPr>
              <w:jc w:val="right"/>
              <w:ind w:right="300"/>
              <w:spacing w:after="0"/>
              <w:rPr>
                <w:sz w:val="20"/>
                <w:szCs w:val="20"/>
                <w:color w:val="auto"/>
              </w:rPr>
            </w:pPr>
            <w:r>
              <w:rPr>
                <w:rFonts w:ascii="Arial" w:cs="Arial" w:eastAsia="Arial" w:hAnsi="Arial"/>
                <w:sz w:val="14"/>
                <w:szCs w:val="14"/>
                <w:color w:val="auto"/>
                <w:w w:val="95"/>
              </w:rPr>
              <w:t>Three Months Ended September 30,</w:t>
            </w:r>
          </w:p>
        </w:tc>
        <w:tc>
          <w:tcPr>
            <w:tcW w:w="160" w:type="dxa"/>
            <w:vAlign w:val="bottom"/>
          </w:tcPr>
          <w:p>
            <w:pPr>
              <w:spacing w:after="0"/>
              <w:rPr>
                <w:sz w:val="14"/>
                <w:szCs w:val="14"/>
                <w:color w:val="auto"/>
              </w:rPr>
            </w:pPr>
          </w:p>
        </w:tc>
        <w:tc>
          <w:tcPr>
            <w:tcW w:w="2340" w:type="dxa"/>
            <w:vAlign w:val="bottom"/>
            <w:gridSpan w:val="7"/>
          </w:tcPr>
          <w:p>
            <w:pPr>
              <w:jc w:val="right"/>
              <w:ind w:right="220"/>
              <w:spacing w:after="0"/>
              <w:rPr>
                <w:sz w:val="20"/>
                <w:szCs w:val="20"/>
                <w:color w:val="auto"/>
              </w:rPr>
            </w:pPr>
            <w:r>
              <w:rPr>
                <w:rFonts w:ascii="Arial" w:cs="Arial" w:eastAsia="Arial" w:hAnsi="Arial"/>
                <w:sz w:val="14"/>
                <w:szCs w:val="14"/>
                <w:color w:val="auto"/>
                <w:w w:val="96"/>
              </w:rPr>
              <w:t>Nine Months Ended September 30,</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23,043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28,509</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64,114</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67,649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23"/>
        </w:trPr>
        <w:tc>
          <w:tcPr>
            <w:tcW w:w="58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(92,164)</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Total other (expense) income, net</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32,613)</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36,780)</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90,899)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91,581)</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number of common shares outstanding — basic and diluted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35,409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1" Type="http://schemas.openxmlformats.org/officeDocument/2006/relationships/hyperlink" Target="http://www.sec.gov/Archives/edgar/data/1681087/000119312521301529/d24707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2021-11-04T06:34:17Z</dcterms:created>
  <dcterms:modified xsi:type="dcterms:W3CDTF">2021-11-04T06:34:17Z</dcterms:modified>
</cp:coreProperties>
</file>