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001-38537</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81-0710585</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720" w:space="720"/>
            <w:col w:w="322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Technology Square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Sixth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Cambridge, MA 02139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914-8420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414"/>
        </w:trPr>
        <w:tc>
          <w:tcPr>
            <w:tcW w:w="610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6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symbol(s)</w:t>
            </w:r>
          </w:p>
        </w:tc>
        <w:tc>
          <w:tcPr>
            <w:tcW w:w="120" w:type="dxa"/>
            <w:vAlign w:val="bottom"/>
          </w:tcPr>
          <w:p>
            <w:pPr>
              <w:spacing w:after="0"/>
              <w:rPr>
                <w:sz w:val="20"/>
                <w:szCs w:val="20"/>
                <w:color w:val="auto"/>
              </w:rPr>
            </w:pP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34"/>
        </w:trPr>
        <w:tc>
          <w:tcPr>
            <w:tcW w:w="61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$0.0001 par value per share</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6"/>
              </w:rPr>
              <w:t>AVRO</w:t>
            </w:r>
          </w:p>
        </w:tc>
        <w:tc>
          <w:tcPr>
            <w:tcW w:w="12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18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Amendment No. 1 on Form 8-K/A (the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amends the Current Report on Form 8-K filed by AVROBIO,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May 22, 2023 (the “</w:t>
      </w:r>
      <w:r>
        <w:rPr>
          <w:rFonts w:ascii="Arial" w:cs="Arial" w:eastAsia="Arial" w:hAnsi="Arial"/>
          <w:sz w:val="17"/>
          <w:szCs w:val="17"/>
          <w:b w:val="1"/>
          <w:bCs w:val="1"/>
          <w:i w:val="1"/>
          <w:iCs w:val="1"/>
          <w:color w:val="auto"/>
        </w:rPr>
        <w:t>Prior Form 8-K</w:t>
      </w:r>
      <w:r>
        <w:rPr>
          <w:rFonts w:ascii="Arial" w:cs="Arial" w:eastAsia="Arial" w:hAnsi="Arial"/>
          <w:sz w:val="17"/>
          <w:szCs w:val="17"/>
          <w:color w:val="auto"/>
        </w:rPr>
        <w:t>”) and is being filed solely to amend and supplement the Company’s disclosure under Item 2.05 of the Prior Form 8-K. Except as provided below, the Prior Form 8-K and any exhibits thereto are otherwise unaltered by this Amendment.</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disclosed in the Prior Form 8-K, the Company was unable to make a determination of the estimated amount or range of amounts of the charge that will result in future cash expenditures in connection with the sale of the Company’s cystinosis gene therapy program and all other assets of the Company specifically related to this program (the “</w:t>
      </w:r>
      <w:r>
        <w:rPr>
          <w:rFonts w:ascii="Arial" w:cs="Arial" w:eastAsia="Arial" w:hAnsi="Arial"/>
          <w:sz w:val="18"/>
          <w:szCs w:val="18"/>
          <w:b w:val="1"/>
          <w:bCs w:val="1"/>
          <w:i w:val="1"/>
          <w:iCs w:val="1"/>
          <w:color w:val="auto"/>
        </w:rPr>
        <w:t>Asset Sale</w:t>
      </w:r>
      <w:r>
        <w:rPr>
          <w:rFonts w:ascii="Arial" w:cs="Arial" w:eastAsia="Arial" w:hAnsi="Arial"/>
          <w:sz w:val="18"/>
          <w:szCs w:val="18"/>
          <w:color w:val="auto"/>
        </w:rPr>
        <w:t>”). The Company has now determined that no material charges are expected to be incurred in connection with the Asset Sale.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Current Report on Form 8-K/A and certain of the materials furnished or filed herewith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the Company’s estimate of cash expenditures that it expects to incur in connection with the Asset Sale. Any such statements that are not statements of historical fact may be deemed to be forward-looking statements.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Any forward-looking statements are based on the Company’s current expectations, estimates and projections only as of the date of this report on Form 8-K and are subject to a number of risks and uncertainties that could cause actual results to differ materially and adversely from those set forth in or implied by such forward-looking statements. For a discussion of these and other risks and uncertainties, and other important factors, any of which could cause the Company’s actual results to differ materially and adversely from those contained in the forward-looking statements, see the section entitled “Risk Factors” in the Company’s Annual Report on Form 10-K for the fiscal year ended December 31, 2022 and our subsequent periodic reports on Form 10-Q, as well as discussions of potential risks, uncertainties, and other important factors in the Company’s other filings with the SEC. The Company explicitly disclaims any obligation to update any forward-looking statements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June 14, 2023</w:t>
      </w:r>
      <w:r>
        <w:rPr>
          <w:sz w:val="20"/>
          <w:szCs w:val="20"/>
          <w:color w:val="auto"/>
        </w:rPr>
        <w:tab/>
      </w:r>
      <w:r>
        <w:rPr>
          <w:rFonts w:ascii="Arial" w:cs="Arial" w:eastAsia="Arial" w:hAnsi="Arial"/>
          <w:sz w:val="17"/>
          <w:szCs w:val="17"/>
          <w:color w:val="auto"/>
        </w:rPr>
        <w:t>By: /s/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Erik Ostrowski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President, Interim Chief Executive Officer, Chief Financial Officer and</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2023-06-14T16:46:20Z</dcterms:created>
  <dcterms:modified xsi:type="dcterms:W3CDTF">2023-06-14T16:46:20Z</dcterms:modified>
</cp:coreProperties>
</file>