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-612140</wp:posOffset>
            </wp:positionV>
            <wp:extent cx="5715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5115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115560"/>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Tipirneni Praveen P.</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10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62"/>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C/O TECTONIC THERAPEUTIC, INC.</w:t>
            </w:r>
          </w:p>
        </w:tc>
      </w:tr>
      <w:tr>
        <w:trPr>
          <w:trHeight w:val="252"/>
        </w:trPr>
        <w:tc>
          <w:tcPr>
            <w:tcW w:w="20" w:type="dxa"/>
            <w:vAlign w:val="bottom"/>
          </w:tcPr>
          <w:p>
            <w:pPr>
              <w:spacing w:after="0"/>
              <w:rPr>
                <w:sz w:val="21"/>
                <w:szCs w:val="21"/>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490 ARSENAL WAY, SUITE 210</w:t>
            </w:r>
          </w:p>
        </w:tc>
        <w:tc>
          <w:tcPr>
            <w:tcW w:w="1300" w:type="dxa"/>
            <w:vAlign w:val="bottom"/>
          </w:tcPr>
          <w:p>
            <w:pPr>
              <w:spacing w:after="0"/>
              <w:rPr>
                <w:sz w:val="21"/>
                <w:szCs w:val="21"/>
                <w:color w:val="auto"/>
              </w:rPr>
            </w:pPr>
          </w:p>
        </w:tc>
      </w:tr>
      <w:tr>
        <w:trPr>
          <w:trHeight w:val="144"/>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r>
      <w:tr>
        <w:trPr>
          <w:trHeight w:val="254"/>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WATERTOWN</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MA</w:t>
            </w:r>
          </w:p>
        </w:tc>
        <w:tc>
          <w:tcPr>
            <w:tcW w:w="13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02472</w:t>
            </w:r>
          </w:p>
        </w:tc>
      </w:tr>
      <w:tr>
        <w:trPr>
          <w:trHeight w:val="144"/>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100"/>
              <w:spacing w:after="0"/>
              <w:rPr>
                <w:sz w:val="20"/>
                <w:szCs w:val="20"/>
                <w:color w:val="auto"/>
              </w:rPr>
            </w:pPr>
            <w:r>
              <w:rPr>
                <w:rFonts w:ascii="Arial" w:cs="Arial" w:eastAsia="Arial" w:hAnsi="Arial"/>
                <w:sz w:val="13"/>
                <w:szCs w:val="13"/>
                <w:color w:val="auto"/>
              </w:rPr>
              <w:t>(State)</w:t>
            </w:r>
          </w:p>
        </w:tc>
        <w:tc>
          <w:tcPr>
            <w:tcW w:w="130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60" w:type="dxa"/>
            <w:vAlign w:val="bottom"/>
          </w:tcPr>
          <w:p>
            <w:pPr>
              <w:spacing w:after="0"/>
              <w:rPr>
                <w:sz w:val="18"/>
                <w:szCs w:val="18"/>
                <w:color w:val="auto"/>
              </w:rPr>
            </w:pPr>
          </w:p>
        </w:tc>
        <w:tc>
          <w:tcPr>
            <w:tcW w:w="3780" w:type="dxa"/>
            <w:vAlign w:val="bottom"/>
            <w:gridSpan w:val="3"/>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Tectonic Therapeutic,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r>
      <w:tr>
        <w:trPr>
          <w:trHeight w:val="111"/>
        </w:trPr>
        <w:tc>
          <w:tcPr>
            <w:tcW w:w="60" w:type="dxa"/>
            <w:vAlign w:val="bottom"/>
            <w:tcBorders>
              <w:bottom w:val="single" w:sz="8" w:color="2C2C2C"/>
            </w:tcBorders>
          </w:tcPr>
          <w:p>
            <w:pPr>
              <w:spacing w:after="0"/>
              <w:rPr>
                <w:sz w:val="9"/>
                <w:szCs w:val="9"/>
                <w:color w:val="auto"/>
              </w:rPr>
            </w:pPr>
          </w:p>
        </w:tc>
        <w:tc>
          <w:tcPr>
            <w:tcW w:w="140" w:type="dxa"/>
            <w:vAlign w:val="bottom"/>
            <w:tcBorders>
              <w:top w:val="single" w:sz="8" w:color="0000EE"/>
              <w:bottom w:val="single" w:sz="8" w:color="2C2C2C"/>
            </w:tcBorders>
          </w:tcPr>
          <w:p>
            <w:pPr>
              <w:spacing w:after="0"/>
              <w:rPr>
                <w:sz w:val="9"/>
                <w:szCs w:val="9"/>
                <w:color w:val="auto"/>
              </w:rPr>
            </w:pPr>
          </w:p>
        </w:tc>
        <w:tc>
          <w:tcPr>
            <w:tcW w:w="1980" w:type="dxa"/>
            <w:vAlign w:val="bottom"/>
            <w:tcBorders>
              <w:top w:val="single" w:sz="8" w:color="0000EE"/>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tcPr>
          <w:p>
            <w:pPr>
              <w:ind w:left="400"/>
              <w:spacing w:after="0" w:line="86" w:lineRule="exact"/>
              <w:rPr>
                <w:sz w:val="20"/>
                <w:szCs w:val="20"/>
                <w:color w:val="auto"/>
              </w:rPr>
            </w:pPr>
            <w:r>
              <w:rPr>
                <w:rFonts w:ascii="Arial" w:cs="Arial" w:eastAsia="Arial" w:hAnsi="Arial"/>
                <w:sz w:val="9"/>
                <w:szCs w:val="9"/>
                <w:color w:val="auto"/>
              </w:rPr>
              <w:t>Director</w:t>
            </w:r>
          </w:p>
        </w:tc>
        <w:tc>
          <w:tcPr>
            <w:tcW w:w="1460" w:type="dxa"/>
            <w:vAlign w:val="bottom"/>
          </w:tcPr>
          <w:p>
            <w:pPr>
              <w:ind w:left="340"/>
              <w:spacing w:after="0" w:line="86" w:lineRule="exact"/>
              <w:rPr>
                <w:sz w:val="20"/>
                <w:szCs w:val="20"/>
                <w:color w:val="auto"/>
              </w:rPr>
            </w:pPr>
            <w:r>
              <w:rPr>
                <w:rFonts w:ascii="Arial" w:cs="Arial" w:eastAsia="Arial" w:hAnsi="Arial"/>
                <w:sz w:val="9"/>
                <w:szCs w:val="9"/>
                <w:color w:val="auto"/>
              </w:rPr>
              <w:t>10% Owner</w:t>
            </w: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r>
      <w:tr>
        <w:trPr>
          <w:trHeight w:val="214"/>
        </w:trPr>
        <w:tc>
          <w:tcPr>
            <w:tcW w:w="21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06/20/2024</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r>
      <w:tr>
        <w:trPr>
          <w:trHeight w:val="94"/>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8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8"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4"/>
          <w:szCs w:val="24"/>
          <w:color w:val="auto"/>
        </w:rPr>
      </w:pPr>
    </w:p>
    <w:p>
      <w:pPr>
        <w:ind w:left="320" w:right="440"/>
        <w:spacing w:after="0" w:line="28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3"/>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8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06/20/2024</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Pr>
          <w:p>
            <w:pPr>
              <w:ind w:left="360"/>
              <w:spacing w:after="0"/>
              <w:rPr>
                <w:sz w:val="20"/>
                <w:szCs w:val="20"/>
                <w:color w:val="auto"/>
              </w:rPr>
            </w:pPr>
            <w:r>
              <w:rPr>
                <w:rFonts w:ascii="Times New Roman" w:cs="Times New Roman" w:eastAsia="Times New Roman" w:hAnsi="Times New Roman"/>
                <w:sz w:val="16"/>
                <w:szCs w:val="16"/>
                <w:color w:val="0000FF"/>
                <w:w w:val="99"/>
              </w:rPr>
              <w:t>3,037</w:t>
            </w: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0"/>
                <w:szCs w:val="10"/>
                <w:color w:val="008000"/>
              </w:rPr>
              <w:t>(1)</w:t>
            </w:r>
          </w:p>
        </w:tc>
        <w:tc>
          <w:tcPr>
            <w:tcW w:w="128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0000FF"/>
              </w:rPr>
              <w:t>3,037</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26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 Derivative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 (Instr. 3 and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 (Instr. 3,</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ind w:right="83"/>
              <w:spacing w:after="0" w:line="20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2.38</w:t>
            </w:r>
            <w:r>
              <w:rPr>
                <w:rFonts w:ascii="Times New Roman" w:cs="Times New Roman" w:eastAsia="Times New Roman" w:hAnsi="Times New Roman"/>
                <w:sz w:val="20"/>
                <w:szCs w:val="20"/>
                <w:color w:val="008000"/>
                <w:vertAlign w:val="superscript"/>
              </w:rPr>
              <w:t>(2)</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06/20/2024</w:t>
            </w: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jc w:val="center"/>
              <w:ind w:right="22"/>
              <w:spacing w:after="0" w:line="202" w:lineRule="exact"/>
              <w:rPr>
                <w:sz w:val="20"/>
                <w:szCs w:val="20"/>
                <w:color w:val="auto"/>
              </w:rPr>
            </w:pPr>
            <w:r>
              <w:rPr>
                <w:rFonts w:ascii="Times New Roman" w:cs="Times New Roman" w:eastAsia="Times New Roman" w:hAnsi="Times New Roman"/>
                <w:sz w:val="13"/>
                <w:szCs w:val="13"/>
                <w:color w:val="0000FF"/>
              </w:rPr>
              <w:t>12,166</w:t>
            </w:r>
            <w:r>
              <w:rPr>
                <w:rFonts w:ascii="Times New Roman" w:cs="Times New Roman" w:eastAsia="Times New Roman" w:hAnsi="Times New Roman"/>
                <w:sz w:val="20"/>
                <w:szCs w:val="20"/>
                <w:color w:val="008000"/>
                <w:vertAlign w:val="superscript"/>
              </w:rPr>
              <w:t>(2)</w:t>
            </w:r>
          </w:p>
        </w:tc>
        <w:tc>
          <w:tcPr>
            <w:tcW w:w="300" w:type="dxa"/>
            <w:vAlign w:val="bottom"/>
          </w:tcPr>
          <w:p>
            <w:pPr>
              <w:spacing w:after="0"/>
              <w:rPr>
                <w:sz w:val="17"/>
                <w:szCs w:val="17"/>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06/27/2031</w:t>
            </w: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tcPr>
          <w:p>
            <w:pPr>
              <w:jc w:val="center"/>
              <w:spacing w:after="0" w:line="202" w:lineRule="exact"/>
              <w:rPr>
                <w:sz w:val="20"/>
                <w:szCs w:val="20"/>
                <w:color w:val="auto"/>
              </w:rPr>
            </w:pPr>
            <w:r>
              <w:rPr>
                <w:rFonts w:ascii="Times New Roman" w:cs="Times New Roman" w:eastAsia="Times New Roman" w:hAnsi="Times New Roman"/>
                <w:sz w:val="16"/>
                <w:szCs w:val="16"/>
                <w:color w:val="0000FF"/>
                <w:w w:val="97"/>
              </w:rPr>
              <w:t>12,166</w:t>
            </w:r>
            <w:r>
              <w:rPr>
                <w:rFonts w:ascii="Times New Roman" w:cs="Times New Roman" w:eastAsia="Times New Roman" w:hAnsi="Times New Roman"/>
                <w:sz w:val="20"/>
                <w:szCs w:val="20"/>
                <w:color w:val="008000"/>
                <w:w w:val="97"/>
                <w:vertAlign w:val="superscript"/>
              </w:rPr>
              <w:t>(2)</w:t>
            </w:r>
          </w:p>
        </w:tc>
        <w:tc>
          <w:tcPr>
            <w:tcW w:w="720" w:type="dxa"/>
            <w:vAlign w:val="bottom"/>
            <w:gridSpan w:val="2"/>
          </w:tcPr>
          <w:p>
            <w:pPr>
              <w:jc w:val="right"/>
              <w:ind w:right="203"/>
              <w:spacing w:after="0"/>
              <w:rPr>
                <w:sz w:val="20"/>
                <w:szCs w:val="20"/>
                <w:color w:val="auto"/>
              </w:rPr>
            </w:pPr>
            <w:r>
              <w:rPr>
                <w:rFonts w:ascii="Times New Roman" w:cs="Times New Roman" w:eastAsia="Times New Roman" w:hAnsi="Times New Roman"/>
                <w:sz w:val="10"/>
                <w:szCs w:val="10"/>
                <w:color w:val="008000"/>
              </w:rPr>
              <w:t>(2)(4)</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12,166</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ind w:left="12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16.8</w:t>
            </w:r>
          </w:p>
        </w:tc>
        <w:tc>
          <w:tcPr>
            <w:tcW w:w="106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06/20/2024</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jc w:val="right"/>
              <w:ind w:right="102"/>
              <w:spacing w:after="0"/>
              <w:rPr>
                <w:sz w:val="20"/>
                <w:szCs w:val="20"/>
                <w:color w:val="auto"/>
              </w:rPr>
            </w:pPr>
            <w:r>
              <w:rPr>
                <w:rFonts w:ascii="Times New Roman" w:cs="Times New Roman" w:eastAsia="Times New Roman" w:hAnsi="Times New Roman"/>
                <w:sz w:val="13"/>
                <w:szCs w:val="13"/>
                <w:color w:val="0000FF"/>
              </w:rPr>
              <w:t>11,760</w:t>
            </w:r>
          </w:p>
        </w:tc>
        <w:tc>
          <w:tcPr>
            <w:tcW w:w="300" w:type="dxa"/>
            <w:vAlign w:val="bottom"/>
          </w:tcPr>
          <w:p>
            <w:pPr>
              <w:spacing w:after="0"/>
              <w:rPr>
                <w:sz w:val="12"/>
                <w:szCs w:val="12"/>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06/19/2034</w:t>
            </w:r>
          </w:p>
        </w:tc>
        <w:tc>
          <w:tcPr>
            <w:tcW w:w="60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restart"/>
          </w:tcPr>
          <w:p>
            <w:pPr>
              <w:jc w:val="right"/>
              <w:ind w:right="57"/>
              <w:spacing w:after="0"/>
              <w:rPr>
                <w:sz w:val="20"/>
                <w:szCs w:val="20"/>
                <w:color w:val="auto"/>
              </w:rPr>
            </w:pPr>
            <w:r>
              <w:rPr>
                <w:rFonts w:ascii="Times New Roman" w:cs="Times New Roman" w:eastAsia="Times New Roman" w:hAnsi="Times New Roman"/>
                <w:sz w:val="16"/>
                <w:szCs w:val="16"/>
                <w:color w:val="0000FF"/>
              </w:rPr>
              <w:t>11,760</w:t>
            </w:r>
          </w:p>
        </w:tc>
        <w:tc>
          <w:tcPr>
            <w:tcW w:w="720" w:type="dxa"/>
            <w:vAlign w:val="bottom"/>
            <w:gridSpan w:val="2"/>
            <w:vMerge w:val="restart"/>
          </w:tcPr>
          <w:p>
            <w:pPr>
              <w:jc w:val="center"/>
              <w:ind w:right="2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11,760</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140" w:hanging="1"/>
        <w:spacing w:after="0" w:line="247"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Received in exchange for 5,682 shares of common stock of Tectonic Therapeutic, Inc., a Delaware corporation ("Tectonic"), pursuant to an Agreement and Plan of Merger dated as of January 30, 2024 (the "Merger Agreement") by and among AVROBIO, Inc., a Delaware corporation ("AVROBIO"), Tectonic and Alpine Merger Subsidiary, Inc., a direct, wholly owned subsidiary of AVROBIO (the "Merger Sub"). Under the terms of the Merger Agreement, on June 20, 2024, Merger Sub merged with and into Tectonic (the "Merger"), with Tectonic surviving the Merger as a wholly owned subsidiary of AVROBIO. Upon the closing of the Merger, each share of Tectonic common stock was converted into the right to receive 0.534419990 shares of the Issuer's common stock, after giving effect to a reverse stock split of the Issuer's common stock of 1-for-</w:t>
      </w:r>
    </w:p>
    <w:p>
      <w:pPr>
        <w:ind w:left="220" w:hanging="181"/>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Subsequent to the Merger, the name of the Issuer was changed from AVROBIO, Inc. to Tectonic Therapeutic, Inc.</w:t>
      </w:r>
    </w:p>
    <w:p>
      <w:pPr>
        <w:spacing w:after="0" w:line="25" w:lineRule="exact"/>
        <w:rPr>
          <w:rFonts w:ascii="Times New Roman" w:cs="Times New Roman" w:eastAsia="Times New Roman" w:hAnsi="Times New Roman"/>
          <w:sz w:val="13"/>
          <w:szCs w:val="13"/>
          <w:color w:val="008000"/>
        </w:rPr>
      </w:pPr>
    </w:p>
    <w:p>
      <w:pPr>
        <w:ind w:left="40" w:right="260" w:hanging="1"/>
        <w:spacing w:after="0" w:line="246" w:lineRule="auto"/>
        <w:tabs>
          <w:tab w:leader="none" w:pos="166"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closing of the Merger, each outstanding option to purchase shares of Tectonic common stock was assumed by the Issuer and converted into an option to purchase the Issuer's common stock, on the same terms and conditions as were applicable to such Tectonic stock option prior to the Merger, as adjusted for the exchange ratio and the reverse stock split.</w:t>
      </w:r>
    </w:p>
    <w:p>
      <w:pPr>
        <w:spacing w:after="0" w:line="21" w:lineRule="exact"/>
        <w:rPr>
          <w:rFonts w:ascii="Times New Roman" w:cs="Times New Roman" w:eastAsia="Times New Roman" w:hAnsi="Times New Roman"/>
          <w:sz w:val="13"/>
          <w:szCs w:val="13"/>
          <w:color w:val="008000"/>
        </w:rPr>
      </w:pPr>
    </w:p>
    <w:p>
      <w:pPr>
        <w:ind w:left="40" w:right="200" w:hanging="1"/>
        <w:spacing w:after="0" w:line="246" w:lineRule="auto"/>
        <w:tabs>
          <w:tab w:leader="none" w:pos="166"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as to 25% of the shares on February 12, 2021 with the remainder vesting in the following 36 equal monthly installments, subject to the Reporting Person's continued service on each such vesting date</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 stock option to acquire 22,765 shares of Tectonic common stock pursuant to the Merger Agreement.</w:t>
      </w:r>
    </w:p>
    <w:p>
      <w:pPr>
        <w:spacing w:after="0" w:line="39" w:lineRule="exact"/>
        <w:rPr>
          <w:rFonts w:ascii="Times New Roman" w:cs="Times New Roman" w:eastAsia="Times New Roman" w:hAnsi="Times New Roman"/>
          <w:sz w:val="13"/>
          <w:szCs w:val="13"/>
          <w:color w:val="008000"/>
        </w:rPr>
      </w:pPr>
    </w:p>
    <w:p>
      <w:pPr>
        <w:ind w:left="40" w:right="300" w:hanging="1"/>
        <w:spacing w:after="0" w:line="243" w:lineRule="auto"/>
        <w:tabs>
          <w:tab w:leader="none" w:pos="166"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1/3rd of the shares subject to the option will vest on June 20, 2025, and the balance will vest in equal monthly installments thereafter over the next 24 months, subject in each case to the continuous service of the Reporting Person to the Issuer through the applicable vesting date.</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/s/ Daniel Lochner, Attorney-in- </w:t>
      </w:r>
      <w:r>
        <w:rPr>
          <w:rFonts w:ascii="Times New Roman" w:cs="Times New Roman" w:eastAsia="Times New Roman" w:hAnsi="Times New Roman"/>
          <w:sz w:val="31"/>
          <w:szCs w:val="31"/>
          <w:color w:val="0000FF"/>
          <w:vertAlign w:val="subscript"/>
        </w:rPr>
        <w:t>06/24/2024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-15240</wp:posOffset>
            </wp:positionV>
            <wp:extent cx="179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-79375</wp:posOffset>
            </wp:positionV>
            <wp:extent cx="473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8" w:lineRule="auto"/>
        <w:tabs>
          <w:tab w:leader="none" w:pos="17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2"/>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9978"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2024-06-24T15:58:21Z</dcterms:created>
  <dcterms:modified xsi:type="dcterms:W3CDTF">2024-06-24T15:58:21Z</dcterms:modified>
</cp:coreProperties>
</file>