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1442085</wp:posOffset>
            </wp:positionH>
            <wp:positionV relativeFrom="page">
              <wp:posOffset>140335</wp:posOffset>
            </wp:positionV>
            <wp:extent cx="467804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78045" cy="5715"/>
                    </a:xfrm>
                    <a:prstGeom prst="rect">
                      <a:avLst/>
                    </a:prstGeom>
                    <a:noFill/>
                  </pic:spPr>
                </pic:pic>
              </a:graphicData>
            </a:graphic>
          </wp:anchor>
        </w:drawing>
        <w:drawing>
          <wp:anchor simplePos="0" relativeHeight="251657728" behindDoc="1" locked="0" layoutInCell="0" allowOverlap="1">
            <wp:simplePos x="0" y="0"/>
            <wp:positionH relativeFrom="page">
              <wp:posOffset>1442085</wp:posOffset>
            </wp:positionH>
            <wp:positionV relativeFrom="page">
              <wp:posOffset>168910</wp:posOffset>
            </wp:positionV>
            <wp:extent cx="467804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78045" cy="5715"/>
                    </a:xfrm>
                    <a:prstGeom prst="rect">
                      <a:avLst/>
                    </a:prstGeom>
                    <a:noFill/>
                  </pic:spPr>
                </pic:pic>
              </a:graphicData>
            </a:graphic>
          </wp:anchor>
        </w:drawing>
        <w:t>UNITED STATES</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2373630</wp:posOffset>
            </wp:positionH>
            <wp:positionV relativeFrom="paragraph">
              <wp:posOffset>139700</wp:posOffset>
            </wp:positionV>
            <wp:extent cx="98615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6155" cy="5715"/>
                    </a:xfrm>
                    <a:prstGeom prst="rect">
                      <a:avLst/>
                    </a:prstGeom>
                    <a:noFill/>
                  </pic:spPr>
                </pic:pic>
              </a:graphicData>
            </a:graphic>
          </wp:anchor>
        </w:drawing>
      </w:r>
    </w:p>
    <w:p>
      <w:pPr>
        <w:spacing w:after="0" w:line="29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2373630</wp:posOffset>
            </wp:positionH>
            <wp:positionV relativeFrom="paragraph">
              <wp:posOffset>143510</wp:posOffset>
            </wp:positionV>
            <wp:extent cx="98615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6155" cy="5715"/>
                    </a:xfrm>
                    <a:prstGeom prst="rect">
                      <a:avLst/>
                    </a:prstGeom>
                    <a:noFill/>
                  </pic:spPr>
                </pic:pic>
              </a:graphicData>
            </a:graphic>
          </wp:anchor>
        </w:drawing>
      </w:r>
    </w:p>
    <w:p>
      <w:pPr>
        <w:spacing w:after="0" w:line="30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CURRENT REPORT</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Pursuant to Section 13 or 15(d)</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of the Securities Exchange Act of 1934</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Date of Report (Date of earliest event reported): January 13,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2373630</wp:posOffset>
            </wp:positionH>
            <wp:positionV relativeFrom="paragraph">
              <wp:posOffset>144145</wp:posOffset>
            </wp:positionV>
            <wp:extent cx="98615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6155" cy="5715"/>
                    </a:xfrm>
                    <a:prstGeom prst="rect">
                      <a:avLst/>
                    </a:prstGeom>
                    <a:noFill/>
                  </pic:spPr>
                </pic:pic>
              </a:graphicData>
            </a:graphic>
          </wp:anchor>
        </w:drawing>
      </w:r>
    </w:p>
    <w:p>
      <w:pPr>
        <w:spacing w:after="0" w:line="29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AVROBIO, INC.</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2373630</wp:posOffset>
            </wp:positionH>
            <wp:positionV relativeFrom="paragraph">
              <wp:posOffset>140970</wp:posOffset>
            </wp:positionV>
            <wp:extent cx="98615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6155" cy="5715"/>
                    </a:xfrm>
                    <a:prstGeom prst="rect">
                      <a:avLst/>
                    </a:prstGeom>
                    <a:noFill/>
                  </pic:spPr>
                </pic:pic>
              </a:graphicData>
            </a:graphic>
          </wp:anchor>
        </w:drawing>
      </w:r>
    </w:p>
    <w:p>
      <w:pPr>
        <w:sectPr>
          <w:pgSz w:w="11900" w:h="16838" w:orient="portrait"/>
          <w:cols w:equalWidth="0" w:num="1">
            <w:col w:w="9019"/>
          </w:cols>
          <w:pgMar w:left="1440" w:top="293" w:right="1440" w:bottom="1440" w:gutter="0" w:footer="0" w:header="0"/>
        </w:sectPr>
      </w:pPr>
    </w:p>
    <w:p>
      <w:pPr>
        <w:spacing w:after="0" w:line="372" w:lineRule="exact"/>
        <w:rPr>
          <w:sz w:val="24"/>
          <w:szCs w:val="24"/>
          <w:color w:val="auto"/>
        </w:rPr>
      </w:pPr>
    </w:p>
    <w:p>
      <w:pPr>
        <w:jc w:val="center"/>
        <w:ind w:left="540"/>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4"/>
          <w:szCs w:val="24"/>
          <w:color w:val="auto"/>
        </w:rPr>
      </w:pPr>
      <w:r>
        <w:rPr>
          <w:sz w:val="24"/>
          <w:szCs w:val="24"/>
          <w:color w:val="auto"/>
        </w:rPr>
        <w:br w:type="column"/>
      </w:r>
    </w:p>
    <w:p>
      <w:pPr>
        <w:spacing w:after="0" w:line="352" w:lineRule="exact"/>
        <w:rPr>
          <w:sz w:val="24"/>
          <w:szCs w:val="24"/>
          <w:color w:val="auto"/>
        </w:rPr>
      </w:pPr>
    </w:p>
    <w:p>
      <w:pPr>
        <w:jc w:val="center"/>
        <w:ind w:right="1140"/>
        <w:spacing w:after="0"/>
        <w:rPr>
          <w:sz w:val="20"/>
          <w:szCs w:val="20"/>
          <w:color w:val="auto"/>
        </w:rPr>
      </w:pPr>
      <w:r>
        <w:rPr>
          <w:rFonts w:ascii="Arial" w:cs="Arial" w:eastAsia="Arial" w:hAnsi="Arial"/>
          <w:sz w:val="10"/>
          <w:szCs w:val="10"/>
          <w:b w:val="1"/>
          <w:bCs w:val="1"/>
          <w:color w:val="auto"/>
        </w:rPr>
        <w:t>001-38537</w:t>
      </w:r>
    </w:p>
    <w:p>
      <w:pPr>
        <w:spacing w:after="0" w:line="20" w:lineRule="exact"/>
        <w:rPr>
          <w:sz w:val="24"/>
          <w:szCs w:val="24"/>
          <w:color w:val="auto"/>
        </w:rPr>
      </w:pPr>
      <w:r>
        <w:rPr>
          <w:sz w:val="24"/>
          <w:szCs w:val="24"/>
          <w:color w:val="auto"/>
        </w:rPr>
        <w:br w:type="column"/>
      </w:r>
    </w:p>
    <w:p>
      <w:pPr>
        <w:spacing w:after="0" w:line="352" w:lineRule="exact"/>
        <w:rPr>
          <w:sz w:val="24"/>
          <w:szCs w:val="24"/>
          <w:color w:val="auto"/>
        </w:rPr>
      </w:pPr>
    </w:p>
    <w:p>
      <w:pPr>
        <w:jc w:val="center"/>
        <w:ind w:right="1699"/>
        <w:spacing w:after="0"/>
        <w:rPr>
          <w:sz w:val="20"/>
          <w:szCs w:val="20"/>
          <w:color w:val="auto"/>
        </w:rPr>
      </w:pPr>
      <w:r>
        <w:rPr>
          <w:rFonts w:ascii="Arial" w:cs="Arial" w:eastAsia="Arial" w:hAnsi="Arial"/>
          <w:sz w:val="11"/>
          <w:szCs w:val="11"/>
          <w:b w:val="1"/>
          <w:bCs w:val="1"/>
          <w:color w:val="auto"/>
        </w:rPr>
        <w:t>81-0710585</w:t>
      </w:r>
    </w:p>
    <w:p>
      <w:pPr>
        <w:spacing w:after="0" w:line="31" w:lineRule="exact"/>
        <w:rPr>
          <w:sz w:val="24"/>
          <w:szCs w:val="24"/>
          <w:color w:val="auto"/>
        </w:rPr>
      </w:pPr>
    </w:p>
    <w:p>
      <w:pPr>
        <w:sectPr>
          <w:pgSz w:w="11900" w:h="16838" w:orient="portrait"/>
          <w:cols w:equalWidth="0" w:num="3">
            <w:col w:w="3620" w:space="720"/>
            <w:col w:w="1660" w:space="720"/>
            <w:col w:w="2299"/>
          </w:cols>
          <w:pgMar w:left="1440" w:top="293" w:right="1440" w:bottom="1440" w:gutter="0" w:footer="0" w:header="0"/>
          <w:type w:val="continuous"/>
        </w:sectPr>
      </w:pPr>
    </w:p>
    <w:p>
      <w:pPr>
        <w:jc w:val="center"/>
        <w:ind w:left="580"/>
        <w:spacing w:after="0"/>
        <w:rPr>
          <w:sz w:val="20"/>
          <w:szCs w:val="20"/>
          <w:color w:val="auto"/>
        </w:rPr>
      </w:pPr>
      <w:r>
        <w:rPr>
          <w:rFonts w:ascii="Arial" w:cs="Arial" w:eastAsia="Arial" w:hAnsi="Arial"/>
          <w:sz w:val="8"/>
          <w:szCs w:val="8"/>
          <w:b w:val="1"/>
          <w:bCs w:val="1"/>
          <w:color w:val="auto"/>
        </w:rPr>
        <w:t>(State or other jurisdiction</w:t>
      </w:r>
    </w:p>
    <w:p>
      <w:pPr>
        <w:spacing w:after="0" w:line="2" w:lineRule="exact"/>
        <w:rPr>
          <w:sz w:val="24"/>
          <w:szCs w:val="24"/>
          <w:color w:val="auto"/>
        </w:rPr>
      </w:pPr>
    </w:p>
    <w:p>
      <w:pPr>
        <w:jc w:val="center"/>
        <w:ind w:left="560"/>
        <w:spacing w:after="0"/>
        <w:rPr>
          <w:sz w:val="20"/>
          <w:szCs w:val="20"/>
          <w:color w:val="auto"/>
        </w:rPr>
      </w:pPr>
      <w:r>
        <w:rPr>
          <w:rFonts w:ascii="Arial" w:cs="Arial" w:eastAsia="Arial" w:hAnsi="Arial"/>
          <w:sz w:val="10"/>
          <w:szCs w:val="10"/>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7"/>
          <w:szCs w:val="7"/>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8"/>
          <w:szCs w:val="8"/>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8"/>
          <w:szCs w:val="8"/>
          <w:b w:val="1"/>
          <w:bCs w:val="1"/>
          <w:color w:val="auto"/>
        </w:rPr>
        <w:t>(I.R.S. Employer</w:t>
      </w:r>
    </w:p>
    <w:p>
      <w:pPr>
        <w:spacing w:after="0" w:line="3" w:lineRule="exact"/>
        <w:rPr>
          <w:sz w:val="24"/>
          <w:szCs w:val="24"/>
          <w:color w:val="auto"/>
        </w:rPr>
      </w:pPr>
    </w:p>
    <w:p>
      <w:pPr>
        <w:spacing w:after="0"/>
        <w:rPr>
          <w:sz w:val="20"/>
          <w:szCs w:val="20"/>
          <w:color w:val="auto"/>
        </w:rPr>
      </w:pPr>
      <w:r>
        <w:rPr>
          <w:rFonts w:ascii="Arial" w:cs="Arial" w:eastAsia="Arial" w:hAnsi="Arial"/>
          <w:sz w:val="8"/>
          <w:szCs w:val="8"/>
          <w:b w:val="1"/>
          <w:bCs w:val="1"/>
          <w:color w:val="auto"/>
        </w:rPr>
        <w:t>Identification No.)</w:t>
      </w:r>
    </w:p>
    <w:p>
      <w:pPr>
        <w:spacing w:after="0" w:line="116" w:lineRule="exact"/>
        <w:rPr>
          <w:sz w:val="24"/>
          <w:szCs w:val="24"/>
          <w:color w:val="auto"/>
        </w:rPr>
      </w:pPr>
    </w:p>
    <w:p>
      <w:pPr>
        <w:sectPr>
          <w:pgSz w:w="11900" w:h="16838" w:orient="portrait"/>
          <w:cols w:equalWidth="0" w:num="3">
            <w:col w:w="3600" w:space="720"/>
            <w:col w:w="1600" w:space="720"/>
            <w:col w:w="2379"/>
          </w:cols>
          <w:pgMar w:left="1440" w:top="293" w:right="1440" w:bottom="1440" w:gutter="0" w:footer="0" w:header="0"/>
          <w:type w:val="continuous"/>
        </w:sectPr>
      </w:pPr>
    </w:p>
    <w:p>
      <w:pPr>
        <w:jc w:val="center"/>
        <w:ind w:right="-20"/>
        <w:spacing w:after="0"/>
        <w:rPr>
          <w:sz w:val="20"/>
          <w:szCs w:val="20"/>
          <w:color w:val="auto"/>
        </w:rPr>
      </w:pPr>
      <w:r>
        <w:rPr>
          <w:rFonts w:ascii="Arial" w:cs="Arial" w:eastAsia="Arial" w:hAnsi="Arial"/>
          <w:sz w:val="12"/>
          <w:szCs w:val="12"/>
          <w:b w:val="1"/>
          <w:bCs w:val="1"/>
          <w:color w:val="auto"/>
        </w:rPr>
        <w:t>One Kendall Square</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Building 300, Suite 201</w:t>
      </w: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Cambridge, MA 02139</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8"/>
          <w:szCs w:val="8"/>
          <w:b w:val="1"/>
          <w:bCs w:val="1"/>
          <w:color w:val="auto"/>
        </w:rPr>
        <w:t>(Address of principal executive offices, including zip code)</w:t>
      </w:r>
    </w:p>
    <w:p>
      <w:pPr>
        <w:spacing w:after="0" w:line="107"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(617) 914-8420</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0"/>
          <w:szCs w:val="10"/>
          <w:b w:val="1"/>
          <w:bCs w:val="1"/>
          <w:color w:val="auto"/>
        </w:rPr>
        <w:t>(Registrant’s telephone number, including area code)</w:t>
      </w:r>
    </w:p>
    <w:p>
      <w:pPr>
        <w:spacing w:after="0" w:line="86"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Not Applicable</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8"/>
          <w:szCs w:val="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2373630</wp:posOffset>
            </wp:positionH>
            <wp:positionV relativeFrom="paragraph">
              <wp:posOffset>144780</wp:posOffset>
            </wp:positionV>
            <wp:extent cx="98615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6155" cy="5715"/>
                    </a:xfrm>
                    <a:prstGeom prst="rect">
                      <a:avLst/>
                    </a:prstGeom>
                    <a:noFill/>
                  </pic:spPr>
                </pic:pic>
              </a:graphicData>
            </a:graphic>
          </wp:anchor>
        </w:drawing>
      </w:r>
    </w:p>
    <w:p>
      <w:pPr>
        <w:sectPr>
          <w:pgSz w:w="11900" w:h="16838" w:orient="portrait"/>
          <w:cols w:equalWidth="0" w:num="1">
            <w:col w:w="9019"/>
          </w:cols>
          <w:pgMar w:left="1440" w:top="293" w:right="1440" w:bottom="1440" w:gutter="0" w:footer="0" w:header="0"/>
          <w:type w:val="continuous"/>
        </w:sectPr>
      </w:pPr>
    </w:p>
    <w:p>
      <w:pPr>
        <w:spacing w:after="0" w:line="337" w:lineRule="exact"/>
        <w:rPr>
          <w:sz w:val="24"/>
          <w:szCs w:val="24"/>
          <w:color w:val="auto"/>
        </w:rPr>
      </w:pPr>
    </w:p>
    <w:p>
      <w:pPr>
        <w:ind w:left="840" w:right="1139"/>
        <w:spacing w:after="0" w:line="277" w:lineRule="auto"/>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52" w:lineRule="exact"/>
        <w:rPr>
          <w:sz w:val="24"/>
          <w:szCs w:val="24"/>
          <w:color w:val="auto"/>
        </w:rPr>
      </w:pPr>
    </w:p>
    <w:p>
      <w:pPr>
        <w:ind w:left="1120" w:hanging="289"/>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87" w:lineRule="exact"/>
        <w:rPr>
          <w:rFonts w:ascii="MS PGothic" w:cs="MS PGothic" w:eastAsia="MS PGothic" w:hAnsi="MS PGothic"/>
          <w:sz w:val="12"/>
          <w:szCs w:val="12"/>
          <w:color w:val="auto"/>
        </w:rPr>
      </w:pPr>
    </w:p>
    <w:p>
      <w:pPr>
        <w:ind w:left="1120" w:hanging="289"/>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87" w:lineRule="exact"/>
        <w:rPr>
          <w:rFonts w:ascii="MS PGothic" w:cs="MS PGothic" w:eastAsia="MS PGothic" w:hAnsi="MS PGothic"/>
          <w:sz w:val="12"/>
          <w:szCs w:val="12"/>
          <w:color w:val="auto"/>
        </w:rPr>
      </w:pPr>
    </w:p>
    <w:p>
      <w:pPr>
        <w:ind w:left="1120" w:hanging="289"/>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87" w:lineRule="exact"/>
        <w:rPr>
          <w:rFonts w:ascii="MS PGothic" w:cs="MS PGothic" w:eastAsia="MS PGothic" w:hAnsi="MS PGothic"/>
          <w:sz w:val="12"/>
          <w:szCs w:val="12"/>
          <w:color w:val="auto"/>
        </w:rPr>
      </w:pPr>
    </w:p>
    <w:p>
      <w:pPr>
        <w:ind w:left="840" w:right="2519" w:hanging="9"/>
        <w:spacing w:after="0" w:line="458" w:lineRule="auto"/>
        <w:tabs>
          <w:tab w:leader="none" w:pos="1129"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 Securities registered pursuant to Section 12(b) of the Act:</w:t>
      </w:r>
    </w:p>
    <w:tbl>
      <w:tblPr>
        <w:tblLayout w:type="fixed"/>
        <w:tblInd w:w="840" w:type="dxa"/>
        <w:tblCellMar>
          <w:top w:w="0" w:type="dxa"/>
          <w:left w:w="0" w:type="dxa"/>
          <w:bottom w:w="0" w:type="dxa"/>
          <w:right w:w="0" w:type="dxa"/>
        </w:tblCellMar>
      </w:tblPr>
      <w:tr>
        <w:trPr>
          <w:trHeight w:val="100"/>
        </w:trPr>
        <w:tc>
          <w:tcPr>
            <w:tcW w:w="25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2"/>
          </w:tcPr>
          <w:p>
            <w:pPr>
              <w:jc w:val="center"/>
              <w:ind w:right="80"/>
              <w:spacing w:after="0" w:line="100" w:lineRule="exact"/>
              <w:rPr>
                <w:sz w:val="20"/>
                <w:szCs w:val="20"/>
                <w:color w:val="auto"/>
              </w:rPr>
            </w:pPr>
            <w:r>
              <w:rPr>
                <w:rFonts w:ascii="Arial" w:cs="Arial" w:eastAsia="Arial" w:hAnsi="Arial"/>
                <w:sz w:val="10"/>
                <w:szCs w:val="10"/>
                <w:b w:val="1"/>
                <w:bCs w:val="1"/>
                <w:color w:val="auto"/>
                <w:w w:val="92"/>
              </w:rPr>
              <w:t>Trading</w:t>
            </w:r>
          </w:p>
        </w:tc>
        <w:tc>
          <w:tcPr>
            <w:tcW w:w="2360" w:type="dxa"/>
            <w:vAlign w:val="bottom"/>
          </w:tcPr>
          <w:p>
            <w:pPr>
              <w:jc w:val="center"/>
              <w:spacing w:after="0" w:line="100" w:lineRule="exact"/>
              <w:rPr>
                <w:sz w:val="20"/>
                <w:szCs w:val="20"/>
                <w:color w:val="auto"/>
              </w:rPr>
            </w:pPr>
            <w:r>
              <w:rPr>
                <w:rFonts w:ascii="Arial" w:cs="Arial" w:eastAsia="Arial" w:hAnsi="Arial"/>
                <w:sz w:val="10"/>
                <w:szCs w:val="10"/>
                <w:b w:val="1"/>
                <w:bCs w:val="1"/>
                <w:color w:val="auto"/>
                <w:w w:val="84"/>
              </w:rPr>
              <w:t>Name of each exchange</w:t>
            </w:r>
          </w:p>
        </w:tc>
      </w:tr>
      <w:tr>
        <w:trPr>
          <w:trHeight w:val="123"/>
        </w:trPr>
        <w:tc>
          <w:tcPr>
            <w:tcW w:w="25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3"/>
              </w:rPr>
              <w:t>Title of each class</w:t>
            </w:r>
          </w:p>
        </w:tc>
        <w:tc>
          <w:tcPr>
            <w:tcW w:w="242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0"/>
              </w:rPr>
              <w:t>symbol(s)</w:t>
            </w:r>
          </w:p>
        </w:tc>
        <w:tc>
          <w:tcPr>
            <w:tcW w:w="2360" w:type="dxa"/>
            <w:vAlign w:val="bottom"/>
          </w:tcPr>
          <w:p>
            <w:pPr>
              <w:jc w:val="center"/>
              <w:spacing w:after="0"/>
              <w:rPr>
                <w:sz w:val="20"/>
                <w:szCs w:val="20"/>
                <w:color w:val="auto"/>
              </w:rPr>
            </w:pPr>
            <w:r>
              <w:rPr>
                <w:rFonts w:ascii="Arial" w:cs="Arial" w:eastAsia="Arial" w:hAnsi="Arial"/>
                <w:sz w:val="10"/>
                <w:szCs w:val="10"/>
                <w:b w:val="1"/>
                <w:bCs w:val="1"/>
                <w:color w:val="auto"/>
                <w:w w:val="84"/>
              </w:rPr>
              <w:t>on which registered</w:t>
            </w:r>
          </w:p>
        </w:tc>
      </w:tr>
      <w:tr>
        <w:trPr>
          <w:trHeight w:val="146"/>
        </w:trPr>
        <w:tc>
          <w:tcPr>
            <w:tcW w:w="250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Common Stock, $0.0001 par value per share</w:t>
            </w:r>
          </w:p>
        </w:tc>
        <w:tc>
          <w:tcPr>
            <w:tcW w:w="80" w:type="dxa"/>
            <w:vAlign w:val="bottom"/>
          </w:tcPr>
          <w:p>
            <w:pPr>
              <w:spacing w:after="0"/>
              <w:rPr>
                <w:sz w:val="12"/>
                <w:szCs w:val="12"/>
                <w:color w:val="auto"/>
              </w:rPr>
            </w:pPr>
          </w:p>
        </w:tc>
        <w:tc>
          <w:tcPr>
            <w:tcW w:w="234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AVRO</w:t>
            </w:r>
          </w:p>
        </w:tc>
        <w:tc>
          <w:tcPr>
            <w:tcW w:w="80" w:type="dxa"/>
            <w:vAlign w:val="bottom"/>
          </w:tcPr>
          <w:p>
            <w:pPr>
              <w:spacing w:after="0"/>
              <w:rPr>
                <w:sz w:val="12"/>
                <w:szCs w:val="12"/>
                <w:color w:val="auto"/>
              </w:rPr>
            </w:pPr>
          </w:p>
        </w:tc>
        <w:tc>
          <w:tcPr>
            <w:tcW w:w="236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Nasdaq Global Select Market</w:t>
            </w:r>
          </w:p>
        </w:tc>
      </w:tr>
    </w:tbl>
    <w:p>
      <w:pPr>
        <w:spacing w:after="0" w:line="87" w:lineRule="exact"/>
        <w:rPr>
          <w:sz w:val="24"/>
          <w:szCs w:val="24"/>
          <w:color w:val="auto"/>
        </w:rPr>
      </w:pPr>
    </w:p>
    <w:p>
      <w:pPr>
        <w:ind w:left="840" w:right="999"/>
        <w:spacing w:after="0" w:line="277"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6" w:lineRule="exact"/>
        <w:rPr>
          <w:sz w:val="24"/>
          <w:szCs w:val="24"/>
          <w:color w:val="auto"/>
        </w:rPr>
      </w:pPr>
    </w:p>
    <w:p>
      <w:pPr>
        <w:ind w:left="840"/>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137" w:lineRule="exact"/>
        <w:rPr>
          <w:sz w:val="24"/>
          <w:szCs w:val="24"/>
          <w:color w:val="auto"/>
        </w:rPr>
      </w:pPr>
    </w:p>
    <w:p>
      <w:pPr>
        <w:ind w:left="840" w:right="1019"/>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527685</wp:posOffset>
            </wp:positionH>
            <wp:positionV relativeFrom="paragraph">
              <wp:posOffset>84455</wp:posOffset>
            </wp:positionV>
            <wp:extent cx="467804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78045" cy="571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113030</wp:posOffset>
            </wp:positionV>
            <wp:extent cx="467804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78045" cy="5715"/>
                    </a:xfrm>
                    <a:prstGeom prst="rect">
                      <a:avLst/>
                    </a:prstGeom>
                    <a:noFill/>
                  </pic:spPr>
                </pic:pic>
              </a:graphicData>
            </a:graphic>
          </wp:anchor>
        </w:drawing>
      </w:r>
    </w:p>
    <w:p>
      <w:pPr>
        <w:sectPr>
          <w:pgSz w:w="11900" w:h="16838" w:orient="portrait"/>
          <w:cols w:equalWidth="0" w:num="1">
            <w:col w:w="9019"/>
          </w:cols>
          <w:pgMar w:left="1440" w:top="293" w:right="1440" w:bottom="1440" w:gutter="0" w:footer="0" w:header="0"/>
          <w:type w:val="continuous"/>
        </w:sectPr>
      </w:pPr>
    </w:p>
    <w:bookmarkStart w:id="1" w:name="page2"/>
    <w:bookmarkEnd w:id="1"/>
    <w:p>
      <w:pPr>
        <w:ind w:left="840"/>
        <w:spacing w:after="0"/>
        <w:tabs>
          <w:tab w:leader="none" w:pos="1460" w:val="left"/>
        </w:tabs>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29170" cy="29845"/>
                    </a:xfrm>
                    <a:prstGeom prst="rect">
                      <a:avLst/>
                    </a:prstGeom>
                    <a:noFill/>
                  </pic:spPr>
                </pic:pic>
              </a:graphicData>
            </a:graphic>
          </wp:anchor>
        </w:drawing>
        <w:t>Item 7.01</w:t>
      </w:r>
      <w:r>
        <w:rPr>
          <w:sz w:val="20"/>
          <w:szCs w:val="20"/>
          <w:color w:val="auto"/>
        </w:rPr>
        <w:tab/>
      </w:r>
      <w:r>
        <w:rPr>
          <w:rFonts w:ascii="Arial" w:cs="Arial" w:eastAsia="Arial" w:hAnsi="Arial"/>
          <w:sz w:val="10"/>
          <w:szCs w:val="10"/>
          <w:b w:val="1"/>
          <w:bCs w:val="1"/>
          <w:color w:val="auto"/>
        </w:rPr>
        <w:t>Regulation FD Disclosure.</w:t>
      </w:r>
    </w:p>
    <w:p>
      <w:pPr>
        <w:spacing w:after="0" w:line="83" w:lineRule="exact"/>
        <w:rPr>
          <w:sz w:val="20"/>
          <w:szCs w:val="20"/>
          <w:color w:val="auto"/>
        </w:rPr>
      </w:pPr>
    </w:p>
    <w:p>
      <w:pPr>
        <w:ind w:left="840" w:right="1079"/>
        <w:spacing w:after="0" w:line="277" w:lineRule="auto"/>
        <w:rPr>
          <w:sz w:val="20"/>
          <w:szCs w:val="20"/>
          <w:color w:val="auto"/>
        </w:rPr>
      </w:pPr>
      <w:r>
        <w:rPr>
          <w:rFonts w:ascii="Arial" w:cs="Arial" w:eastAsia="Arial" w:hAnsi="Arial"/>
          <w:sz w:val="12"/>
          <w:szCs w:val="12"/>
          <w:color w:val="auto"/>
        </w:rPr>
        <w:t>On January 13, 2020, AVROBIO, Inc. updated its corporate presentation for use in meetings with investors, analysts and others. A copy of the slide presentation is furnished as Exhibit 99.1 to this Current Report on Form 8-K.</w:t>
      </w:r>
    </w:p>
    <w:p>
      <w:pPr>
        <w:spacing w:after="0" w:line="115" w:lineRule="exact"/>
        <w:rPr>
          <w:sz w:val="20"/>
          <w:szCs w:val="20"/>
          <w:color w:val="auto"/>
        </w:rPr>
      </w:pPr>
    </w:p>
    <w:p>
      <w:pPr>
        <w:jc w:val="both"/>
        <w:ind w:left="840" w:right="819"/>
        <w:spacing w:after="0" w:line="299" w:lineRule="auto"/>
        <w:rPr>
          <w:sz w:val="20"/>
          <w:szCs w:val="20"/>
          <w:color w:val="auto"/>
        </w:rPr>
      </w:pPr>
      <w:r>
        <w:rPr>
          <w:rFonts w:ascii="Arial" w:cs="Arial" w:eastAsia="Arial" w:hAnsi="Arial"/>
          <w:sz w:val="11"/>
          <w:szCs w:val="11"/>
          <w:color w:val="auto"/>
        </w:rPr>
        <w:t>The information in this Item 7.01 and Exhibit 99.1 attached hereto is intended to be furnished and shall not be deemed “filed” for purposes of Section 18 of the Securities Exchange Act of 1934 (the “</w:t>
      </w:r>
      <w:r>
        <w:rPr>
          <w:rFonts w:ascii="Arial" w:cs="Arial" w:eastAsia="Arial" w:hAnsi="Arial"/>
          <w:sz w:val="11"/>
          <w:szCs w:val="11"/>
          <w:u w:val="single" w:color="auto"/>
          <w:color w:val="auto"/>
        </w:rPr>
        <w:t>Exchange Act</w:t>
      </w:r>
      <w:r>
        <w:rPr>
          <w:rFonts w:ascii="Arial" w:cs="Arial" w:eastAsia="Arial" w:hAnsi="Arial"/>
          <w:sz w:val="11"/>
          <w:szCs w:val="11"/>
          <w:color w:val="auto"/>
        </w:rPr>
        <w:t>”) or otherwise subject to the liabilities of that section, nor shall it be deemed incorporated by reference in any filing under the Securities Act of 1933 or the Exchange Act, except as expressly set forth by specific reference in such filing.</w:t>
      </w:r>
    </w:p>
    <w:p>
      <w:pPr>
        <w:spacing w:after="0" w:line="200" w:lineRule="exact"/>
        <w:rPr>
          <w:sz w:val="20"/>
          <w:szCs w:val="20"/>
          <w:color w:val="auto"/>
        </w:rPr>
      </w:pPr>
    </w:p>
    <w:p>
      <w:pPr>
        <w:ind w:left="840"/>
        <w:spacing w:after="0"/>
        <w:tabs>
          <w:tab w:leader="none" w:pos="1460" w:val="left"/>
        </w:tabs>
        <w:rPr>
          <w:sz w:val="20"/>
          <w:szCs w:val="20"/>
          <w:color w:val="auto"/>
        </w:rPr>
      </w:pPr>
      <w:r>
        <w:rPr>
          <w:rFonts w:ascii="Arial" w:cs="Arial" w:eastAsia="Arial" w:hAnsi="Arial"/>
          <w:sz w:val="12"/>
          <w:szCs w:val="12"/>
          <w:b w:val="1"/>
          <w:bCs w:val="1"/>
          <w:color w:val="auto"/>
        </w:rPr>
        <w:t>Item 9.01</w:t>
      </w:r>
      <w:r>
        <w:rPr>
          <w:sz w:val="20"/>
          <w:szCs w:val="20"/>
          <w:color w:val="auto"/>
        </w:rPr>
        <w:tab/>
      </w:r>
      <w:r>
        <w:rPr>
          <w:rFonts w:ascii="Arial" w:cs="Arial" w:eastAsia="Arial" w:hAnsi="Arial"/>
          <w:sz w:val="10"/>
          <w:szCs w:val="10"/>
          <w:b w:val="1"/>
          <w:bCs w:val="1"/>
          <w:color w:val="auto"/>
        </w:rPr>
        <w:t>Financial Statements and Exhibits.</w:t>
      </w:r>
    </w:p>
    <w:p>
      <w:pPr>
        <w:spacing w:after="0" w:line="83" w:lineRule="exact"/>
        <w:rPr>
          <w:sz w:val="20"/>
          <w:szCs w:val="20"/>
          <w:color w:val="auto"/>
        </w:rPr>
      </w:pPr>
    </w:p>
    <w:p>
      <w:pPr>
        <w:ind w:left="840"/>
        <w:spacing w:after="0"/>
        <w:rPr>
          <w:sz w:val="20"/>
          <w:szCs w:val="20"/>
          <w:color w:val="auto"/>
        </w:rPr>
      </w:pPr>
      <w:r>
        <w:rPr>
          <w:rFonts w:ascii="Arial" w:cs="Arial" w:eastAsia="Arial" w:hAnsi="Arial"/>
          <w:sz w:val="12"/>
          <w:szCs w:val="12"/>
          <w:color w:val="auto"/>
        </w:rPr>
        <w:t>(d) Exhibits</w:t>
      </w:r>
    </w:p>
    <w:p>
      <w:pPr>
        <w:spacing w:after="0" w:line="169" w:lineRule="exact"/>
        <w:rPr>
          <w:sz w:val="20"/>
          <w:szCs w:val="20"/>
          <w:color w:val="auto"/>
        </w:rPr>
      </w:pPr>
    </w:p>
    <w:p>
      <w:pPr>
        <w:ind w:left="840"/>
        <w:spacing w:after="0"/>
        <w:tabs>
          <w:tab w:leader="none" w:pos="1260" w:val="left"/>
        </w:tabs>
        <w:rPr>
          <w:rFonts w:ascii="Arial" w:cs="Arial" w:eastAsia="Arial" w:hAnsi="Arial"/>
          <w:sz w:val="10"/>
          <w:szCs w:val="10"/>
          <w:u w:val="single" w:color="auto"/>
          <w:color w:val="0000EE"/>
        </w:rPr>
      </w:pPr>
      <w:r>
        <w:rPr>
          <w:rFonts w:ascii="Arial" w:cs="Arial" w:eastAsia="Arial" w:hAnsi="Arial"/>
          <w:sz w:val="12"/>
          <w:szCs w:val="12"/>
          <w:color w:val="auto"/>
        </w:rPr>
        <w:t>99.1</w:t>
      </w:r>
      <w:r>
        <w:rPr>
          <w:sz w:val="20"/>
          <w:szCs w:val="20"/>
          <w:color w:val="auto"/>
        </w:rPr>
        <w:tab/>
      </w:r>
      <w:hyperlink w:anchor="page4">
        <w:r>
          <w:rPr>
            <w:rFonts w:ascii="Arial" w:cs="Arial" w:eastAsia="Arial" w:hAnsi="Arial"/>
            <w:sz w:val="10"/>
            <w:szCs w:val="10"/>
            <w:u w:val="single" w:color="auto"/>
            <w:color w:val="0000EE"/>
          </w:rPr>
          <w:t>AVROBIO, Inc. slide presentation, dated January 13, 2020.</w:t>
        </w:r>
      </w:hyperlink>
    </w:p>
    <w:p>
      <w:pPr>
        <w:sectPr>
          <w:pgSz w:w="11900" w:h="16838" w:orient="portrait"/>
          <w:cols w:equalWidth="0" w:num="1">
            <w:col w:w="9019"/>
          </w:cols>
          <w:pgMar w:left="1440" w:top="226"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29170" cy="29845"/>
                    </a:xfrm>
                    <a:prstGeom prst="rect">
                      <a:avLst/>
                    </a:prstGeom>
                    <a:noFill/>
                  </pic:spPr>
                </pic:pic>
              </a:graphicData>
            </a:graphic>
          </wp:anchor>
        </w:drawing>
        <w:t>SIGNATURES</w:t>
      </w:r>
    </w:p>
    <w:p>
      <w:pPr>
        <w:spacing w:after="0" w:line="155" w:lineRule="exact"/>
        <w:rPr>
          <w:sz w:val="20"/>
          <w:szCs w:val="20"/>
          <w:color w:val="auto"/>
        </w:rPr>
      </w:pPr>
    </w:p>
    <w:p>
      <w:pPr>
        <w:ind w:left="840" w:right="1319"/>
        <w:spacing w:after="0" w:line="277" w:lineRule="auto"/>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133" w:lineRule="exact"/>
        <w:rPr>
          <w:sz w:val="20"/>
          <w:szCs w:val="20"/>
          <w:color w:val="auto"/>
        </w:rPr>
      </w:pPr>
    </w:p>
    <w:p>
      <w:pPr>
        <w:ind w:left="4600"/>
        <w:spacing w:after="0"/>
        <w:rPr>
          <w:sz w:val="20"/>
          <w:szCs w:val="20"/>
          <w:color w:val="auto"/>
        </w:rPr>
      </w:pPr>
      <w:r>
        <w:rPr>
          <w:rFonts w:ascii="Arial" w:cs="Arial" w:eastAsia="Arial" w:hAnsi="Arial"/>
          <w:sz w:val="12"/>
          <w:szCs w:val="12"/>
          <w:color w:val="auto"/>
        </w:rPr>
        <w:t>AVROBIO, INC.</w:t>
      </w:r>
    </w:p>
    <w:p>
      <w:pPr>
        <w:spacing w:after="0" w:line="151" w:lineRule="exact"/>
        <w:rPr>
          <w:sz w:val="20"/>
          <w:szCs w:val="20"/>
          <w:color w:val="auto"/>
        </w:rPr>
      </w:pPr>
    </w:p>
    <w:p>
      <w:pPr>
        <w:ind w:left="840"/>
        <w:spacing w:after="0"/>
        <w:tabs>
          <w:tab w:leader="none" w:pos="4580" w:val="left"/>
          <w:tab w:leader="none" w:pos="4860" w:val="left"/>
        </w:tabs>
        <w:rPr>
          <w:sz w:val="20"/>
          <w:szCs w:val="20"/>
          <w:color w:val="auto"/>
        </w:rPr>
      </w:pPr>
      <w:r>
        <w:rPr>
          <w:rFonts w:ascii="Arial" w:cs="Arial" w:eastAsia="Arial" w:hAnsi="Arial"/>
          <w:sz w:val="12"/>
          <w:szCs w:val="12"/>
          <w:color w:val="auto"/>
        </w:rPr>
        <w:t>Date: January 13, 2020</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3101340</wp:posOffset>
            </wp:positionH>
            <wp:positionV relativeFrom="paragraph">
              <wp:posOffset>9525</wp:posOffset>
            </wp:positionV>
            <wp:extent cx="2103755"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03755" cy="5715"/>
                    </a:xfrm>
                    <a:prstGeom prst="rect">
                      <a:avLst/>
                    </a:prstGeom>
                    <a:noFill/>
                  </pic:spPr>
                </pic:pic>
              </a:graphicData>
            </a:graphic>
          </wp:anchor>
        </w:drawing>
      </w:r>
    </w:p>
    <w:p>
      <w:pPr>
        <w:spacing w:after="0" w:line="5" w:lineRule="exact"/>
        <w:rPr>
          <w:sz w:val="20"/>
          <w:szCs w:val="20"/>
          <w:color w:val="auto"/>
        </w:rPr>
      </w:pPr>
    </w:p>
    <w:p>
      <w:pPr>
        <w:ind w:left="4880"/>
        <w:spacing w:after="0"/>
        <w:rPr>
          <w:sz w:val="20"/>
          <w:szCs w:val="20"/>
          <w:color w:val="auto"/>
        </w:rPr>
      </w:pPr>
      <w:r>
        <w:rPr>
          <w:rFonts w:ascii="Arial" w:cs="Arial" w:eastAsia="Arial" w:hAnsi="Arial"/>
          <w:sz w:val="12"/>
          <w:szCs w:val="12"/>
          <w:color w:val="auto"/>
        </w:rPr>
        <w:t>Geoff MacKay</w:t>
      </w:r>
    </w:p>
    <w:p>
      <w:pPr>
        <w:spacing w:after="0" w:line="15" w:lineRule="exact"/>
        <w:rPr>
          <w:sz w:val="20"/>
          <w:szCs w:val="20"/>
          <w:color w:val="auto"/>
        </w:rPr>
      </w:pPr>
    </w:p>
    <w:p>
      <w:pPr>
        <w:ind w:left="4880"/>
        <w:spacing w:after="0"/>
        <w:rPr>
          <w:sz w:val="20"/>
          <w:szCs w:val="20"/>
          <w:color w:val="auto"/>
        </w:rPr>
      </w:pPr>
      <w:r>
        <w:rPr>
          <w:rFonts w:ascii="Arial" w:cs="Arial" w:eastAsia="Arial" w:hAnsi="Arial"/>
          <w:sz w:val="12"/>
          <w:szCs w:val="12"/>
          <w:color w:val="auto"/>
        </w:rPr>
        <w:t>President and Chief Executive Officer</w:t>
      </w:r>
    </w:p>
    <w:p>
      <w:pPr>
        <w:sectPr>
          <w:pgSz w:w="11900" w:h="16838" w:orient="portrait"/>
          <w:cols w:equalWidth="0" w:num="1">
            <w:col w:w="9019"/>
          </w:cols>
          <w:pgMar w:left="1440" w:top="226" w:right="144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88900</wp:posOffset>
            </wp:positionV>
            <wp:extent cx="7332980" cy="41275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332980" cy="41275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2020-01-13T06:05:48Z</dcterms:created>
  <dcterms:modified xsi:type="dcterms:W3CDTF">2020-01-13T06:05:48Z</dcterms:modified>
</cp:coreProperties>
</file>