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569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69976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Schwabish Marc</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10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2"/>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TECTONIC THERAPEUTIC, INC.</w:t>
            </w:r>
          </w:p>
        </w:tc>
      </w:tr>
      <w:tr>
        <w:trPr>
          <w:trHeight w:val="25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490 ARSENAL WAY, SUITE 210</w:t>
            </w:r>
          </w:p>
        </w:tc>
        <w:tc>
          <w:tcPr>
            <w:tcW w:w="560" w:type="dxa"/>
            <w:vAlign w:val="bottom"/>
          </w:tcPr>
          <w:p>
            <w:pPr>
              <w:spacing w:after="0"/>
              <w:rPr>
                <w:sz w:val="21"/>
                <w:szCs w:val="21"/>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WATERTOWN</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02472</w:t>
            </w:r>
          </w:p>
        </w:tc>
      </w:tr>
      <w:tr>
        <w:trPr>
          <w:trHeight w:val="456"/>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10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780" w:type="dxa"/>
            <w:vAlign w:val="bottom"/>
            <w:gridSpan w:val="3"/>
          </w:tcPr>
          <w:p>
            <w:pPr>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Tectonic Therapeutic,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80" w:type="dxa"/>
            <w:vAlign w:val="bottom"/>
            <w:tcBorders>
              <w:top w:val="single" w:sz="8" w:color="0000EE"/>
            </w:tcBorders>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06/20/2024</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0000FF"/>
              </w:rPr>
              <w:t>Chief Business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2.38</w:t>
            </w:r>
            <w:r>
              <w:rPr>
                <w:rFonts w:ascii="Times New Roman" w:cs="Times New Roman" w:eastAsia="Times New Roman" w:hAnsi="Times New Roman"/>
                <w:sz w:val="20"/>
                <w:szCs w:val="20"/>
                <w:color w:val="008000"/>
                <w:w w:val="98"/>
                <w:vertAlign w:val="superscript"/>
              </w:rPr>
              <w:t>(1)</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3"/>
              </w:rPr>
              <w:t>91,214</w:t>
            </w:r>
            <w:r>
              <w:rPr>
                <w:rFonts w:ascii="Times New Roman" w:cs="Times New Roman" w:eastAsia="Times New Roman" w:hAnsi="Times New Roman"/>
                <w:sz w:val="20"/>
                <w:szCs w:val="20"/>
                <w:color w:val="008000"/>
                <w:w w:val="93"/>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91,214</w:t>
            </w:r>
            <w:r>
              <w:rPr>
                <w:rFonts w:ascii="Times New Roman" w:cs="Times New Roman" w:eastAsia="Times New Roman" w:hAnsi="Times New Roman"/>
                <w:sz w:val="20"/>
                <w:szCs w:val="20"/>
                <w:color w:val="008000"/>
                <w:w w:val="97"/>
                <w:vertAlign w:val="superscript"/>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06/27/2031</w:t>
            </w:r>
          </w:p>
        </w:tc>
        <w:tc>
          <w:tcPr>
            <w:tcW w:w="6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91,214</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5.38</w:t>
            </w:r>
            <w:r>
              <w:rPr>
                <w:rFonts w:ascii="Times New Roman" w:cs="Times New Roman" w:eastAsia="Times New Roman" w:hAnsi="Times New Roman"/>
                <w:sz w:val="20"/>
                <w:szCs w:val="20"/>
                <w:color w:val="008000"/>
                <w:w w:val="98"/>
                <w:vertAlign w:val="superscript"/>
              </w:rPr>
              <w:t>(1)</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8,016</w:t>
            </w:r>
            <w:r>
              <w:rPr>
                <w:rFonts w:ascii="Times New Roman" w:cs="Times New Roman" w:eastAsia="Times New Roman" w:hAnsi="Times New Roman"/>
                <w:sz w:val="20"/>
                <w:szCs w:val="20"/>
                <w:color w:val="008000"/>
                <w:w w:val="89"/>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8,016</w:t>
            </w:r>
            <w:r>
              <w:rPr>
                <w:rFonts w:ascii="Times New Roman" w:cs="Times New Roman" w:eastAsia="Times New Roman" w:hAnsi="Times New Roman"/>
                <w:sz w:val="20"/>
                <w:szCs w:val="20"/>
                <w:color w:val="008000"/>
                <w:w w:val="96"/>
                <w:vertAlign w:val="superscript"/>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(1)(5)</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11/30/2033</w:t>
            </w:r>
          </w:p>
        </w:tc>
        <w:tc>
          <w:tcPr>
            <w:tcW w:w="6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8,016</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61,600</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16.8</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61,600</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06/19/2034</w:t>
            </w: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61,600</w:t>
            </w:r>
          </w:p>
        </w:tc>
        <w:tc>
          <w:tcPr>
            <w:tcW w:w="7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closing of the Merger, each outstanding option to purchase shares of Tectonic common stock was assumed by the Issuer and converted into an option to purchase the Issuer's common stock, on the same terms and conditions as were applicable to such Tectonic stock option prior to the Merger, as adjusted for the exchange ratio and the reverse stock split.</w:t>
      </w:r>
    </w:p>
    <w:p>
      <w:pPr>
        <w:spacing w:after="0" w:line="21" w:lineRule="exact"/>
        <w:rPr>
          <w:rFonts w:ascii="Times New Roman" w:cs="Times New Roman" w:eastAsia="Times New Roman" w:hAnsi="Times New Roman"/>
          <w:sz w:val="13"/>
          <w:szCs w:val="13"/>
          <w:color w:val="008000"/>
        </w:rPr>
      </w:pPr>
    </w:p>
    <w:p>
      <w:pPr>
        <w:ind w:left="40" w:right="3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to 25% of the shares on March 15, 2022 with the remainder vesting in the following 36 equal monthly installments, subject to the Reporting Person's continued service on each such vesting date.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170,679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December 1, 2023, subject to the Reporting Person's continued service to the Issuer on each such vesting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15,000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40" w:right="160" w:hanging="1"/>
        <w:spacing w:after="0" w:line="24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to 25% of the shares on June 20, 2025 with the remainder vesting in the following 36 equal monthly installments, subject to the Reporting Person's continued service on each such vesting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Daniel Lochner, Attorney-in- </w:t>
      </w:r>
      <w:r>
        <w:rPr>
          <w:rFonts w:ascii="Times New Roman" w:cs="Times New Roman" w:eastAsia="Times New Roman" w:hAnsi="Times New Roman"/>
          <w:sz w:val="31"/>
          <w:szCs w:val="31"/>
          <w:color w:val="0000FF"/>
          <w:vertAlign w:val="subscript"/>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79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23175"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2024-06-24T15:38:47Z</dcterms:created>
  <dcterms:modified xsi:type="dcterms:W3CDTF">2024-06-24T15:38:47Z</dcterms:modified>
</cp:coreProperties>
</file>