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1442085</wp:posOffset>
            </wp:positionH>
            <wp:positionV relativeFrom="page">
              <wp:posOffset>140335</wp:posOffset>
            </wp:positionV>
            <wp:extent cx="467804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78045" cy="5715"/>
                    </a:xfrm>
                    <a:prstGeom prst="rect">
                      <a:avLst/>
                    </a:prstGeom>
                    <a:noFill/>
                  </pic:spPr>
                </pic:pic>
              </a:graphicData>
            </a:graphic>
          </wp:anchor>
        </w:drawing>
        <w:drawing>
          <wp:anchor simplePos="0" relativeHeight="251657728" behindDoc="1" locked="0" layoutInCell="0" allowOverlap="1">
            <wp:simplePos x="0" y="0"/>
            <wp:positionH relativeFrom="page">
              <wp:posOffset>1442085</wp:posOffset>
            </wp:positionH>
            <wp:positionV relativeFrom="page">
              <wp:posOffset>168910</wp:posOffset>
            </wp:positionV>
            <wp:extent cx="467804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78045" cy="571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146050</wp:posOffset>
            </wp:positionV>
            <wp:extent cx="98615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149225</wp:posOffset>
            </wp:positionV>
            <wp:extent cx="98615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October 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149860</wp:posOffset>
            </wp:positionV>
            <wp:extent cx="98615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AVROBIO,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140970</wp:posOffset>
            </wp:positionV>
            <wp:extent cx="98615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p>
      <w:pPr>
        <w:spacing w:after="0" w:line="390" w:lineRule="exact"/>
        <w:rPr>
          <w:sz w:val="24"/>
          <w:szCs w:val="24"/>
          <w:color w:val="auto"/>
        </w:rPr>
      </w:pPr>
    </w:p>
    <w:p>
      <w:pPr>
        <w:jc w:val="center"/>
        <w:ind w:left="54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1140"/>
        <w:spacing w:after="0"/>
        <w:rPr>
          <w:sz w:val="20"/>
          <w:szCs w:val="20"/>
          <w:color w:val="auto"/>
        </w:rPr>
      </w:pPr>
      <w:r>
        <w:rPr>
          <w:rFonts w:ascii="Arial" w:cs="Arial" w:eastAsia="Arial" w:hAnsi="Arial"/>
          <w:sz w:val="10"/>
          <w:szCs w:val="10"/>
          <w:b w:val="1"/>
          <w:bCs w:val="1"/>
          <w:color w:val="auto"/>
        </w:rPr>
        <w:t>001-38537</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1699"/>
        <w:spacing w:after="0"/>
        <w:rPr>
          <w:sz w:val="20"/>
          <w:szCs w:val="20"/>
          <w:color w:val="auto"/>
        </w:rPr>
      </w:pPr>
      <w:r>
        <w:rPr>
          <w:rFonts w:ascii="Arial" w:cs="Arial" w:eastAsia="Arial" w:hAnsi="Arial"/>
          <w:sz w:val="11"/>
          <w:szCs w:val="11"/>
          <w:b w:val="1"/>
          <w:bCs w:val="1"/>
          <w:color w:val="auto"/>
        </w:rPr>
        <w:t>81-0710585</w:t>
      </w:r>
    </w:p>
    <w:p>
      <w:pPr>
        <w:spacing w:after="0" w:line="31" w:lineRule="exact"/>
        <w:rPr>
          <w:sz w:val="24"/>
          <w:szCs w:val="24"/>
          <w:color w:val="auto"/>
        </w:rPr>
      </w:pPr>
    </w:p>
    <w:p>
      <w:pPr>
        <w:sectPr>
          <w:pgSz w:w="11900" w:h="16838" w:orient="portrait"/>
          <w:cols w:equalWidth="0" w:num="3">
            <w:col w:w="3620" w:space="720"/>
            <w:col w:w="1660" w:space="720"/>
            <w:col w:w="2299"/>
          </w:cols>
          <w:pgMar w:left="1440" w:top="293" w:right="1440" w:bottom="1440" w:gutter="0" w:footer="0" w:header="0"/>
          <w:type w:val="continuous"/>
        </w:sectPr>
      </w:pPr>
    </w:p>
    <w:p>
      <w:pPr>
        <w:jc w:val="center"/>
        <w:ind w:left="580"/>
        <w:spacing w:after="0"/>
        <w:rPr>
          <w:sz w:val="20"/>
          <w:szCs w:val="20"/>
          <w:color w:val="auto"/>
        </w:rPr>
      </w:pPr>
      <w:r>
        <w:rPr>
          <w:rFonts w:ascii="Arial" w:cs="Arial" w:eastAsia="Arial" w:hAnsi="Arial"/>
          <w:sz w:val="8"/>
          <w:szCs w:val="8"/>
          <w:b w:val="1"/>
          <w:bCs w:val="1"/>
          <w:color w:val="auto"/>
        </w:rPr>
        <w:t>(State or other jurisdiction</w:t>
      </w:r>
    </w:p>
    <w:p>
      <w:pPr>
        <w:spacing w:after="0" w:line="2"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7"/>
          <w:szCs w:val="7"/>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8"/>
          <w:szCs w:val="8"/>
          <w:b w:val="1"/>
          <w:bCs w:val="1"/>
          <w:color w:val="auto"/>
        </w:rPr>
        <w:t>(I.R.S. Employer</w:t>
      </w:r>
    </w:p>
    <w:p>
      <w:pPr>
        <w:spacing w:after="0" w:line="3"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Identification No.)</w:t>
      </w:r>
    </w:p>
    <w:p>
      <w:pPr>
        <w:spacing w:after="0" w:line="125" w:lineRule="exact"/>
        <w:rPr>
          <w:sz w:val="24"/>
          <w:szCs w:val="24"/>
          <w:color w:val="auto"/>
        </w:rPr>
      </w:pPr>
    </w:p>
    <w:p>
      <w:pPr>
        <w:sectPr>
          <w:pgSz w:w="11900" w:h="16838" w:orient="portrait"/>
          <w:cols w:equalWidth="0" w:num="3">
            <w:col w:w="3600" w:space="720"/>
            <w:col w:w="1600" w:space="720"/>
            <w:col w:w="2379"/>
          </w:cols>
          <w:pgMar w:left="1440" w:top="293" w:right="1440" w:bottom="1440" w:gutter="0" w:footer="0" w:header="0"/>
          <w:type w:val="continuous"/>
        </w:sectPr>
      </w:pPr>
    </w:p>
    <w:p>
      <w:pPr>
        <w:jc w:val="center"/>
        <w:ind w:right="-20"/>
        <w:spacing w:after="0"/>
        <w:rPr>
          <w:sz w:val="20"/>
          <w:szCs w:val="20"/>
          <w:color w:val="auto"/>
        </w:rPr>
      </w:pPr>
      <w:r>
        <w:rPr>
          <w:rFonts w:ascii="Arial" w:cs="Arial" w:eastAsia="Arial" w:hAnsi="Arial"/>
          <w:sz w:val="12"/>
          <w:szCs w:val="12"/>
          <w:b w:val="1"/>
          <w:bCs w:val="1"/>
          <w:color w:val="auto"/>
        </w:rPr>
        <w:t>One Kendall Square</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Building 300, Suite 201</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Cambridge, MA 02139</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8"/>
          <w:szCs w:val="8"/>
          <w:b w:val="1"/>
          <w:bCs w:val="1"/>
          <w:color w:val="auto"/>
        </w:rPr>
        <w:t>(Address of principal executive offices, including zip code)</w:t>
      </w:r>
    </w:p>
    <w:p>
      <w:pPr>
        <w:spacing w:after="0" w:line="116"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(617) 914-8420</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10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Not Applicable</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8"/>
          <w:szCs w:val="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144780</wp:posOffset>
            </wp:positionV>
            <wp:extent cx="98615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type w:val="continuous"/>
        </w:sectPr>
      </w:pPr>
    </w:p>
    <w:p>
      <w:pPr>
        <w:spacing w:after="0" w:line="346" w:lineRule="exact"/>
        <w:rPr>
          <w:sz w:val="24"/>
          <w:szCs w:val="24"/>
          <w:color w:val="auto"/>
        </w:rPr>
      </w:pPr>
    </w:p>
    <w:p>
      <w:pPr>
        <w:ind w:left="840" w:right="1139"/>
        <w:spacing w:after="0" w:line="277"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33"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30"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3"/>
        </w:trPr>
        <w:tc>
          <w:tcPr>
            <w:tcW w:w="25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0"/>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46"/>
        </w:trPr>
        <w:tc>
          <w:tcPr>
            <w:tcW w:w="25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Common Stock, $0.0001 par value per share</w:t>
            </w:r>
          </w:p>
        </w:tc>
        <w:tc>
          <w:tcPr>
            <w:tcW w:w="80" w:type="dxa"/>
            <w:vAlign w:val="bottom"/>
          </w:tcPr>
          <w:p>
            <w:pPr>
              <w:spacing w:after="0"/>
              <w:rPr>
                <w:sz w:val="12"/>
                <w:szCs w:val="12"/>
                <w:color w:val="auto"/>
              </w:rPr>
            </w:pP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AVRO</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Nasdaq Global Select Market</w:t>
            </w:r>
          </w:p>
        </w:tc>
      </w:tr>
    </w:tbl>
    <w:p>
      <w:pPr>
        <w:spacing w:after="0" w:line="96" w:lineRule="exact"/>
        <w:rPr>
          <w:sz w:val="24"/>
          <w:szCs w:val="24"/>
          <w:color w:val="auto"/>
        </w:rPr>
      </w:pPr>
    </w:p>
    <w:p>
      <w:pPr>
        <w:ind w:left="840" w:right="999"/>
        <w:spacing w:after="0" w:line="277"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5" w:lineRule="exact"/>
        <w:rPr>
          <w:sz w:val="24"/>
          <w:szCs w:val="24"/>
          <w:color w:val="auto"/>
        </w:rPr>
      </w:pPr>
    </w:p>
    <w:p>
      <w:pPr>
        <w:ind w:left="84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55" w:lineRule="exact"/>
        <w:rPr>
          <w:sz w:val="24"/>
          <w:szCs w:val="24"/>
          <w:color w:val="auto"/>
        </w:rPr>
      </w:pPr>
    </w:p>
    <w:p>
      <w:pPr>
        <w:ind w:left="840" w:right="101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527685</wp:posOffset>
            </wp:positionH>
            <wp:positionV relativeFrom="paragraph">
              <wp:posOffset>90170</wp:posOffset>
            </wp:positionV>
            <wp:extent cx="467804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78045" cy="571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118745</wp:posOffset>
            </wp:positionV>
            <wp:extent cx="467804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78045" cy="5715"/>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type w:val="continuous"/>
        </w:sectPr>
      </w:pPr>
    </w:p>
    <w:bookmarkStart w:id="1" w:name="page2"/>
    <w:bookmarkEnd w:id="1"/>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Item 7.01</w:t>
      </w:r>
      <w:r>
        <w:rPr>
          <w:sz w:val="20"/>
          <w:szCs w:val="20"/>
          <w:color w:val="auto"/>
        </w:rPr>
        <w:tab/>
      </w:r>
      <w:r>
        <w:rPr>
          <w:rFonts w:ascii="Arial" w:cs="Arial" w:eastAsia="Arial" w:hAnsi="Arial"/>
          <w:sz w:val="10"/>
          <w:szCs w:val="10"/>
          <w:b w:val="1"/>
          <w:bCs w:val="1"/>
          <w:color w:val="auto"/>
        </w:rPr>
        <w:t>Regulation FD Disclosure.</w:t>
      </w:r>
    </w:p>
    <w:p>
      <w:pPr>
        <w:spacing w:after="0" w:line="83" w:lineRule="exact"/>
        <w:rPr>
          <w:sz w:val="20"/>
          <w:szCs w:val="20"/>
          <w:color w:val="auto"/>
        </w:rPr>
      </w:pPr>
    </w:p>
    <w:p>
      <w:pPr>
        <w:ind w:left="840" w:right="1139"/>
        <w:spacing w:after="0" w:line="277" w:lineRule="auto"/>
        <w:rPr>
          <w:sz w:val="20"/>
          <w:szCs w:val="20"/>
          <w:color w:val="auto"/>
        </w:rPr>
      </w:pPr>
      <w:r>
        <w:rPr>
          <w:rFonts w:ascii="Arial" w:cs="Arial" w:eastAsia="Arial" w:hAnsi="Arial"/>
          <w:sz w:val="12"/>
          <w:szCs w:val="12"/>
          <w:color w:val="auto"/>
        </w:rPr>
        <w:t>On October 7, 2019, AVROBIO, Inc. updated its corporate presentation for use in meetings with investors, analysts and others. A copy of the slide presentation is furnished as Exhibit 99.1 to this Current Report on Form 8-K.</w:t>
      </w:r>
    </w:p>
    <w:p>
      <w:pPr>
        <w:spacing w:after="0" w:line="115" w:lineRule="exact"/>
        <w:rPr>
          <w:sz w:val="20"/>
          <w:szCs w:val="20"/>
          <w:color w:val="auto"/>
        </w:rPr>
      </w:pPr>
    </w:p>
    <w:p>
      <w:pPr>
        <w:jc w:val="both"/>
        <w:ind w:left="840" w:right="819"/>
        <w:spacing w:after="0" w:line="299" w:lineRule="auto"/>
        <w:rPr>
          <w:sz w:val="20"/>
          <w:szCs w:val="20"/>
          <w:color w:val="auto"/>
        </w:rPr>
      </w:pPr>
      <w:r>
        <w:rPr>
          <w:rFonts w:ascii="Arial" w:cs="Arial" w:eastAsia="Arial" w:hAnsi="Arial"/>
          <w:sz w:val="11"/>
          <w:szCs w:val="11"/>
          <w:color w:val="auto"/>
        </w:rPr>
        <w:t>The information in this Item 7.01 and Exhibit 99.1 attached hereto is intended to be furnished and shall not be deemed “filed” for purposes of Section 18 of the Securities Exchange Act of 1934 (the “</w:t>
      </w:r>
      <w:r>
        <w:rPr>
          <w:rFonts w:ascii="Arial" w:cs="Arial" w:eastAsia="Arial" w:hAnsi="Arial"/>
          <w:sz w:val="11"/>
          <w:szCs w:val="11"/>
          <w:u w:val="single" w:color="auto"/>
          <w:color w:val="auto"/>
        </w:rPr>
        <w:t>Exchange Act</w:t>
      </w:r>
      <w:r>
        <w:rPr>
          <w:rFonts w:ascii="Arial" w:cs="Arial" w:eastAsia="Arial" w:hAnsi="Arial"/>
          <w:sz w:val="11"/>
          <w:szCs w:val="11"/>
          <w:color w:val="auto"/>
        </w:rPr>
        <w:t>”) or otherwise subject to the liabilities of that section, nor shall it be deemed incorporated by reference in any filing under the Securities Act of 1933 or the Exchange Act, except as expressly set forth by specific reference in such filing.</w:t>
      </w:r>
    </w:p>
    <w:p>
      <w:pPr>
        <w:spacing w:after="0" w:line="200"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83"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Exhibits</w:t>
      </w:r>
    </w:p>
    <w:p>
      <w:pPr>
        <w:spacing w:after="0" w:line="169" w:lineRule="exact"/>
        <w:rPr>
          <w:sz w:val="20"/>
          <w:szCs w:val="20"/>
          <w:color w:val="auto"/>
        </w:rPr>
      </w:pPr>
    </w:p>
    <w:p>
      <w:pPr>
        <w:ind w:left="840"/>
        <w:spacing w:after="0"/>
        <w:tabs>
          <w:tab w:leader="none" w:pos="1260" w:val="left"/>
        </w:tabs>
        <w:rPr>
          <w:rFonts w:ascii="Arial" w:cs="Arial" w:eastAsia="Arial" w:hAnsi="Arial"/>
          <w:sz w:val="10"/>
          <w:szCs w:val="10"/>
          <w:u w:val="single" w:color="auto"/>
          <w:color w:val="0000EE"/>
        </w:rPr>
      </w:pPr>
      <w:r>
        <w:rPr>
          <w:rFonts w:ascii="Arial" w:cs="Arial" w:eastAsia="Arial" w:hAnsi="Arial"/>
          <w:sz w:val="12"/>
          <w:szCs w:val="12"/>
          <w:color w:val="auto"/>
        </w:rPr>
        <w:t>99.1</w:t>
      </w:r>
      <w:r>
        <w:rPr>
          <w:sz w:val="20"/>
          <w:szCs w:val="20"/>
          <w:color w:val="auto"/>
        </w:rPr>
        <w:tab/>
      </w:r>
      <w:hyperlink w:anchor="page4">
        <w:r>
          <w:rPr>
            <w:rFonts w:ascii="Arial" w:cs="Arial" w:eastAsia="Arial" w:hAnsi="Arial"/>
            <w:sz w:val="10"/>
            <w:szCs w:val="10"/>
            <w:u w:val="single" w:color="auto"/>
            <w:color w:val="0000EE"/>
          </w:rPr>
          <w:t>AVROBIO, Inc. slide presentation, dated October 7, 2019.</w:t>
        </w:r>
      </w:hyperlink>
    </w:p>
    <w:p>
      <w:pPr>
        <w:sectPr>
          <w:pgSz w:w="11900" w:h="16838" w:orient="portrait"/>
          <w:cols w:equalWidth="0" w:num="1">
            <w:col w:w="9019"/>
          </w:cols>
          <w:pgMar w:left="1440" w:top="226"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SIGNATURES</w:t>
      </w:r>
    </w:p>
    <w:p>
      <w:pPr>
        <w:spacing w:after="0" w:line="155" w:lineRule="exact"/>
        <w:rPr>
          <w:sz w:val="20"/>
          <w:szCs w:val="20"/>
          <w:color w:val="auto"/>
        </w:rPr>
      </w:pPr>
    </w:p>
    <w:p>
      <w:pPr>
        <w:ind w:left="840" w:right="1319"/>
        <w:spacing w:after="0" w:line="277"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33" w:lineRule="exact"/>
        <w:rPr>
          <w:sz w:val="20"/>
          <w:szCs w:val="20"/>
          <w:color w:val="auto"/>
        </w:rPr>
      </w:pPr>
    </w:p>
    <w:p>
      <w:pPr>
        <w:ind w:left="4600"/>
        <w:spacing w:after="0"/>
        <w:rPr>
          <w:sz w:val="20"/>
          <w:szCs w:val="20"/>
          <w:color w:val="auto"/>
        </w:rPr>
      </w:pPr>
      <w:r>
        <w:rPr>
          <w:rFonts w:ascii="Arial" w:cs="Arial" w:eastAsia="Arial" w:hAnsi="Arial"/>
          <w:sz w:val="12"/>
          <w:szCs w:val="12"/>
          <w:color w:val="auto"/>
        </w:rPr>
        <w:t>AVROBIO, INC.</w:t>
      </w:r>
    </w:p>
    <w:p>
      <w:pPr>
        <w:spacing w:after="0" w:line="151" w:lineRule="exact"/>
        <w:rPr>
          <w:sz w:val="20"/>
          <w:szCs w:val="20"/>
          <w:color w:val="auto"/>
        </w:rPr>
      </w:pPr>
    </w:p>
    <w:p>
      <w:pPr>
        <w:ind w:left="840"/>
        <w:spacing w:after="0"/>
        <w:tabs>
          <w:tab w:leader="none" w:pos="4580" w:val="left"/>
          <w:tab w:leader="none" w:pos="4860" w:val="left"/>
        </w:tabs>
        <w:rPr>
          <w:sz w:val="20"/>
          <w:szCs w:val="20"/>
          <w:color w:val="auto"/>
        </w:rPr>
      </w:pPr>
      <w:r>
        <w:rPr>
          <w:rFonts w:ascii="Arial" w:cs="Arial" w:eastAsia="Arial" w:hAnsi="Arial"/>
          <w:sz w:val="12"/>
          <w:szCs w:val="12"/>
          <w:color w:val="auto"/>
        </w:rPr>
        <w:t>Date: October 7, 2019</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3101340</wp:posOffset>
            </wp:positionH>
            <wp:positionV relativeFrom="paragraph">
              <wp:posOffset>9525</wp:posOffset>
            </wp:positionV>
            <wp:extent cx="210375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03755" cy="5715"/>
                    </a:xfrm>
                    <a:prstGeom prst="rect">
                      <a:avLst/>
                    </a:prstGeom>
                    <a:noFill/>
                  </pic:spPr>
                </pic:pic>
              </a:graphicData>
            </a:graphic>
          </wp:anchor>
        </w:drawing>
      </w:r>
    </w:p>
    <w:p>
      <w:pPr>
        <w:spacing w:after="0" w:line="5"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Geoff MacKay</w:t>
      </w:r>
    </w:p>
    <w:p>
      <w:pPr>
        <w:spacing w:after="0" w:line="15"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President and Chief Executive Officer</w:t>
      </w:r>
    </w:p>
    <w:p>
      <w:pPr>
        <w:sectPr>
          <w:pgSz w:w="11900" w:h="16838" w:orient="portrait"/>
          <w:cols w:equalWidth="0" w:num="1">
            <w:col w:w="9019"/>
          </w:cols>
          <w:pgMar w:left="1440" w:top="226"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4127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332980" cy="412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2019-12-28T05:38:26Z</dcterms:created>
  <dcterms:modified xsi:type="dcterms:W3CDTF">2019-12-28T05:38:26Z</dcterms:modified>
</cp:coreProperties>
</file>