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20, 2018.</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00" w:type="dxa"/>
        <w:tblCellMar>
          <w:top w:w="0" w:type="dxa"/>
          <w:left w:w="0" w:type="dxa"/>
          <w:bottom w:w="0" w:type="dxa"/>
          <w:right w:w="0" w:type="dxa"/>
        </w:tblCellMar>
      </w:tblPr>
      <w:tr>
        <w:trPr>
          <w:trHeight w:val="214"/>
        </w:trPr>
        <w:tc>
          <w:tcPr>
            <w:tcW w:w="290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5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290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Geoff MacKay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0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2900" w:type="dxa"/>
            <w:vAlign w:val="bottom"/>
          </w:tcPr>
          <w:p>
            <w:pPr>
              <w:spacing w:after="0"/>
              <w:rPr>
                <w:sz w:val="20"/>
                <w:szCs w:val="20"/>
                <w:color w:val="auto"/>
              </w:rPr>
            </w:pPr>
          </w:p>
        </w:tc>
      </w:tr>
      <w:tr>
        <w:trPr>
          <w:trHeight w:val="315"/>
        </w:trPr>
        <w:tc>
          <w:tcPr>
            <w:tcW w:w="29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Arthur McGivern, Esq.</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Katina Dorton</w:t>
            </w:r>
          </w:p>
        </w:tc>
        <w:tc>
          <w:tcPr>
            <w:tcW w:w="29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Patrick O’Brien, Esq.</w:t>
            </w:r>
          </w:p>
        </w:tc>
      </w:tr>
      <w:tr>
        <w:trPr>
          <w:trHeight w:val="216"/>
        </w:trPr>
        <w:tc>
          <w:tcPr>
            <w:tcW w:w="29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James Xu, Esq.</w:t>
            </w:r>
          </w:p>
        </w:tc>
        <w:tc>
          <w:tcPr>
            <w:tcW w:w="4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AVROBIO, Inc.</w:t>
            </w:r>
          </w:p>
        </w:tc>
        <w:tc>
          <w:tcPr>
            <w:tcW w:w="29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Ropes &amp; Gray LLP</w:t>
            </w:r>
          </w:p>
        </w:tc>
      </w:t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Kendall Square</w:t>
            </w:r>
          </w:p>
        </w:tc>
        <w:tc>
          <w:tcPr>
            <w:tcW w:w="29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Prudential Tower</w:t>
            </w:r>
          </w:p>
        </w:tc>
      </w:t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Building 300, Suite 201</w:t>
            </w:r>
          </w:p>
        </w:tc>
        <w:tc>
          <w:tcPr>
            <w:tcW w:w="29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800 Boylston Street</w:t>
            </w:r>
          </w:p>
        </w:tc>
      </w:tr>
      <w:tr>
        <w:trPr>
          <w:trHeight w:val="216"/>
        </w:trPr>
        <w:tc>
          <w:tcPr>
            <w:tcW w:w="29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Boston, Massachusetts 02210</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c>
          <w:tcPr>
            <w:tcW w:w="29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Boston, Massachusetts 02199</w:t>
            </w:r>
          </w:p>
        </w:tc>
      </w:tr>
      <w:tr>
        <w:trPr>
          <w:trHeight w:val="238"/>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914-8420</w:t>
            </w:r>
          </w:p>
        </w:tc>
        <w:tc>
          <w:tcPr>
            <w:tcW w:w="29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(617) 951-7000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As soon as practicable after the effective date of this registration statement</w:t>
      </w:r>
      <w:r>
        <w:rPr>
          <w:rFonts w:ascii="Times New Roman" w:cs="Times New Roman" w:eastAsia="Times New Roman" w:hAnsi="Times New Roman"/>
          <w:sz w:val="18"/>
          <w:szCs w:val="18"/>
          <w:color w:val="auto"/>
        </w:rPr>
        <w:t>.</w:t>
      </w:r>
    </w:p>
    <w:p>
      <w:pPr>
        <w:spacing w:after="0" w:line="229" w:lineRule="exact"/>
        <w:rPr>
          <w:sz w:val="24"/>
          <w:szCs w:val="24"/>
          <w:color w:val="auto"/>
        </w:rPr>
      </w:pPr>
    </w:p>
    <w:p>
      <w:pPr>
        <w:jc w:val="both"/>
        <w:ind w:right="4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333-225213</w:t>
      </w:r>
    </w:p>
    <w:p>
      <w:pPr>
        <w:spacing w:after="0" w:line="179" w:lineRule="exact"/>
        <w:rPr>
          <w:sz w:val="24"/>
          <w:szCs w:val="24"/>
          <w:color w:val="auto"/>
        </w:rPr>
      </w:pPr>
    </w:p>
    <w:p>
      <w:pPr>
        <w:ind w:right="26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8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83" w:orient="portrait"/>
          <w:cols w:equalWidth="0" w:num="1">
            <w:col w:w="11420"/>
          </w:cols>
          <w:pgMar w:left="240" w:top="225" w:right="239" w:bottom="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83" w:orient="portrait"/>
          <w:cols w:equalWidth="0" w:num="4">
            <w:col w:w="1780" w:space="720"/>
            <w:col w:w="5540" w:space="720"/>
            <w:col w:w="1780" w:space="720"/>
            <w:col w:w="160"/>
          </w:cols>
          <w:pgMar w:left="240" w:top="225" w:right="239" w:bottom="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83" w:orient="portrait"/>
          <w:cols w:equalWidth="0" w:num="5">
            <w:col w:w="1780" w:space="720"/>
            <w:col w:w="3340" w:space="80"/>
            <w:col w:w="2120" w:space="720"/>
            <w:col w:w="2060" w:space="440"/>
            <w:col w:w="160"/>
          </w:cols>
          <w:pgMar w:left="240" w:top="225" w:right="239" w:bottom="0" w:gutter="0" w:footer="0" w:header="0"/>
          <w:type w:val="continuous"/>
        </w:sectPr>
      </w:pPr>
    </w:p>
    <w:bookmarkStart w:id="1" w:name="page2"/>
    <w:bookmarkEnd w:id="1"/>
    <w:p>
      <w:pPr>
        <w:spacing w:after="0" w:line="207" w:lineRule="exact"/>
        <w:tabs>
          <w:tab w:leader="none" w:pos="24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7"/>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vMerge w:val="restart"/>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right w:val="single" w:sz="8" w:color="auto"/>
            </w:tcBorders>
          </w:tcPr>
          <w:p>
            <w:pPr>
              <w:jc w:val="center"/>
              <w:ind w:left="27"/>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600" w:type="dxa"/>
            <w:vAlign w:val="bottom"/>
            <w:tcBorders>
              <w:right w:val="single" w:sz="8" w:color="auto"/>
            </w:tcBorders>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7"/>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tcPr>
          <w:p>
            <w:pPr>
              <w:jc w:val="center"/>
              <w:ind w:left="22"/>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961,351</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Times New Roman" w:cs="Times New Roman" w:eastAsia="Times New Roman" w:hAnsi="Times New Roman"/>
                <w:sz w:val="18"/>
                <w:szCs w:val="18"/>
                <w:color w:val="auto"/>
              </w:rPr>
              <w:t>$19.00</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$18,265,669</w:t>
            </w:r>
          </w:p>
        </w:tc>
        <w:tc>
          <w:tcPr>
            <w:tcW w:w="15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$2,274.08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600" w:hanging="452"/>
        <w:spacing w:after="0" w:line="25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the additional number of shares being registered and includes 125,393 shares of common stock issuable upon exercise of the underwriters’ option to purchase additional shares to cover over-allotments, if any. Does not include the securities that the Registrant previously registered on the Registration Statement on Form S-1 (File No. 333-225213).</w:t>
      </w:r>
    </w:p>
    <w:p>
      <w:pPr>
        <w:spacing w:after="0" w:line="1" w:lineRule="exact"/>
        <w:rPr>
          <w:rFonts w:ascii="Times New Roman" w:cs="Times New Roman" w:eastAsia="Times New Roman" w:hAnsi="Times New Roman"/>
          <w:sz w:val="18"/>
          <w:szCs w:val="18"/>
          <w:color w:val="auto"/>
        </w:rPr>
      </w:pPr>
    </w:p>
    <w:p>
      <w:pPr>
        <w:ind w:left="460" w:right="460" w:hanging="452"/>
        <w:spacing w:after="0" w:line="253"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457(a) under the Securities Act of 1933, as amended, based on the proposed maximum aggregate offering price. The registrant previously registered securities at an aggregate offering price not to exceed $91,328,400 on a Registration Statement on Form S-1 (File No. 333-225213), which was declared effective by the Securities and Exchange Commission on June 20, 2018. In accordance with Rule 462(b) under the Securities Act, an additional amount of securities having a proposed maximum aggregate offering price of $18,265,669 is hereby registered, which includes shares issuable upon the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Registration Statement shall become effective upon filing in accordance with Rule 462(b)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1" w:right="2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and incorporation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Registration Statement is being filed pursuant to Rule 462(b) under the Securities Act of 1933, as amended (the “Securities Act”). The contents of the Registration Statement on Form S-1 (File No. 333-225213) filed by AVROBIO, Inc. with the Securities and Exchange Commission (the “Commission”) pursuant to the Securities Act, which was declared effective by the Commission on June 20, 2018, are incorporated by reference into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opinion and consents are listed on an Exhibit Index attached hereto and filed herewith.</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240" w:top="266"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Index</w:t>
            </w:r>
          </w:p>
        </w:tc>
        <w:tc>
          <w:tcPr>
            <w:tcW w:w="4980" w:type="dxa"/>
            <w:vAlign w:val="bottom"/>
            <w:gridSpan w:val="4"/>
          </w:tcPr>
          <w:p>
            <w:pPr>
              <w:spacing w:after="0"/>
              <w:rPr>
                <w:sz w:val="24"/>
                <w:szCs w:val="24"/>
                <w:color w:val="auto"/>
              </w:rPr>
            </w:pPr>
          </w:p>
        </w:tc>
      </w:tr>
      <w:tr>
        <w:trPr>
          <w:trHeight w:val="264"/>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tcPr>
          <w:p>
            <w:pPr>
              <w:spacing w:after="0"/>
              <w:rPr>
                <w:sz w:val="22"/>
                <w:szCs w:val="22"/>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95"/>
              </w:rPr>
              <w:t>23.1</w:t>
            </w:r>
          </w:p>
        </w:tc>
        <w:tc>
          <w:tcPr>
            <w:tcW w:w="780" w:type="dxa"/>
            <w:vAlign w:val="bottom"/>
          </w:tcPr>
          <w:p>
            <w:pPr>
              <w:spacing w:after="0"/>
              <w:rPr>
                <w:sz w:val="24"/>
                <w:szCs w:val="24"/>
                <w:color w:val="auto"/>
              </w:rPr>
            </w:pPr>
          </w:p>
        </w:tc>
        <w:tc>
          <w:tcPr>
            <w:tcW w:w="58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w:t>
            </w:r>
          </w:p>
        </w:tc>
      </w:tr>
      <w:tr>
        <w:trPr>
          <w:trHeight w:val="304"/>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95"/>
              </w:rPr>
              <w:t>23.2</w:t>
            </w:r>
          </w:p>
        </w:tc>
        <w:tc>
          <w:tcPr>
            <w:tcW w:w="780" w:type="dxa"/>
            <w:vAlign w:val="bottom"/>
          </w:tcPr>
          <w:p>
            <w:pPr>
              <w:spacing w:after="0"/>
              <w:rPr>
                <w:sz w:val="24"/>
                <w:szCs w:val="24"/>
                <w:color w:val="auto"/>
              </w:rPr>
            </w:pPr>
          </w:p>
        </w:tc>
        <w:tc>
          <w:tcPr>
            <w:tcW w:w="4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(included in Exhibit 5.1)</w:t>
            </w:r>
          </w:p>
        </w:tc>
        <w:tc>
          <w:tcPr>
            <w:tcW w:w="1580" w:type="dxa"/>
            <w:vAlign w:val="bottom"/>
          </w:tcPr>
          <w:p>
            <w:pPr>
              <w:spacing w:after="0"/>
              <w:rPr>
                <w:sz w:val="24"/>
                <w:szCs w:val="24"/>
                <w:color w:val="auto"/>
              </w:rPr>
            </w:pPr>
          </w:p>
        </w:tc>
      </w:tr>
      <w:tr>
        <w:trPr>
          <w:trHeight w:val="304"/>
        </w:trPr>
        <w:tc>
          <w:tcPr>
            <w:tcW w:w="7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98"/>
              </w:rPr>
              <w:t>24.1*</w:t>
            </w:r>
          </w:p>
        </w:tc>
        <w:tc>
          <w:tcPr>
            <w:tcW w:w="78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Power of Attorney</w:t>
              </w:r>
            </w:hyperlink>
          </w:p>
        </w:tc>
        <w:tc>
          <w:tcPr>
            <w:tcW w:w="4480" w:type="dxa"/>
            <w:vAlign w:val="bottom"/>
            <w:gridSpan w:val="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line="282"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the signature page to the Registrant’s Registration Statement on Form S-1, as amended (File No. 333-225213), originally filed with the Securities and Exchange Commission on May 25, 2018 and incorporated by reference herein.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66" w:right="31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Cambridge, Commonwealth of Massachusetts, on the 20th day of June, 2018.</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Geoff MacKay</w:t>
      </w:r>
    </w:p>
    <w:p>
      <w:pPr>
        <w:spacing w:after="0" w:line="27"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President, Chief Executive Officer and Principal</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4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18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5"/>
        </w:trPr>
        <w:tc>
          <w:tcPr>
            <w:tcW w:w="3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/s/ Geoff MacKay</w:t>
            </w: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8"/>
              </w:rPr>
              <w:t>Director, President, Chief Executive Officer and</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Geoff MacKay</w:t>
            </w: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 Katina Dorton</w:t>
            </w: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rPr>
              <w:t>Chief Financial Officer and Principal Financial and Accounting</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Katina Dorton</w:t>
            </w: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7"/>
              </w:rPr>
              <w:t>Officer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5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24"/>
                <w:szCs w:val="24"/>
                <w:color w:val="auto"/>
              </w:rPr>
            </w:pP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Bruce Booth, D.Phil.</w:t>
            </w:r>
          </w:p>
        </w:tc>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5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24"/>
                <w:szCs w:val="24"/>
                <w:color w:val="auto"/>
              </w:rPr>
            </w:pP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Ian T. Clark</w:t>
            </w:r>
          </w:p>
        </w:tc>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80" w:type="dxa"/>
            <w:vAlign w:val="bottom"/>
            <w:tcBorders>
              <w:bottom w:val="single" w:sz="8" w:color="auto"/>
            </w:tcBorders>
          </w:tcPr>
          <w:p>
            <w:pPr>
              <w:spacing w:after="0"/>
              <w:rPr>
                <w:sz w:val="23"/>
                <w:szCs w:val="23"/>
                <w:color w:val="auto"/>
              </w:rPr>
            </w:pPr>
          </w:p>
        </w:tc>
        <w:tc>
          <w:tcPr>
            <w:tcW w:w="42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14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180" w:type="dxa"/>
            <w:vAlign w:val="bottom"/>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8"/>
              </w:rPr>
              <w:t>Phillip B. Donenberg</w:t>
            </w:r>
          </w:p>
        </w:tc>
        <w:tc>
          <w:tcPr>
            <w:tcW w:w="51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5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24"/>
                <w:szCs w:val="24"/>
                <w:color w:val="auto"/>
              </w:rPr>
            </w:pP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Annalisa Jenkins, M.B.B.S., F.R.C.P.</w:t>
            </w:r>
          </w:p>
        </w:tc>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5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24"/>
                <w:szCs w:val="24"/>
                <w:color w:val="auto"/>
              </w:rPr>
            </w:pP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Christopher Paige, Ph.D.</w:t>
            </w:r>
          </w:p>
        </w:tc>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5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24"/>
                <w:szCs w:val="24"/>
                <w:color w:val="auto"/>
              </w:rPr>
            </w:pP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Scott G. Requadt</w:t>
            </w:r>
          </w:p>
        </w:tc>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5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24"/>
                <w:szCs w:val="24"/>
                <w:color w:val="auto"/>
              </w:rPr>
            </w:pPr>
          </w:p>
        </w:tc>
        <w:tc>
          <w:tcPr>
            <w:tcW w:w="5140" w:type="dxa"/>
            <w:vAlign w:val="bottom"/>
          </w:tcPr>
          <w:p>
            <w:pPr>
              <w:jc w:val="center"/>
              <w:ind w:left="31"/>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June 20, 2018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Joshua Resnick, M.D.</w:t>
            </w:r>
          </w:p>
        </w:tc>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Pursuant to Power of Attorney</w:t>
            </w:r>
          </w:p>
        </w:tc>
        <w:tc>
          <w:tcPr>
            <w:tcW w:w="5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Geoff MacKay</w:t>
            </w:r>
          </w:p>
        </w:tc>
        <w:tc>
          <w:tcPr>
            <w:tcW w:w="5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4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Geoff MacKay</w:t>
            </w:r>
          </w:p>
        </w:tc>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5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right"/>
              <w:ind w:right="4331"/>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66"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20,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3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(i) a Registration Statement on Form S-1 (File No. 333-225213) (as amended or supplemented, the “Initial Registration Statement”) pursuant to the Securities Act of 1933, as amended (the “Securities Act”), and (ii) a second Registration Statement on Form S-1 filed pursuant to Rule 462(b) promulgated under the Securities Act (the “462(b) Registration Statement,” and together with the Initial Registration Statement, the “Registration Statement”). This opinion letter is furnished to you in connection with your filing of the 462(b) Registration Statement, relating to the registration of the offering by AVROBIO, Inc., a Delaware corporation (the “Company”) of up to 961,351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8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462(b) Registration Statement and to the references to our firm under the caption “Legal Matters” in the Initial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420"/>
          </w:cols>
          <w:pgMar w:left="240" w:top="117"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S-1 filed pursuant to Rule 462(b) of the Securities Act of 1933 of the reference to our firm under the caption “Experts” and to the incorporation by reference of our report dated April 6, 2018 (except for Note 17(b) as to which the date is June 11, 2018), with respect to the consolidated financial statements of AVROBIO, Inc. included in the Registration Statement (Form S-1 No. 333-225213) and related Prospectus of AVROBIO, Inc. for the registration of its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2018</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1" Type="http://schemas.openxmlformats.org/officeDocument/2006/relationships/hyperlink" Target="http://www.sec.gov/Archives/edgar/data/1681087/000119312518175024/d562006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2019-12-08T15:42:49Z</dcterms:created>
  <dcterms:modified xsi:type="dcterms:W3CDTF">2019-12-08T15:42:49Z</dcterms:modified>
</cp:coreProperties>
</file>