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Tectonic Therapeutic,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878972108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Atlas Venture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Ommer Chohan, 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Technology Square, 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 USA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201-2700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October 24.2024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86" w:lineRule="exact"/>
        <w:rPr>
          <w:sz w:val="24"/>
          <w:szCs w:val="24"/>
          <w:color w:val="auto"/>
        </w:rPr>
      </w:pPr>
    </w:p>
    <w:p>
      <w:pPr>
        <w:ind w:left="360" w:right="20" w:hanging="348"/>
        <w:spacing w:after="0" w:line="282"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2 of 10</w:t>
      </w:r>
    </w:p>
    <w:p>
      <w:pPr>
        <w:spacing w:after="0" w:line="225" w:lineRule="exact"/>
        <w:rPr>
          <w:sz w:val="20"/>
          <w:szCs w:val="20"/>
          <w:color w:val="auto"/>
        </w:rPr>
      </w:pPr>
    </w:p>
    <w:p>
      <w:pPr>
        <w:ind w:left="1360" w:right="7040" w:hanging="999"/>
        <w:spacing w:after="0" w:line="279" w:lineRule="auto"/>
        <w:tabs>
          <w:tab w:leader="none" w:pos="136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NAMES OF REPORTING PERSONS: ATLAS VENTURE FUND X, L.P.</w:t>
      </w:r>
    </w:p>
    <w:p>
      <w:pPr>
        <w:spacing w:after="0" w:line="5" w:lineRule="exact"/>
        <w:rPr>
          <w:sz w:val="20"/>
          <w:szCs w:val="20"/>
          <w:color w:val="auto"/>
        </w:rPr>
      </w:pPr>
    </w:p>
    <w:p>
      <w:pPr>
        <w:ind w:left="1360" w:hanging="999"/>
        <w:spacing w:after="0"/>
        <w:tabs>
          <w:tab w:leader="none" w:pos="1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36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1360" w:hanging="999"/>
        <w:spacing w:after="0"/>
        <w:tabs>
          <w:tab w:leader="none" w:pos="1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7" w:lineRule="exact"/>
        <w:rPr>
          <w:sz w:val="20"/>
          <w:szCs w:val="20"/>
          <w:color w:val="auto"/>
        </w:rPr>
      </w:pPr>
    </w:p>
    <w:p>
      <w:pPr>
        <w:ind w:left="1360" w:right="6380" w:hanging="999"/>
        <w:spacing w:after="0" w:line="263" w:lineRule="auto"/>
        <w:tabs>
          <w:tab w:leader="none" w:pos="1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999"/>
        <w:spacing w:after="0"/>
        <w:tabs>
          <w:tab w:leader="none" w:pos="1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60" w:right="6160" w:hanging="999"/>
        <w:spacing w:after="0" w:line="258" w:lineRule="auto"/>
        <w:tabs>
          <w:tab w:leader="none" w:pos="1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90"/>
        </w:trPr>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top w:val="single" w:sz="8" w:color="auto"/>
            </w:tcBorders>
          </w:tcPr>
          <w:p>
            <w:pPr>
              <w:ind w:left="440"/>
              <w:spacing w:after="0" w:line="190"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4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82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020" w:type="dxa"/>
            <w:vAlign w:val="bottom"/>
          </w:tcPr>
          <w:p>
            <w:pPr>
              <w:spacing w:after="0"/>
              <w:rPr>
                <w:sz w:val="22"/>
                <w:szCs w:val="22"/>
                <w:color w:val="auto"/>
              </w:rPr>
            </w:pPr>
          </w:p>
        </w:tc>
        <w:tc>
          <w:tcPr>
            <w:tcW w:w="8400" w:type="dxa"/>
            <w:vAlign w:val="bottom"/>
          </w:tcPr>
          <w:p>
            <w:pPr>
              <w:ind w:left="440"/>
              <w:spacing w:after="0" w:line="256" w:lineRule="exact"/>
              <w:rPr>
                <w:sz w:val="20"/>
                <w:szCs w:val="20"/>
                <w:color w:val="auto"/>
              </w:rPr>
            </w:pPr>
            <w:r>
              <w:rPr>
                <w:rFonts w:ascii="Times New Roman" w:cs="Times New Roman" w:eastAsia="Times New Roman" w:hAnsi="Times New Roman"/>
                <w:sz w:val="18"/>
                <w:szCs w:val="18"/>
                <w:color w:val="auto"/>
              </w:rPr>
              <w:t>9,171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68"/>
        </w:trPr>
        <w:tc>
          <w:tcPr>
            <w:tcW w:w="18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1020" w:type="dxa"/>
            <w:vAlign w:val="bottom"/>
            <w:vMerge w:val="restart"/>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vMerge w:val="restart"/>
          </w:tcPr>
          <w:p>
            <w:pPr>
              <w:ind w:left="4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2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4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bottom w:val="single" w:sz="8" w:color="auto"/>
            </w:tcBorders>
          </w:tcPr>
          <w:p>
            <w:pPr>
              <w:spacing w:after="0"/>
              <w:rPr>
                <w:sz w:val="12"/>
                <w:szCs w:val="12"/>
                <w:color w:val="auto"/>
              </w:rPr>
            </w:pPr>
          </w:p>
        </w:tc>
        <w:tc>
          <w:tcPr>
            <w:tcW w:w="8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8400" w:type="dxa"/>
            <w:vAlign w:val="bottom"/>
            <w:vMerge w:val="restart"/>
          </w:tcPr>
          <w:p>
            <w:pPr>
              <w:ind w:left="440"/>
              <w:spacing w:after="0" w:line="20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020" w:type="dxa"/>
            <w:vAlign w:val="bottom"/>
            <w:vMerge w:val="continue"/>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400" w:type="dxa"/>
            <w:vAlign w:val="bottom"/>
            <w:vMerge w:val="restart"/>
          </w:tcPr>
          <w:p>
            <w:pPr>
              <w:ind w:left="440"/>
              <w:spacing w:after="0" w:line="299" w:lineRule="exact"/>
              <w:rPr>
                <w:sz w:val="20"/>
                <w:szCs w:val="20"/>
                <w:color w:val="auto"/>
              </w:rPr>
            </w:pPr>
            <w:r>
              <w:rPr>
                <w:rFonts w:ascii="Times New Roman" w:cs="Times New Roman" w:eastAsia="Times New Roman" w:hAnsi="Times New Roman"/>
                <w:sz w:val="18"/>
                <w:szCs w:val="18"/>
                <w:color w:val="auto"/>
              </w:rPr>
              <w:t>9,171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1039"/>
        <w:spacing w:after="0"/>
        <w:tabs>
          <w:tab w:leader="none" w:pos="13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9,171</w:t>
      </w:r>
      <w:r>
        <w:rPr>
          <w:rFonts w:ascii="Times New Roman" w:cs="Times New Roman" w:eastAsia="Times New Roman" w:hAnsi="Times New Roman"/>
          <w:sz w:val="29"/>
          <w:szCs w:val="29"/>
          <w:color w:val="auto"/>
          <w:vertAlign w:val="superscript"/>
        </w:rPr>
        <w:t>1</w:t>
      </w:r>
    </w:p>
    <w:p>
      <w:pPr>
        <w:ind w:left="1360" w:hanging="1044"/>
        <w:spacing w:after="0"/>
        <w:tabs>
          <w:tab w:leader="none" w:pos="13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56" w:lineRule="exact"/>
        <w:rPr>
          <w:rFonts w:ascii="Times New Roman" w:cs="Times New Roman" w:eastAsia="Times New Roman" w:hAnsi="Times New Roman"/>
          <w:sz w:val="18"/>
          <w:szCs w:val="18"/>
          <w:b w:val="1"/>
          <w:bCs w:val="1"/>
          <w:color w:val="auto"/>
        </w:rPr>
      </w:pPr>
    </w:p>
    <w:p>
      <w:pPr>
        <w:ind w:left="1360" w:hanging="1044"/>
        <w:spacing w:after="0"/>
        <w:tabs>
          <w:tab w:leader="none" w:pos="13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29"/>
          <w:szCs w:val="29"/>
          <w:color w:val="auto"/>
          <w:vertAlign w:val="superscript"/>
        </w:rPr>
        <w:t>2</w:t>
      </w:r>
    </w:p>
    <w:p>
      <w:pPr>
        <w:ind w:left="1360" w:right="5500" w:hanging="1044"/>
        <w:spacing w:after="0" w:line="258" w:lineRule="auto"/>
        <w:tabs>
          <w:tab w:leader="none" w:pos="13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9" w:lineRule="exact"/>
        <w:rPr>
          <w:rFonts w:ascii="Times New Roman" w:cs="Times New Roman" w:eastAsia="Times New Roman" w:hAnsi="Times New Roman"/>
          <w:sz w:val="18"/>
          <w:szCs w:val="18"/>
          <w:b w:val="1"/>
          <w:bCs w:val="1"/>
          <w:color w:val="auto"/>
        </w:rPr>
      </w:pPr>
    </w:p>
    <w:p>
      <w:pPr>
        <w:ind w:left="680" w:hanging="675"/>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1As described in Item 5 below, Atlas Venture Fund X, L.P., a Delaware limited partnership (“Atlas X”) directly holds 9,171 shares of the Issuer’s Common Stock. Atlas Venture Associates X, L.P., a Delaware limited partnership (“AVA X LP”) and Atlas Venture Associates X, LLC, a Delaware limited liability company (“AVA X LLC” and together with Atlas X and AVA X LP, the “Fund X Reporting Persons”) beneficially own the shares of the Issuer’s Common Stock held by Atlas X. AVA X LP is the general partner of Atlas X and AVA X LLC is the general partner of AVA X LP. Each of AVA X LP and AVA X LLC has voting and dispositive power over the shares held by Atlas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-1131570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680" w:right="20" w:hanging="668"/>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14,734,479 outstanding shares of Common Stock of the Issuer as of August 9, 2024, as reported in the Issuer’s prospectus supplement filed with the Securities and Exchange Commission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3 of 10</w:t>
      </w:r>
    </w:p>
    <w:p>
      <w:pPr>
        <w:spacing w:after="0" w:line="225" w:lineRule="exact"/>
        <w:rPr>
          <w:sz w:val="20"/>
          <w:szCs w:val="20"/>
          <w:color w:val="auto"/>
        </w:rPr>
      </w:pPr>
    </w:p>
    <w:p>
      <w:pPr>
        <w:ind w:left="1360" w:right="6780" w:hanging="999"/>
        <w:spacing w:after="0" w:line="279" w:lineRule="auto"/>
        <w:tabs>
          <w:tab w:leader="none" w:pos="136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NAMES OF REPORTING PERSONS: ATLAS VENTURE ASSOCIATES X, L.P.</w:t>
      </w:r>
    </w:p>
    <w:p>
      <w:pPr>
        <w:spacing w:after="0" w:line="5" w:lineRule="exact"/>
        <w:rPr>
          <w:sz w:val="20"/>
          <w:szCs w:val="20"/>
          <w:color w:val="auto"/>
        </w:rPr>
      </w:pPr>
    </w:p>
    <w:p>
      <w:pPr>
        <w:ind w:left="1360" w:hanging="999"/>
        <w:spacing w:after="0"/>
        <w:tabs>
          <w:tab w:leader="none" w:pos="1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36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1360" w:hanging="999"/>
        <w:spacing w:after="0"/>
        <w:tabs>
          <w:tab w:leader="none" w:pos="1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7" w:lineRule="exact"/>
        <w:rPr>
          <w:sz w:val="20"/>
          <w:szCs w:val="20"/>
          <w:color w:val="auto"/>
        </w:rPr>
      </w:pPr>
    </w:p>
    <w:p>
      <w:pPr>
        <w:ind w:left="1360" w:right="6380" w:hanging="999"/>
        <w:spacing w:after="0" w:line="263" w:lineRule="auto"/>
        <w:tabs>
          <w:tab w:leader="none" w:pos="1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999"/>
        <w:spacing w:after="0"/>
        <w:tabs>
          <w:tab w:leader="none" w:pos="1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60" w:right="6160" w:hanging="999"/>
        <w:spacing w:after="0" w:line="258" w:lineRule="auto"/>
        <w:tabs>
          <w:tab w:leader="none" w:pos="1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90"/>
        </w:trPr>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top w:val="single" w:sz="8" w:color="auto"/>
            </w:tcBorders>
          </w:tcPr>
          <w:p>
            <w:pPr>
              <w:ind w:left="440"/>
              <w:spacing w:after="0" w:line="190"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4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82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020" w:type="dxa"/>
            <w:vAlign w:val="bottom"/>
          </w:tcPr>
          <w:p>
            <w:pPr>
              <w:spacing w:after="0"/>
              <w:rPr>
                <w:sz w:val="22"/>
                <w:szCs w:val="22"/>
                <w:color w:val="auto"/>
              </w:rPr>
            </w:pPr>
          </w:p>
        </w:tc>
        <w:tc>
          <w:tcPr>
            <w:tcW w:w="8400" w:type="dxa"/>
            <w:vAlign w:val="bottom"/>
          </w:tcPr>
          <w:p>
            <w:pPr>
              <w:ind w:left="440"/>
              <w:spacing w:after="0" w:line="256" w:lineRule="exact"/>
              <w:rPr>
                <w:sz w:val="20"/>
                <w:szCs w:val="20"/>
                <w:color w:val="auto"/>
              </w:rPr>
            </w:pPr>
            <w:r>
              <w:rPr>
                <w:rFonts w:ascii="Times New Roman" w:cs="Times New Roman" w:eastAsia="Times New Roman" w:hAnsi="Times New Roman"/>
                <w:sz w:val="18"/>
                <w:szCs w:val="18"/>
                <w:color w:val="auto"/>
              </w:rPr>
              <w:t>10,880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68"/>
        </w:trPr>
        <w:tc>
          <w:tcPr>
            <w:tcW w:w="18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1020" w:type="dxa"/>
            <w:vAlign w:val="bottom"/>
            <w:vMerge w:val="restart"/>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vMerge w:val="restart"/>
          </w:tcPr>
          <w:p>
            <w:pPr>
              <w:ind w:left="4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2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4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bottom w:val="single" w:sz="8" w:color="auto"/>
            </w:tcBorders>
          </w:tcPr>
          <w:p>
            <w:pPr>
              <w:spacing w:after="0"/>
              <w:rPr>
                <w:sz w:val="12"/>
                <w:szCs w:val="12"/>
                <w:color w:val="auto"/>
              </w:rPr>
            </w:pPr>
          </w:p>
        </w:tc>
        <w:tc>
          <w:tcPr>
            <w:tcW w:w="8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8400" w:type="dxa"/>
            <w:vAlign w:val="bottom"/>
            <w:vMerge w:val="restart"/>
          </w:tcPr>
          <w:p>
            <w:pPr>
              <w:ind w:left="440"/>
              <w:spacing w:after="0" w:line="20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020" w:type="dxa"/>
            <w:vAlign w:val="bottom"/>
            <w:vMerge w:val="continue"/>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400" w:type="dxa"/>
            <w:vAlign w:val="bottom"/>
            <w:vMerge w:val="restart"/>
          </w:tcPr>
          <w:p>
            <w:pPr>
              <w:ind w:left="440"/>
              <w:spacing w:after="0" w:line="299" w:lineRule="exact"/>
              <w:rPr>
                <w:sz w:val="20"/>
                <w:szCs w:val="20"/>
                <w:color w:val="auto"/>
              </w:rPr>
            </w:pPr>
            <w:r>
              <w:rPr>
                <w:rFonts w:ascii="Times New Roman" w:cs="Times New Roman" w:eastAsia="Times New Roman" w:hAnsi="Times New Roman"/>
                <w:sz w:val="18"/>
                <w:szCs w:val="18"/>
                <w:color w:val="auto"/>
              </w:rPr>
              <w:t>10,880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360" w:hanging="1039"/>
        <w:spacing w:after="0"/>
        <w:tabs>
          <w:tab w:leader="none" w:pos="13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10,880</w:t>
      </w:r>
      <w:r>
        <w:rPr>
          <w:rFonts w:ascii="Times New Roman" w:cs="Times New Roman" w:eastAsia="Times New Roman" w:hAnsi="Times New Roman"/>
          <w:sz w:val="29"/>
          <w:szCs w:val="29"/>
          <w:color w:val="auto"/>
          <w:vertAlign w:val="superscript"/>
        </w:rPr>
        <w:t>1</w:t>
      </w:r>
    </w:p>
    <w:p>
      <w:pPr>
        <w:ind w:left="1360" w:hanging="1044"/>
        <w:spacing w:after="0"/>
        <w:tabs>
          <w:tab w:leader="none" w:pos="13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56" w:lineRule="exact"/>
        <w:rPr>
          <w:rFonts w:ascii="Times New Roman" w:cs="Times New Roman" w:eastAsia="Times New Roman" w:hAnsi="Times New Roman"/>
          <w:sz w:val="18"/>
          <w:szCs w:val="18"/>
          <w:b w:val="1"/>
          <w:bCs w:val="1"/>
          <w:color w:val="auto"/>
        </w:rPr>
      </w:pPr>
    </w:p>
    <w:p>
      <w:pPr>
        <w:ind w:left="1360" w:hanging="1044"/>
        <w:spacing w:after="0"/>
        <w:tabs>
          <w:tab w:leader="none" w:pos="13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29"/>
          <w:szCs w:val="29"/>
          <w:color w:val="auto"/>
          <w:vertAlign w:val="superscript"/>
        </w:rPr>
        <w:t>2</w:t>
      </w:r>
    </w:p>
    <w:p>
      <w:pPr>
        <w:ind w:left="1360" w:right="5500" w:hanging="1044"/>
        <w:spacing w:after="0" w:line="258" w:lineRule="auto"/>
        <w:tabs>
          <w:tab w:leader="none" w:pos="13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9" w:lineRule="exact"/>
        <w:rPr>
          <w:rFonts w:ascii="Times New Roman" w:cs="Times New Roman" w:eastAsia="Times New Roman" w:hAnsi="Times New Roman"/>
          <w:sz w:val="18"/>
          <w:szCs w:val="18"/>
          <w:b w:val="1"/>
          <w:bCs w:val="1"/>
          <w:color w:val="auto"/>
        </w:rPr>
      </w:pPr>
    </w:p>
    <w:p>
      <w:pPr>
        <w:ind w:left="680" w:hanging="675"/>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1As described in Item 5 below, Atlas X and AVA X LP directly hold 9,171 and 1,709 shares of the Issuer’s Common Stock, respectively. AVA X LP is the general partner of Atlas X and AVA X LLC is the general partner of AVA X LP. Each of AVA X LP and AVA X LLC has voting and dispositive power over the shares held by Atlas X and AVA X LLC has voting and dispositive power over the shares held by AVA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-861695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-1179195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-1461770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680" w:right="20" w:hanging="668"/>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14,734,479 outstanding shares of Common Stock of the Issuer as of August 9, 2024, as reported in the Issuer’s prospectus supplement filed with the Securities and Exchange Commission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4 of 10</w:t>
      </w:r>
    </w:p>
    <w:p>
      <w:pPr>
        <w:spacing w:after="0" w:line="225" w:lineRule="exact"/>
        <w:rPr>
          <w:sz w:val="20"/>
          <w:szCs w:val="20"/>
          <w:color w:val="auto"/>
        </w:rPr>
      </w:pPr>
    </w:p>
    <w:p>
      <w:pPr>
        <w:ind w:left="1360" w:right="6720" w:hanging="999"/>
        <w:spacing w:after="0" w:line="279" w:lineRule="auto"/>
        <w:tabs>
          <w:tab w:leader="none" w:pos="136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NAMES OF REPORTING PERSONS: ATLAS VENTURE ASSOCIATES X, LLC</w:t>
      </w:r>
    </w:p>
    <w:p>
      <w:pPr>
        <w:spacing w:after="0" w:line="5" w:lineRule="exact"/>
        <w:rPr>
          <w:sz w:val="20"/>
          <w:szCs w:val="20"/>
          <w:color w:val="auto"/>
        </w:rPr>
      </w:pPr>
    </w:p>
    <w:p>
      <w:pPr>
        <w:ind w:left="1360" w:hanging="999"/>
        <w:spacing w:after="0"/>
        <w:tabs>
          <w:tab w:leader="none" w:pos="1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36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1360" w:hanging="999"/>
        <w:spacing w:after="0"/>
        <w:tabs>
          <w:tab w:leader="none" w:pos="1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7" w:lineRule="exact"/>
        <w:rPr>
          <w:sz w:val="20"/>
          <w:szCs w:val="20"/>
          <w:color w:val="auto"/>
        </w:rPr>
      </w:pPr>
    </w:p>
    <w:p>
      <w:pPr>
        <w:ind w:left="1360" w:right="6380" w:hanging="999"/>
        <w:spacing w:after="0" w:line="263" w:lineRule="auto"/>
        <w:tabs>
          <w:tab w:leader="none" w:pos="1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999"/>
        <w:spacing w:after="0"/>
        <w:tabs>
          <w:tab w:leader="none" w:pos="1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60" w:right="6160" w:hanging="999"/>
        <w:spacing w:after="0" w:line="258" w:lineRule="auto"/>
        <w:tabs>
          <w:tab w:leader="none" w:pos="1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90"/>
        </w:trPr>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top w:val="single" w:sz="8" w:color="auto"/>
            </w:tcBorders>
          </w:tcPr>
          <w:p>
            <w:pPr>
              <w:ind w:left="440"/>
              <w:spacing w:after="0" w:line="190"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4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82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020" w:type="dxa"/>
            <w:vAlign w:val="bottom"/>
          </w:tcPr>
          <w:p>
            <w:pPr>
              <w:spacing w:after="0"/>
              <w:rPr>
                <w:sz w:val="22"/>
                <w:szCs w:val="22"/>
                <w:color w:val="auto"/>
              </w:rPr>
            </w:pPr>
          </w:p>
        </w:tc>
        <w:tc>
          <w:tcPr>
            <w:tcW w:w="8400" w:type="dxa"/>
            <w:vAlign w:val="bottom"/>
          </w:tcPr>
          <w:p>
            <w:pPr>
              <w:ind w:left="440"/>
              <w:spacing w:after="0" w:line="256" w:lineRule="exact"/>
              <w:rPr>
                <w:sz w:val="20"/>
                <w:szCs w:val="20"/>
                <w:color w:val="auto"/>
              </w:rPr>
            </w:pPr>
            <w:r>
              <w:rPr>
                <w:rFonts w:ascii="Times New Roman" w:cs="Times New Roman" w:eastAsia="Times New Roman" w:hAnsi="Times New Roman"/>
                <w:sz w:val="18"/>
                <w:szCs w:val="18"/>
                <w:color w:val="auto"/>
              </w:rPr>
              <w:t>10,880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68"/>
        </w:trPr>
        <w:tc>
          <w:tcPr>
            <w:tcW w:w="18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1020" w:type="dxa"/>
            <w:vAlign w:val="bottom"/>
            <w:vMerge w:val="restart"/>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vMerge w:val="restart"/>
          </w:tcPr>
          <w:p>
            <w:pPr>
              <w:ind w:left="4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2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4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bottom w:val="single" w:sz="8" w:color="auto"/>
            </w:tcBorders>
          </w:tcPr>
          <w:p>
            <w:pPr>
              <w:spacing w:after="0"/>
              <w:rPr>
                <w:sz w:val="12"/>
                <w:szCs w:val="12"/>
                <w:color w:val="auto"/>
              </w:rPr>
            </w:pPr>
          </w:p>
        </w:tc>
        <w:tc>
          <w:tcPr>
            <w:tcW w:w="8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8400" w:type="dxa"/>
            <w:vAlign w:val="bottom"/>
            <w:vMerge w:val="restart"/>
          </w:tcPr>
          <w:p>
            <w:pPr>
              <w:ind w:left="440"/>
              <w:spacing w:after="0" w:line="20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020" w:type="dxa"/>
            <w:vAlign w:val="bottom"/>
            <w:vMerge w:val="continue"/>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400" w:type="dxa"/>
            <w:vAlign w:val="bottom"/>
            <w:vMerge w:val="restart"/>
          </w:tcPr>
          <w:p>
            <w:pPr>
              <w:ind w:left="440"/>
              <w:spacing w:after="0" w:line="299" w:lineRule="exact"/>
              <w:rPr>
                <w:sz w:val="20"/>
                <w:szCs w:val="20"/>
                <w:color w:val="auto"/>
              </w:rPr>
            </w:pPr>
            <w:r>
              <w:rPr>
                <w:rFonts w:ascii="Times New Roman" w:cs="Times New Roman" w:eastAsia="Times New Roman" w:hAnsi="Times New Roman"/>
                <w:sz w:val="18"/>
                <w:szCs w:val="18"/>
                <w:color w:val="auto"/>
              </w:rPr>
              <w:t>10,880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1039"/>
        <w:spacing w:after="0"/>
        <w:tabs>
          <w:tab w:leader="none" w:pos="136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10,880</w:t>
      </w:r>
      <w:r>
        <w:rPr>
          <w:rFonts w:ascii="Times New Roman" w:cs="Times New Roman" w:eastAsia="Times New Roman" w:hAnsi="Times New Roman"/>
          <w:sz w:val="29"/>
          <w:szCs w:val="29"/>
          <w:color w:val="auto"/>
          <w:vertAlign w:val="superscript"/>
        </w:rPr>
        <w:t>1</w:t>
      </w:r>
    </w:p>
    <w:p>
      <w:pPr>
        <w:ind w:left="1360" w:hanging="1044"/>
        <w:spacing w:after="0"/>
        <w:tabs>
          <w:tab w:leader="none" w:pos="136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56" w:lineRule="exact"/>
        <w:rPr>
          <w:rFonts w:ascii="Times New Roman" w:cs="Times New Roman" w:eastAsia="Times New Roman" w:hAnsi="Times New Roman"/>
          <w:sz w:val="18"/>
          <w:szCs w:val="18"/>
          <w:b w:val="1"/>
          <w:bCs w:val="1"/>
          <w:color w:val="auto"/>
        </w:rPr>
      </w:pPr>
    </w:p>
    <w:p>
      <w:pPr>
        <w:ind w:left="1360" w:hanging="1044"/>
        <w:spacing w:after="0"/>
        <w:tabs>
          <w:tab w:leader="none" w:pos="136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29"/>
          <w:szCs w:val="29"/>
          <w:color w:val="auto"/>
          <w:vertAlign w:val="superscript"/>
        </w:rPr>
        <w:t>2</w:t>
      </w:r>
    </w:p>
    <w:p>
      <w:pPr>
        <w:ind w:left="1360" w:right="5500" w:hanging="1044"/>
        <w:spacing w:after="0" w:line="258" w:lineRule="auto"/>
        <w:tabs>
          <w:tab w:leader="none" w:pos="136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w:t>
      </w:r>
    </w:p>
    <w:p>
      <w:pPr>
        <w:spacing w:after="0" w:line="209" w:lineRule="exact"/>
        <w:rPr>
          <w:rFonts w:ascii="Times New Roman" w:cs="Times New Roman" w:eastAsia="Times New Roman" w:hAnsi="Times New Roman"/>
          <w:sz w:val="18"/>
          <w:szCs w:val="18"/>
          <w:b w:val="1"/>
          <w:bCs w:val="1"/>
          <w:color w:val="auto"/>
        </w:rPr>
      </w:pPr>
    </w:p>
    <w:p>
      <w:pPr>
        <w:ind w:left="680" w:hanging="675"/>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1As described in Item 5 below, Atlas X and AVA X LP directly hold 9,171 and 1,709 shares of the Issuer’s Common Stock, respectively. AVA X LP is the general partner of Atlas X and AVA X LLC is the general partner of AVA X LP. Each of AVA X LP and AVA X LLC has voting and dispositive power over the shares held by Atlas X and AVA X LLC has voting and dispositive power over the shares held by AVA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-861695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-1179195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-1461770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680" w:right="20" w:hanging="668"/>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14,734,479 outstanding shares of Common Stock of the Issuer as of August 9, 2024, as reported in the Issuer’s prospectus supplement filed with the Securities and Exchange Commission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5 of 10</w:t>
      </w:r>
    </w:p>
    <w:p>
      <w:pPr>
        <w:spacing w:after="0" w:line="225" w:lineRule="exact"/>
        <w:rPr>
          <w:sz w:val="20"/>
          <w:szCs w:val="20"/>
          <w:color w:val="auto"/>
        </w:rPr>
      </w:pPr>
    </w:p>
    <w:p>
      <w:pPr>
        <w:ind w:left="1360" w:hanging="999"/>
        <w:spacing w:after="0"/>
        <w:tabs>
          <w:tab w:leader="none" w:pos="1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ATLAS VENTURE OPPORTUNITY FUND I, L.P.</w:t>
      </w:r>
    </w:p>
    <w:p>
      <w:pPr>
        <w:spacing w:after="0" w:line="18" w:lineRule="exact"/>
        <w:rPr>
          <w:sz w:val="20"/>
          <w:szCs w:val="20"/>
          <w:color w:val="auto"/>
        </w:rPr>
      </w:pPr>
    </w:p>
    <w:p>
      <w:pPr>
        <w:ind w:left="1360" w:hanging="999"/>
        <w:spacing w:after="0"/>
        <w:tabs>
          <w:tab w:leader="none" w:pos="1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36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1360" w:hanging="999"/>
        <w:spacing w:after="0"/>
        <w:tabs>
          <w:tab w:leader="none" w:pos="1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7" w:lineRule="exact"/>
        <w:rPr>
          <w:sz w:val="20"/>
          <w:szCs w:val="20"/>
          <w:color w:val="auto"/>
        </w:rPr>
      </w:pPr>
    </w:p>
    <w:p>
      <w:pPr>
        <w:ind w:left="1360" w:right="6380" w:hanging="999"/>
        <w:spacing w:after="0" w:line="263" w:lineRule="auto"/>
        <w:tabs>
          <w:tab w:leader="none" w:pos="1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999"/>
        <w:spacing w:after="0"/>
        <w:tabs>
          <w:tab w:leader="none" w:pos="1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60" w:right="6160" w:hanging="999"/>
        <w:spacing w:after="0" w:line="258" w:lineRule="auto"/>
        <w:tabs>
          <w:tab w:leader="none" w:pos="1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90"/>
        </w:trPr>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top w:val="single" w:sz="8" w:color="auto"/>
            </w:tcBorders>
          </w:tcPr>
          <w:p>
            <w:pPr>
              <w:ind w:left="440"/>
              <w:spacing w:after="0" w:line="190"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4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82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020" w:type="dxa"/>
            <w:vAlign w:val="bottom"/>
          </w:tcPr>
          <w:p>
            <w:pPr>
              <w:spacing w:after="0"/>
              <w:rPr>
                <w:sz w:val="22"/>
                <w:szCs w:val="22"/>
                <w:color w:val="auto"/>
              </w:rPr>
            </w:pPr>
          </w:p>
        </w:tc>
        <w:tc>
          <w:tcPr>
            <w:tcW w:w="8400" w:type="dxa"/>
            <w:vAlign w:val="bottom"/>
          </w:tcPr>
          <w:p>
            <w:pPr>
              <w:ind w:left="440"/>
              <w:spacing w:after="0" w:line="256" w:lineRule="exact"/>
              <w:rPr>
                <w:sz w:val="20"/>
                <w:szCs w:val="20"/>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68"/>
        </w:trPr>
        <w:tc>
          <w:tcPr>
            <w:tcW w:w="18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1020" w:type="dxa"/>
            <w:vAlign w:val="bottom"/>
            <w:vMerge w:val="restart"/>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vMerge w:val="restart"/>
          </w:tcPr>
          <w:p>
            <w:pPr>
              <w:ind w:left="4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2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4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bottom w:val="single" w:sz="8" w:color="auto"/>
            </w:tcBorders>
          </w:tcPr>
          <w:p>
            <w:pPr>
              <w:spacing w:after="0"/>
              <w:rPr>
                <w:sz w:val="12"/>
                <w:szCs w:val="12"/>
                <w:color w:val="auto"/>
              </w:rPr>
            </w:pPr>
          </w:p>
        </w:tc>
        <w:tc>
          <w:tcPr>
            <w:tcW w:w="8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8400" w:type="dxa"/>
            <w:vAlign w:val="bottom"/>
            <w:vMerge w:val="restart"/>
          </w:tcPr>
          <w:p>
            <w:pPr>
              <w:ind w:left="440"/>
              <w:spacing w:after="0" w:line="20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020" w:type="dxa"/>
            <w:vAlign w:val="bottom"/>
            <w:vMerge w:val="continue"/>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400" w:type="dxa"/>
            <w:vAlign w:val="bottom"/>
            <w:vMerge w:val="restart"/>
          </w:tcPr>
          <w:p>
            <w:pPr>
              <w:ind w:left="440"/>
              <w:spacing w:after="0" w:line="299" w:lineRule="exact"/>
              <w:rPr>
                <w:sz w:val="20"/>
                <w:szCs w:val="20"/>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360" w:hanging="1039"/>
        <w:spacing w:after="0"/>
        <w:tabs>
          <w:tab w:leader="none" w:pos="136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p>
      <w:pPr>
        <w:ind w:left="1360" w:hanging="1044"/>
        <w:spacing w:after="0"/>
        <w:tabs>
          <w:tab w:leader="none" w:pos="136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56" w:lineRule="exact"/>
        <w:rPr>
          <w:rFonts w:ascii="Times New Roman" w:cs="Times New Roman" w:eastAsia="Times New Roman" w:hAnsi="Times New Roman"/>
          <w:sz w:val="18"/>
          <w:szCs w:val="18"/>
          <w:b w:val="1"/>
          <w:bCs w:val="1"/>
          <w:color w:val="auto"/>
        </w:rPr>
      </w:pPr>
    </w:p>
    <w:p>
      <w:pPr>
        <w:ind w:left="1360" w:hanging="1044"/>
        <w:spacing w:after="0"/>
        <w:tabs>
          <w:tab w:leader="none" w:pos="136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29"/>
          <w:szCs w:val="29"/>
          <w:color w:val="auto"/>
          <w:vertAlign w:val="superscript"/>
        </w:rPr>
        <w:t>2</w:t>
      </w:r>
    </w:p>
    <w:p>
      <w:pPr>
        <w:ind w:left="1360" w:right="5500" w:hanging="1044"/>
        <w:spacing w:after="0" w:line="258" w:lineRule="auto"/>
        <w:tabs>
          <w:tab w:leader="none" w:pos="136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9" w:lineRule="exact"/>
        <w:rPr>
          <w:rFonts w:ascii="Times New Roman" w:cs="Times New Roman" w:eastAsia="Times New Roman" w:hAnsi="Times New Roman"/>
          <w:sz w:val="18"/>
          <w:szCs w:val="18"/>
          <w:b w:val="1"/>
          <w:bCs w:val="1"/>
          <w:color w:val="auto"/>
        </w:rPr>
      </w:pPr>
    </w:p>
    <w:p>
      <w:pPr>
        <w:ind w:left="680" w:right="20" w:hanging="675"/>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67,567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-1266190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-1583055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-1866265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left="680" w:right="20" w:hanging="668"/>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14,734,479 outstanding shares of Common Stock of the Issuer as of August 9, 2024, as reported in the Issuer’s prospectus supplement filed with the Securities and Exchange Commission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6 of 10</w:t>
      </w:r>
    </w:p>
    <w:p>
      <w:pPr>
        <w:spacing w:after="0" w:line="225" w:lineRule="exact"/>
        <w:rPr>
          <w:sz w:val="20"/>
          <w:szCs w:val="20"/>
          <w:color w:val="auto"/>
        </w:rPr>
      </w:pPr>
    </w:p>
    <w:p>
      <w:pPr>
        <w:ind w:left="1360" w:hanging="999"/>
        <w:spacing w:after="0"/>
        <w:tabs>
          <w:tab w:leader="none" w:pos="1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ATLAS VENTURE ASSOCIATES OPPORTUNITY I, L.P.</w:t>
      </w:r>
    </w:p>
    <w:p>
      <w:pPr>
        <w:spacing w:after="0" w:line="18" w:lineRule="exact"/>
        <w:rPr>
          <w:sz w:val="20"/>
          <w:szCs w:val="20"/>
          <w:color w:val="auto"/>
        </w:rPr>
      </w:pPr>
    </w:p>
    <w:p>
      <w:pPr>
        <w:ind w:left="1360" w:hanging="999"/>
        <w:spacing w:after="0"/>
        <w:tabs>
          <w:tab w:leader="none" w:pos="1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36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1360" w:hanging="999"/>
        <w:spacing w:after="0"/>
        <w:tabs>
          <w:tab w:leader="none" w:pos="1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7" w:lineRule="exact"/>
        <w:rPr>
          <w:sz w:val="20"/>
          <w:szCs w:val="20"/>
          <w:color w:val="auto"/>
        </w:rPr>
      </w:pPr>
    </w:p>
    <w:p>
      <w:pPr>
        <w:ind w:left="1360" w:right="6380" w:hanging="999"/>
        <w:spacing w:after="0" w:line="263" w:lineRule="auto"/>
        <w:tabs>
          <w:tab w:leader="none" w:pos="1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999"/>
        <w:spacing w:after="0"/>
        <w:tabs>
          <w:tab w:leader="none" w:pos="1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60" w:right="6160" w:hanging="999"/>
        <w:spacing w:after="0" w:line="258" w:lineRule="auto"/>
        <w:tabs>
          <w:tab w:leader="none" w:pos="1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90"/>
        </w:trPr>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top w:val="single" w:sz="8" w:color="auto"/>
            </w:tcBorders>
          </w:tcPr>
          <w:p>
            <w:pPr>
              <w:ind w:left="440"/>
              <w:spacing w:after="0" w:line="190"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4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82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020" w:type="dxa"/>
            <w:vAlign w:val="bottom"/>
          </w:tcPr>
          <w:p>
            <w:pPr>
              <w:spacing w:after="0"/>
              <w:rPr>
                <w:sz w:val="22"/>
                <w:szCs w:val="22"/>
                <w:color w:val="auto"/>
              </w:rPr>
            </w:pPr>
          </w:p>
        </w:tc>
        <w:tc>
          <w:tcPr>
            <w:tcW w:w="8400" w:type="dxa"/>
            <w:vAlign w:val="bottom"/>
          </w:tcPr>
          <w:p>
            <w:pPr>
              <w:ind w:left="440"/>
              <w:spacing w:after="0" w:line="256" w:lineRule="exact"/>
              <w:rPr>
                <w:sz w:val="20"/>
                <w:szCs w:val="20"/>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68"/>
        </w:trPr>
        <w:tc>
          <w:tcPr>
            <w:tcW w:w="18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1020" w:type="dxa"/>
            <w:vAlign w:val="bottom"/>
            <w:vMerge w:val="restart"/>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vMerge w:val="restart"/>
          </w:tcPr>
          <w:p>
            <w:pPr>
              <w:ind w:left="4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2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4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bottom w:val="single" w:sz="8" w:color="auto"/>
            </w:tcBorders>
          </w:tcPr>
          <w:p>
            <w:pPr>
              <w:spacing w:after="0"/>
              <w:rPr>
                <w:sz w:val="12"/>
                <w:szCs w:val="12"/>
                <w:color w:val="auto"/>
              </w:rPr>
            </w:pPr>
          </w:p>
        </w:tc>
        <w:tc>
          <w:tcPr>
            <w:tcW w:w="8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8400" w:type="dxa"/>
            <w:vAlign w:val="bottom"/>
            <w:vMerge w:val="restart"/>
          </w:tcPr>
          <w:p>
            <w:pPr>
              <w:ind w:left="440"/>
              <w:spacing w:after="0" w:line="20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020" w:type="dxa"/>
            <w:vAlign w:val="bottom"/>
            <w:vMerge w:val="continue"/>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400" w:type="dxa"/>
            <w:vAlign w:val="bottom"/>
            <w:vMerge w:val="restart"/>
          </w:tcPr>
          <w:p>
            <w:pPr>
              <w:ind w:left="440"/>
              <w:spacing w:after="0" w:line="299" w:lineRule="exact"/>
              <w:rPr>
                <w:sz w:val="20"/>
                <w:szCs w:val="20"/>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360" w:hanging="1039"/>
        <w:spacing w:after="0"/>
        <w:tabs>
          <w:tab w:leader="none" w:pos="136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p>
      <w:pPr>
        <w:ind w:left="1360" w:hanging="1044"/>
        <w:spacing w:after="0"/>
        <w:tabs>
          <w:tab w:leader="none" w:pos="136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56" w:lineRule="exact"/>
        <w:rPr>
          <w:rFonts w:ascii="Times New Roman" w:cs="Times New Roman" w:eastAsia="Times New Roman" w:hAnsi="Times New Roman"/>
          <w:sz w:val="18"/>
          <w:szCs w:val="18"/>
          <w:b w:val="1"/>
          <w:bCs w:val="1"/>
          <w:color w:val="auto"/>
        </w:rPr>
      </w:pPr>
    </w:p>
    <w:p>
      <w:pPr>
        <w:ind w:left="1360" w:hanging="1044"/>
        <w:spacing w:after="0"/>
        <w:tabs>
          <w:tab w:leader="none" w:pos="136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29"/>
          <w:szCs w:val="29"/>
          <w:color w:val="auto"/>
          <w:vertAlign w:val="superscript"/>
        </w:rPr>
        <w:t>2</w:t>
      </w:r>
    </w:p>
    <w:p>
      <w:pPr>
        <w:ind w:left="1360" w:right="5500" w:hanging="1044"/>
        <w:spacing w:after="0" w:line="258" w:lineRule="auto"/>
        <w:tabs>
          <w:tab w:leader="none" w:pos="136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9" w:lineRule="exact"/>
        <w:rPr>
          <w:rFonts w:ascii="Times New Roman" w:cs="Times New Roman" w:eastAsia="Times New Roman" w:hAnsi="Times New Roman"/>
          <w:sz w:val="18"/>
          <w:szCs w:val="18"/>
          <w:b w:val="1"/>
          <w:bCs w:val="1"/>
          <w:color w:val="auto"/>
        </w:rPr>
      </w:pPr>
    </w:p>
    <w:p>
      <w:pPr>
        <w:ind w:left="680" w:hanging="675"/>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1As described in Item 5 below, AVOF, AVAO LP and AVAO LLC beneficially own 67,567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-1313815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-1597025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680" w:right="20" w:hanging="66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14,734,479 outstanding shares of Common Stock of the Issuer as of August 9, 2024, as reported in the Issuer’s prospectus supplement filed with the Securities and Exchange Commission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7 of 10</w:t>
      </w:r>
    </w:p>
    <w:p>
      <w:pPr>
        <w:spacing w:after="0" w:line="225" w:lineRule="exact"/>
        <w:rPr>
          <w:sz w:val="20"/>
          <w:szCs w:val="20"/>
          <w:color w:val="auto"/>
        </w:rPr>
      </w:pPr>
    </w:p>
    <w:p>
      <w:pPr>
        <w:ind w:left="1360" w:hanging="999"/>
        <w:spacing w:after="0"/>
        <w:tabs>
          <w:tab w:leader="none" w:pos="1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ATLAS VENTURE ASSOCIATES OPPORTUNITY I, LLC</w:t>
      </w:r>
    </w:p>
    <w:p>
      <w:pPr>
        <w:spacing w:after="0" w:line="18" w:lineRule="exact"/>
        <w:rPr>
          <w:sz w:val="20"/>
          <w:szCs w:val="20"/>
          <w:color w:val="auto"/>
        </w:rPr>
      </w:pPr>
    </w:p>
    <w:p>
      <w:pPr>
        <w:ind w:left="1360" w:hanging="999"/>
        <w:spacing w:after="0"/>
        <w:tabs>
          <w:tab w:leader="none" w:pos="1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36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1360" w:hanging="999"/>
        <w:spacing w:after="0"/>
        <w:tabs>
          <w:tab w:leader="none" w:pos="1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7" w:lineRule="exact"/>
        <w:rPr>
          <w:sz w:val="20"/>
          <w:szCs w:val="20"/>
          <w:color w:val="auto"/>
        </w:rPr>
      </w:pPr>
    </w:p>
    <w:p>
      <w:pPr>
        <w:ind w:left="1360" w:right="6380" w:hanging="999"/>
        <w:spacing w:after="0" w:line="263" w:lineRule="auto"/>
        <w:tabs>
          <w:tab w:leader="none" w:pos="1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60" w:hanging="999"/>
        <w:spacing w:after="0"/>
        <w:tabs>
          <w:tab w:leader="none" w:pos="1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60" w:right="6160" w:hanging="999"/>
        <w:spacing w:after="0" w:line="258" w:lineRule="auto"/>
        <w:tabs>
          <w:tab w:leader="none" w:pos="1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90"/>
        </w:trPr>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top w:val="single" w:sz="8" w:color="auto"/>
            </w:tcBorders>
          </w:tcPr>
          <w:p>
            <w:pPr>
              <w:ind w:left="440"/>
              <w:spacing w:after="0" w:line="190"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4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82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020" w:type="dxa"/>
            <w:vAlign w:val="bottom"/>
          </w:tcPr>
          <w:p>
            <w:pPr>
              <w:spacing w:after="0"/>
              <w:rPr>
                <w:sz w:val="22"/>
                <w:szCs w:val="22"/>
                <w:color w:val="auto"/>
              </w:rPr>
            </w:pPr>
          </w:p>
        </w:tc>
        <w:tc>
          <w:tcPr>
            <w:tcW w:w="8400" w:type="dxa"/>
            <w:vAlign w:val="bottom"/>
          </w:tcPr>
          <w:p>
            <w:pPr>
              <w:ind w:left="440"/>
              <w:spacing w:after="0" w:line="256" w:lineRule="exact"/>
              <w:rPr>
                <w:sz w:val="20"/>
                <w:szCs w:val="20"/>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68"/>
        </w:trPr>
        <w:tc>
          <w:tcPr>
            <w:tcW w:w="18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1020" w:type="dxa"/>
            <w:vAlign w:val="bottom"/>
            <w:vMerge w:val="restart"/>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vMerge w:val="restart"/>
          </w:tcPr>
          <w:p>
            <w:pPr>
              <w:ind w:left="4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2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4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20" w:type="dxa"/>
            <w:vAlign w:val="bottom"/>
            <w:tcBorders>
              <w:bottom w:val="single" w:sz="8" w:color="auto"/>
            </w:tcBorders>
          </w:tcPr>
          <w:p>
            <w:pPr>
              <w:spacing w:after="0"/>
              <w:rPr>
                <w:sz w:val="12"/>
                <w:szCs w:val="12"/>
                <w:color w:val="auto"/>
              </w:rPr>
            </w:pPr>
          </w:p>
        </w:tc>
        <w:tc>
          <w:tcPr>
            <w:tcW w:w="8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8400" w:type="dxa"/>
            <w:vAlign w:val="bottom"/>
            <w:vMerge w:val="restart"/>
          </w:tcPr>
          <w:p>
            <w:pPr>
              <w:ind w:left="440"/>
              <w:spacing w:after="0" w:line="20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020" w:type="dxa"/>
            <w:vAlign w:val="bottom"/>
            <w:vMerge w:val="continue"/>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400" w:type="dxa"/>
            <w:vAlign w:val="bottom"/>
            <w:vMerge w:val="restart"/>
          </w:tcPr>
          <w:p>
            <w:pPr>
              <w:ind w:left="440"/>
              <w:spacing w:after="0" w:line="299" w:lineRule="exact"/>
              <w:rPr>
                <w:sz w:val="20"/>
                <w:szCs w:val="20"/>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360" w:hanging="1039"/>
        <w:spacing w:after="0"/>
        <w:tabs>
          <w:tab w:leader="none" w:pos="136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67,567</w:t>
      </w:r>
      <w:r>
        <w:rPr>
          <w:rFonts w:ascii="Times New Roman" w:cs="Times New Roman" w:eastAsia="Times New Roman" w:hAnsi="Times New Roman"/>
          <w:sz w:val="29"/>
          <w:szCs w:val="29"/>
          <w:color w:val="auto"/>
          <w:vertAlign w:val="superscript"/>
        </w:rPr>
        <w:t>1</w:t>
      </w:r>
    </w:p>
    <w:p>
      <w:pPr>
        <w:ind w:left="1360" w:hanging="1044"/>
        <w:spacing w:after="0"/>
        <w:tabs>
          <w:tab w:leader="none" w:pos="136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 w:lineRule="exact"/>
        <w:rPr>
          <w:rFonts w:ascii="Times New Roman" w:cs="Times New Roman" w:eastAsia="Times New Roman" w:hAnsi="Times New Roman"/>
          <w:sz w:val="18"/>
          <w:szCs w:val="18"/>
          <w:b w:val="1"/>
          <w:bCs w:val="1"/>
          <w:color w:val="auto"/>
        </w:rPr>
      </w:pPr>
    </w:p>
    <w:p>
      <w:pPr>
        <w:ind w:left="136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56" w:lineRule="exact"/>
        <w:rPr>
          <w:rFonts w:ascii="Times New Roman" w:cs="Times New Roman" w:eastAsia="Times New Roman" w:hAnsi="Times New Roman"/>
          <w:sz w:val="18"/>
          <w:szCs w:val="18"/>
          <w:b w:val="1"/>
          <w:bCs w:val="1"/>
          <w:color w:val="auto"/>
        </w:rPr>
      </w:pPr>
    </w:p>
    <w:p>
      <w:pPr>
        <w:ind w:left="1360" w:hanging="1044"/>
        <w:spacing w:after="0"/>
        <w:tabs>
          <w:tab w:leader="none" w:pos="136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rFonts w:ascii="Times New Roman" w:cs="Times New Roman" w:eastAsia="Times New Roman" w:hAnsi="Times New Roman"/>
          <w:sz w:val="18"/>
          <w:szCs w:val="18"/>
          <w:b w:val="1"/>
          <w:bCs w:val="1"/>
          <w:color w:val="auto"/>
        </w:rPr>
      </w:pPr>
    </w:p>
    <w:p>
      <w:pPr>
        <w:ind w:left="1360"/>
        <w:spacing w:after="0" w:line="2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29"/>
          <w:szCs w:val="29"/>
          <w:color w:val="auto"/>
          <w:vertAlign w:val="superscript"/>
        </w:rPr>
        <w:t>2</w:t>
      </w:r>
    </w:p>
    <w:p>
      <w:pPr>
        <w:ind w:left="1360" w:right="5500" w:hanging="1044"/>
        <w:spacing w:after="0" w:line="258" w:lineRule="auto"/>
        <w:tabs>
          <w:tab w:leader="none" w:pos="136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w:t>
      </w:r>
    </w:p>
    <w:p>
      <w:pPr>
        <w:spacing w:after="0" w:line="209" w:lineRule="exact"/>
        <w:rPr>
          <w:rFonts w:ascii="Times New Roman" w:cs="Times New Roman" w:eastAsia="Times New Roman" w:hAnsi="Times New Roman"/>
          <w:sz w:val="18"/>
          <w:szCs w:val="18"/>
          <w:b w:val="1"/>
          <w:bCs w:val="1"/>
          <w:color w:val="auto"/>
        </w:rPr>
      </w:pPr>
    </w:p>
    <w:p>
      <w:pPr>
        <w:ind w:left="680" w:right="20" w:hanging="675"/>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1As described in Item 5 below, AVOF, AVAO LP and AVAO LLC beneficially own 67,567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-1313815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-1597025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680" w:right="20" w:hanging="668"/>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14,734,479 outstanding shares of Common Stock of the Issuer as of August 9, 2024, as reported in the Issuer’s prospectus supplement filed with the Securities and Exchange Commission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8 of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 to Schedule 13D (“Amendment No. 1”) is being filed as an amendment to the statement on Schedule 13D relating to common stock, par value $0.0001 per share (the “Common Stock”) of Tectonic Therapeutic, Inc. (formerly, AVROBIO, Inc.), a Delaware corporation (the “Issuer” or “Tectonic”), as filed with the Securities and Exchange Commission (the “SEC”) on July 30, 2019 (the “Initial Schedule 13D”). All capitalized terms not otherwise defined herein shall have the meanings ascribed to the terms in the Initial Schedule 13D. This Amendment No. 1 is being filed to report the sale of shares by Atlas X, as described herein, and gives effect to the 12-for-1 reverse stock of the Issuer’s common stock effected and completion of the reverse merger of the Issuer with Tectonic Therapeutic, Inc. (the “Reverse Merger”), each of which became effective on June 20,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Initial Schedule 13D is hereby amended and supplemented as follows and, except as expressly amended below, the Prior Schedule 13D remains in full force and effect.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Reporting Persons’ are no longer the beneficial owner of more than five percent of Issuer’s securities and are no longer required to report the Reporting Persons’ holdings on a Schedule 13D.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of equity securities to which this Schedule 13D relates is common stock, par value $0.0001 per share (the “Common Stock”) of Tectonic Therapeutic, Inc. (formerly, AVROBIO, Inc.), a Delaware corporation (the “Issuer” or “Tectonic”). The principal executive offices of the Issuer are located at 490 Arsenal Way, Suite 210, Watertown, Massachusetts 02472.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2(b) of the Initial Schedule 13D is hereby amended and restated as follows:</w:t>
      </w:r>
    </w:p>
    <w:p>
      <w:pPr>
        <w:spacing w:after="0" w:line="225" w:lineRule="exact"/>
        <w:rPr>
          <w:sz w:val="20"/>
          <w:szCs w:val="20"/>
          <w:color w:val="auto"/>
        </w:rPr>
      </w:pPr>
    </w:p>
    <w:p>
      <w:pPr>
        <w:ind w:left="680" w:hanging="668"/>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place of business of each of the Reporting Persons is c/o 300 Technology Square, 8th Floor, Cambridge, Massachusetts 02139.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Initial Schedule 13D is hereby amended and supplemented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upon the completion of the Reverse Merger, Bruce Booth, D.Phil., resigned as a director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20"/>
        <w:spacing w:after="0"/>
        <w:tabs>
          <w:tab w:leader="none" w:pos="103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7"/>
          <w:szCs w:val="17"/>
          <w:color w:val="auto"/>
        </w:rPr>
        <w:t>Page 9 of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Initial Schedule 13D is hereby amended and restated as follows:</w:t>
      </w:r>
    </w:p>
    <w:p>
      <w:pPr>
        <w:spacing w:after="0" w:line="225" w:lineRule="exact"/>
        <w:rPr>
          <w:sz w:val="20"/>
          <w:szCs w:val="20"/>
          <w:color w:val="auto"/>
        </w:rPr>
      </w:pPr>
    </w:p>
    <w:p>
      <w:pPr>
        <w:ind w:left="660" w:right="20" w:hanging="648"/>
        <w:spacing w:after="0" w:line="266" w:lineRule="auto"/>
        <w:tabs>
          <w:tab w:leader="none" w:pos="2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As of the date hereof, Atlas X is the record owner of 9,171 shares of Common Stock. AVA X LP is the general partner of Atlas X and AVA X LLC is the general partner of AVA X LP. Each of Atlas X, AVA X LP and AVA X LLC has shared voting and dispositive power over the shares held by Atlas X. As such, each of Atlas X, AVA X LP and AVA X LLC may be deemed to beneficially own the shares held by Atlas X.</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the date hereof, AVA X LP is the record owner of 1,709 shares of Common Stock. AVA X LLC is the general partner of AVA X LP. Each of AVA X LP and AVA X LLC has shared voting and dispositive power over the shares held by AVA X LP. As such, each of AVA X LP and AVA X LLC may be deemed to beneficially own the shares held by AVA X LP.</w:t>
      </w:r>
    </w:p>
    <w:p>
      <w:pPr>
        <w:spacing w:after="0" w:line="17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As of the date hereof, AVOF is the record owner of 67,567 shares of Common Stock. AVAO LP is the general partner of AVOF and AVAO LLC is the general partner of AVAO LP. Each of AVOF, AVAO LP and AVAO LLC has shared voting and dispositive power over the shares held by AVOF. As such, each of AVOF, AVAO LP and AVAO LLC may be deemed to beneficially own the shares held by AVOF.</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of the Fund X Reporting Persons and Opportunity Fund Reporting Persons may be deemed to beneficially own 0.1% and 0.5%, respectively, of the Issuer’s outstanding Common Stock, which percentages are calculated based upon 14,734,479 outstanding shares of Common Stock, as reported in the Issuer's prospectus supplement filed with the Securities and Exchange Commission on August 14, 2024.</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Collectively, the Reporting Persons beneficially own an aggregate of 78,447 shares of Common Stock, which represents 0.5% of the Issuer's outstanding Common Stock. The Fund X Reporting Persons and the Opportunity Fund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spacing w:after="0" w:line="183" w:lineRule="exact"/>
        <w:rPr>
          <w:sz w:val="20"/>
          <w:szCs w:val="20"/>
          <w:color w:val="auto"/>
        </w:rPr>
      </w:pPr>
    </w:p>
    <w:p>
      <w:pPr>
        <w:ind w:left="660" w:right="20" w:hanging="64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2024, Atlas X sold 300,000 shares of the Issuer’s Common Stock in a privately negotiated transaction with a single buyer for $33.59 per share.</w:t>
      </w:r>
    </w:p>
    <w:p>
      <w:pPr>
        <w:spacing w:after="0" w:line="161" w:lineRule="exact"/>
        <w:rPr>
          <w:rFonts w:ascii="Times New Roman" w:cs="Times New Roman" w:eastAsia="Times New Roman" w:hAnsi="Times New Roman"/>
          <w:sz w:val="18"/>
          <w:szCs w:val="18"/>
          <w:color w:val="auto"/>
        </w:rPr>
      </w:pPr>
    </w:p>
    <w:p>
      <w:pPr>
        <w:ind w:left="660" w:right="20" w:hanging="64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by the Reporting Persons to have the right to receive or the power to direct the receipt of dividends from, or the proceeds from the sale of, the shares of Common Stock beneficially owned by the Reporting Persons.</w:t>
      </w:r>
    </w:p>
    <w:p>
      <w:pPr>
        <w:spacing w:after="0" w:line="37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ceased to be the beneficial owners of more than five percent of the Common Stock on June 20, 2024 by virtue of the closing of the Reverse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20"/>
        <w:spacing w:after="0"/>
        <w:tabs>
          <w:tab w:leader="none" w:pos="10220" w:val="left"/>
        </w:tabs>
        <w:rPr>
          <w:sz w:val="20"/>
          <w:szCs w:val="20"/>
          <w:color w:val="auto"/>
        </w:rPr>
      </w:pPr>
      <w:r>
        <w:rPr>
          <w:rFonts w:ascii="Times New Roman" w:cs="Times New Roman" w:eastAsia="Times New Roman" w:hAnsi="Times New Roman"/>
          <w:sz w:val="18"/>
          <w:szCs w:val="18"/>
          <w:color w:val="auto"/>
        </w:rPr>
        <w:t>CUSIP 878972108</w:t>
      </w:r>
      <w:r>
        <w:rPr>
          <w:sz w:val="20"/>
          <w:szCs w:val="20"/>
          <w:color w:val="auto"/>
        </w:rPr>
        <w:tab/>
      </w:r>
      <w:r>
        <w:rPr>
          <w:rFonts w:ascii="Times New Roman" w:cs="Times New Roman" w:eastAsia="Times New Roman" w:hAnsi="Times New Roman"/>
          <w:sz w:val="18"/>
          <w:szCs w:val="18"/>
          <w:color w:val="auto"/>
        </w:rPr>
        <w:t>Page 10 of 10</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ATLAS VENTURE FUND X, 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Atlas Venture Associates X, L.P., its general partner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Atlas Venture Associates X, LLC, its general partner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Ommer Chohan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33515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ATLAS VENTURE ASSOCIATES X, 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Atlas Venture Associates X, LLC, its general partner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ATLAS VENTURE ASSOCIATES X, LLC</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ATLAS VENTURE OPPORTUNITY FUND I, 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Atlas Venture Associates Opportunity I, L.P., its general partner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Atlas Venture Associates Opportunity I, LLC, its general partner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ATLAS VENTURE ASSOCIATES OPPORTUNITY I, 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Atlas Venture Associates Opportunity I, LLC, its general partner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ATLAS VENTURE ASSOCIATES OPPORTUNITY I, LLC</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bullet"/>
      <w:start w:val="1"/>
    </w:lvl>
  </w:abstractNum>
  <w:abstractNum w:abstractNumId="2">
    <w:nsid w:val="71F32454"/>
    <w:multiLevelType w:val="hybridMultilevel"/>
    <w:lvl w:ilvl="0">
      <w:lvlJc w:val="left"/>
      <w:lvlText w:val="2"/>
      <w:numFmt w:val="bullet"/>
      <w:start w:val="1"/>
    </w:lvl>
  </w:abstractNum>
  <w:abstractNum w:abstractNumId="3">
    <w:nsid w:val="2CA88611"/>
    <w:multiLevelType w:val="hybridMultilevel"/>
    <w:lvl w:ilvl="0">
      <w:lvlJc w:val="left"/>
      <w:lvlText w:val="3"/>
      <w:numFmt w:val="bullet"/>
      <w:start w:val="1"/>
    </w:lvl>
  </w:abstractNum>
  <w:abstractNum w:abstractNumId="4">
    <w:nsid w:val="836C40E"/>
    <w:multiLevelType w:val="hybridMultilevel"/>
    <w:lvl w:ilvl="0">
      <w:lvlJc w:val="left"/>
      <w:lvlText w:val="4"/>
      <w:numFmt w:val="bullet"/>
      <w:start w:val="1"/>
    </w:lvl>
  </w:abstractNum>
  <w:abstractNum w:abstractNumId="5">
    <w:nsid w:val="2901D82"/>
    <w:multiLevelType w:val="hybridMultilevel"/>
    <w:lvl w:ilvl="0">
      <w:lvlJc w:val="left"/>
      <w:lvlText w:val="5"/>
      <w:numFmt w:val="bullet"/>
      <w:start w:val="1"/>
    </w:lvl>
  </w:abstractNum>
  <w:abstractNum w:abstractNumId="6">
    <w:nsid w:val="3A95F874"/>
    <w:multiLevelType w:val="hybridMultilevel"/>
    <w:lvl w:ilvl="0">
      <w:lvlJc w:val="left"/>
      <w:lvlText w:val="6"/>
      <w:numFmt w:val="bullet"/>
      <w:start w:val="1"/>
    </w:lvl>
  </w:abstractNum>
  <w:abstractNum w:abstractNumId="7">
    <w:nsid w:val="8138641"/>
    <w:multiLevelType w:val="hybridMultilevel"/>
    <w:lvl w:ilvl="0">
      <w:lvlJc w:val="left"/>
      <w:lvlText w:val="%1"/>
      <w:numFmt w:val="decimal"/>
      <w:start w:val="1"/>
    </w:lvl>
    <w:lvl w:ilvl="1">
      <w:lvlJc w:val="left"/>
      <w:lvlText w:val="%2"/>
      <w:numFmt w:val="decimal"/>
      <w:start w:val="11"/>
    </w:lvl>
  </w:abstractNum>
  <w:abstractNum w:abstractNumId="8">
    <w:nsid w:val="1E7FF521"/>
    <w:multiLevelType w:val="hybridMultilevel"/>
    <w:lvl w:ilvl="0">
      <w:lvlJc w:val="left"/>
      <w:lvlText w:val="2"/>
      <w:numFmt w:val="bullet"/>
      <w:start w:val="1"/>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2"/>
      <w:numFmt w:val="bullet"/>
      <w:start w:val="1"/>
    </w:lvl>
  </w:abstractNum>
  <w:abstractNum w:abstractNumId="11">
    <w:nsid w:val="6CEAF087"/>
    <w:multiLevelType w:val="hybridMultilevel"/>
    <w:lvl w:ilvl="0">
      <w:lvlJc w:val="left"/>
      <w:lvlText w:val="3"/>
      <w:numFmt w:val="bullet"/>
      <w:start w:val="1"/>
    </w:lvl>
  </w:abstractNum>
  <w:abstractNum w:abstractNumId="12">
    <w:nsid w:val="22221A70"/>
    <w:multiLevelType w:val="hybridMultilevel"/>
    <w:lvl w:ilvl="0">
      <w:lvlJc w:val="left"/>
      <w:lvlText w:val="4"/>
      <w:numFmt w:val="bullet"/>
      <w:start w:val="1"/>
    </w:lvl>
  </w:abstractNum>
  <w:abstractNum w:abstractNumId="13">
    <w:nsid w:val="4516DDE9"/>
    <w:multiLevelType w:val="hybridMultilevel"/>
    <w:lvl w:ilvl="0">
      <w:lvlJc w:val="left"/>
      <w:lvlText w:val="5"/>
      <w:numFmt w:val="bullet"/>
      <w:start w:val="1"/>
    </w:lvl>
  </w:abstractNum>
  <w:abstractNum w:abstractNumId="14">
    <w:nsid w:val="3006C83E"/>
    <w:multiLevelType w:val="hybridMultilevel"/>
    <w:lvl w:ilvl="0">
      <w:lvlJc w:val="left"/>
      <w:lvlText w:val="6"/>
      <w:numFmt w:val="bullet"/>
      <w:start w:val="1"/>
    </w:lvl>
  </w:abstractNum>
  <w:abstractNum w:abstractNumId="15">
    <w:nsid w:val="614FD4A1"/>
    <w:multiLevelType w:val="hybridMultilevel"/>
    <w:lvl w:ilvl="0">
      <w:lvlJc w:val="left"/>
      <w:lvlText w:val="%1"/>
      <w:numFmt w:val="decimal"/>
      <w:start w:val="1"/>
    </w:lvl>
    <w:lvl w:ilvl="1">
      <w:lvlJc w:val="left"/>
      <w:lvlText w:val="%2"/>
      <w:numFmt w:val="decimal"/>
      <w:start w:val="11"/>
    </w:lvl>
  </w:abstractNum>
  <w:abstractNum w:abstractNumId="16">
    <w:nsid w:val="419AC241"/>
    <w:multiLevelType w:val="hybridMultilevel"/>
    <w:lvl w:ilvl="0">
      <w:lvlJc w:val="left"/>
      <w:lvlText w:val="2"/>
      <w:numFmt w:val="bullet"/>
      <w:start w:val="1"/>
    </w:lvl>
  </w:abstractNum>
  <w:abstractNum w:abstractNumId="17">
    <w:nsid w:val="5577F8E1"/>
    <w:multiLevelType w:val="hybridMultilevel"/>
    <w:lvl w:ilvl="0">
      <w:lvlJc w:val="left"/>
      <w:lvlText w:val="1"/>
      <w:numFmt w:val="bullet"/>
      <w:start w:val="1"/>
    </w:lvl>
  </w:abstractNum>
  <w:abstractNum w:abstractNumId="18">
    <w:nsid w:val="440BADFC"/>
    <w:multiLevelType w:val="hybridMultilevel"/>
    <w:lvl w:ilvl="0">
      <w:lvlJc w:val="left"/>
      <w:lvlText w:val="2"/>
      <w:numFmt w:val="bullet"/>
      <w:start w:val="1"/>
    </w:lvl>
  </w:abstractNum>
  <w:abstractNum w:abstractNumId="19">
    <w:nsid w:val="5072367"/>
    <w:multiLevelType w:val="hybridMultilevel"/>
    <w:lvl w:ilvl="0">
      <w:lvlJc w:val="left"/>
      <w:lvlText w:val="3"/>
      <w:numFmt w:val="bullet"/>
      <w:start w:val="1"/>
    </w:lvl>
  </w:abstractNum>
  <w:abstractNum w:abstractNumId="20">
    <w:nsid w:val="3804823E"/>
    <w:multiLevelType w:val="hybridMultilevel"/>
    <w:lvl w:ilvl="0">
      <w:lvlJc w:val="left"/>
      <w:lvlText w:val="4"/>
      <w:numFmt w:val="bullet"/>
      <w:start w:val="1"/>
    </w:lvl>
  </w:abstractNum>
  <w:abstractNum w:abstractNumId="21">
    <w:nsid w:val="77465F01"/>
    <w:multiLevelType w:val="hybridMultilevel"/>
    <w:lvl w:ilvl="0">
      <w:lvlJc w:val="left"/>
      <w:lvlText w:val="5"/>
      <w:numFmt w:val="bullet"/>
      <w:start w:val="1"/>
    </w:lvl>
  </w:abstractNum>
  <w:abstractNum w:abstractNumId="22">
    <w:nsid w:val="7724C67E"/>
    <w:multiLevelType w:val="hybridMultilevel"/>
    <w:lvl w:ilvl="0">
      <w:lvlJc w:val="left"/>
      <w:lvlText w:val="6"/>
      <w:numFmt w:val="bullet"/>
      <w:start w:val="1"/>
    </w:lvl>
  </w:abstractNum>
  <w:abstractNum w:abstractNumId="23">
    <w:nsid w:val="5C482A97"/>
    <w:multiLevelType w:val="hybridMultilevel"/>
    <w:lvl w:ilvl="0">
      <w:lvlJc w:val="left"/>
      <w:lvlText w:val="%1"/>
      <w:numFmt w:val="decimal"/>
      <w:start w:val="1"/>
    </w:lvl>
    <w:lvl w:ilvl="1">
      <w:lvlJc w:val="left"/>
      <w:lvlText w:val="%2"/>
      <w:numFmt w:val="decimal"/>
      <w:start w:val="11"/>
    </w:lvl>
  </w:abstractNum>
  <w:abstractNum w:abstractNumId="24">
    <w:nsid w:val="2463B9EA"/>
    <w:multiLevelType w:val="hybridMultilevel"/>
    <w:lvl w:ilvl="0">
      <w:lvlJc w:val="left"/>
      <w:lvlText w:val="2"/>
      <w:numFmt w:val="bullet"/>
      <w:start w:val="1"/>
    </w:lvl>
  </w:abstractNum>
  <w:abstractNum w:abstractNumId="25">
    <w:nsid w:val="5E884ADC"/>
    <w:multiLevelType w:val="hybridMultilevel"/>
    <w:lvl w:ilvl="0">
      <w:lvlJc w:val="left"/>
      <w:lvlText w:val="1"/>
      <w:numFmt w:val="bullet"/>
      <w:start w:val="1"/>
    </w:lvl>
  </w:abstractNum>
  <w:abstractNum w:abstractNumId="26">
    <w:nsid w:val="51EAD36B"/>
    <w:multiLevelType w:val="hybridMultilevel"/>
    <w:lvl w:ilvl="0">
      <w:lvlJc w:val="left"/>
      <w:lvlText w:val="2"/>
      <w:numFmt w:val="bullet"/>
      <w:start w:val="1"/>
    </w:lvl>
  </w:abstractNum>
  <w:abstractNum w:abstractNumId="27">
    <w:nsid w:val="2D517796"/>
    <w:multiLevelType w:val="hybridMultilevel"/>
    <w:lvl w:ilvl="0">
      <w:lvlJc w:val="left"/>
      <w:lvlText w:val="3"/>
      <w:numFmt w:val="bullet"/>
      <w:start w:val="1"/>
    </w:lvl>
  </w:abstractNum>
  <w:abstractNum w:abstractNumId="28">
    <w:nsid w:val="580BD78F"/>
    <w:multiLevelType w:val="hybridMultilevel"/>
    <w:lvl w:ilvl="0">
      <w:lvlJc w:val="left"/>
      <w:lvlText w:val="4"/>
      <w:numFmt w:val="bullet"/>
      <w:start w:val="1"/>
    </w:lvl>
  </w:abstractNum>
  <w:abstractNum w:abstractNumId="29">
    <w:nsid w:val="153EA438"/>
    <w:multiLevelType w:val="hybridMultilevel"/>
    <w:lvl w:ilvl="0">
      <w:lvlJc w:val="left"/>
      <w:lvlText w:val="5"/>
      <w:numFmt w:val="bullet"/>
      <w:start w:val="1"/>
    </w:lvl>
  </w:abstractNum>
  <w:abstractNum w:abstractNumId="30">
    <w:nsid w:val="3855585C"/>
    <w:multiLevelType w:val="hybridMultilevel"/>
    <w:lvl w:ilvl="0">
      <w:lvlJc w:val="left"/>
      <w:lvlText w:val="6"/>
      <w:numFmt w:val="bullet"/>
      <w:start w:val="1"/>
    </w:lvl>
  </w:abstractNum>
  <w:abstractNum w:abstractNumId="31">
    <w:nsid w:val="70A64E2A"/>
    <w:multiLevelType w:val="hybridMultilevel"/>
    <w:lvl w:ilvl="0">
      <w:lvlJc w:val="left"/>
      <w:lvlText w:val="%1"/>
      <w:numFmt w:val="decimal"/>
      <w:start w:val="1"/>
    </w:lvl>
    <w:lvl w:ilvl="1">
      <w:lvlJc w:val="left"/>
      <w:lvlText w:val="%2"/>
      <w:numFmt w:val="decimal"/>
      <w:start w:val="11"/>
    </w:lvl>
  </w:abstractNum>
  <w:abstractNum w:abstractNumId="32">
    <w:nsid w:val="6A2342EC"/>
    <w:multiLevelType w:val="hybridMultilevel"/>
    <w:lvl w:ilvl="0">
      <w:lvlJc w:val="left"/>
      <w:lvlText w:val="2"/>
      <w:numFmt w:val="bullet"/>
      <w:start w:val="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2"/>
      <w:numFmt w:val="bullet"/>
      <w:start w:val="1"/>
    </w:lvl>
  </w:abstractNum>
  <w:abstractNum w:abstractNumId="35">
    <w:nsid w:val="725A06FB"/>
    <w:multiLevelType w:val="hybridMultilevel"/>
    <w:lvl w:ilvl="0">
      <w:lvlJc w:val="left"/>
      <w:lvlText w:val="3"/>
      <w:numFmt w:val="bullet"/>
      <w:start w:val="1"/>
    </w:lvl>
  </w:abstractNum>
  <w:abstractNum w:abstractNumId="36">
    <w:nsid w:val="2CD89A32"/>
    <w:multiLevelType w:val="hybridMultilevel"/>
    <w:lvl w:ilvl="0">
      <w:lvlJc w:val="left"/>
      <w:lvlText w:val="4"/>
      <w:numFmt w:val="bullet"/>
      <w:start w:val="1"/>
    </w:lvl>
  </w:abstractNum>
  <w:abstractNum w:abstractNumId="37">
    <w:nsid w:val="57E4CCAF"/>
    <w:multiLevelType w:val="hybridMultilevel"/>
    <w:lvl w:ilvl="0">
      <w:lvlJc w:val="left"/>
      <w:lvlText w:val="5"/>
      <w:numFmt w:val="bullet"/>
      <w:start w:val="1"/>
    </w:lvl>
  </w:abstractNum>
  <w:abstractNum w:abstractNumId="38">
    <w:nsid w:val="7A6D8D3C"/>
    <w:multiLevelType w:val="hybridMultilevel"/>
    <w:lvl w:ilvl="0">
      <w:lvlJc w:val="left"/>
      <w:lvlText w:val="6"/>
      <w:numFmt w:val="bullet"/>
      <w:start w:val="1"/>
    </w:lvl>
  </w:abstractNum>
  <w:abstractNum w:abstractNumId="39">
    <w:nsid w:val="4B588F54"/>
    <w:multiLevelType w:val="hybridMultilevel"/>
    <w:lvl w:ilvl="0">
      <w:lvlJc w:val="left"/>
      <w:lvlText w:val="%1"/>
      <w:numFmt w:val="decimal"/>
      <w:start w:val="1"/>
    </w:lvl>
    <w:lvl w:ilvl="1">
      <w:lvlJc w:val="left"/>
      <w:lvlText w:val="%2"/>
      <w:numFmt w:val="decimal"/>
      <w:start w:val="11"/>
    </w:lvl>
  </w:abstractNum>
  <w:abstractNum w:abstractNumId="40">
    <w:nsid w:val="542289EC"/>
    <w:multiLevelType w:val="hybridMultilevel"/>
    <w:lvl w:ilvl="0">
      <w:lvlJc w:val="left"/>
      <w:lvlText w:val="2"/>
      <w:numFmt w:val="bullet"/>
      <w:start w:val="1"/>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2"/>
      <w:numFmt w:val="bullet"/>
      <w:start w:val="1"/>
    </w:lvl>
  </w:abstractNum>
  <w:abstractNum w:abstractNumId="43">
    <w:nsid w:val="7644A45C"/>
    <w:multiLevelType w:val="hybridMultilevel"/>
    <w:lvl w:ilvl="0">
      <w:lvlJc w:val="left"/>
      <w:lvlText w:val="3"/>
      <w:numFmt w:val="bullet"/>
      <w:start w:val="1"/>
    </w:lvl>
  </w:abstractNum>
  <w:abstractNum w:abstractNumId="44">
    <w:nsid w:val="32FFF902"/>
    <w:multiLevelType w:val="hybridMultilevel"/>
    <w:lvl w:ilvl="0">
      <w:lvlJc w:val="left"/>
      <w:lvlText w:val="4"/>
      <w:numFmt w:val="bullet"/>
      <w:start w:val="1"/>
    </w:lvl>
  </w:abstractNum>
  <w:abstractNum w:abstractNumId="45">
    <w:nsid w:val="684A481A"/>
    <w:multiLevelType w:val="hybridMultilevel"/>
    <w:lvl w:ilvl="0">
      <w:lvlJc w:val="left"/>
      <w:lvlText w:val="5"/>
      <w:numFmt w:val="bullet"/>
      <w:start w:val="1"/>
    </w:lvl>
  </w:abstractNum>
  <w:abstractNum w:abstractNumId="46">
    <w:nsid w:val="579478FE"/>
    <w:multiLevelType w:val="hybridMultilevel"/>
    <w:lvl w:ilvl="0">
      <w:lvlJc w:val="left"/>
      <w:lvlText w:val="6"/>
      <w:numFmt w:val="bullet"/>
      <w:start w:val="1"/>
    </w:lvl>
  </w:abstractNum>
  <w:abstractNum w:abstractNumId="47">
    <w:nsid w:val="749ABB43"/>
    <w:multiLevelType w:val="hybridMultilevel"/>
    <w:lvl w:ilvl="0">
      <w:lvlJc w:val="left"/>
      <w:lvlText w:val="%1"/>
      <w:numFmt w:val="decimal"/>
      <w:start w:val="1"/>
    </w:lvl>
    <w:lvl w:ilvl="1">
      <w:lvlJc w:val="left"/>
      <w:lvlText w:val="%2"/>
      <w:numFmt w:val="decimal"/>
      <w:start w:val="11"/>
    </w:lvl>
  </w:abstractNum>
  <w:abstractNum w:abstractNumId="48">
    <w:nsid w:val="3DC240FB"/>
    <w:multiLevelType w:val="hybridMultilevel"/>
    <w:lvl w:ilvl="0">
      <w:lvlJc w:val="left"/>
      <w:lvlText w:val="2"/>
      <w:numFmt w:val="bullet"/>
      <w:start w:val="1"/>
    </w:lvl>
  </w:abstractNum>
  <w:abstractNum w:abstractNumId="49">
    <w:nsid w:val="1BA026FA"/>
    <w:multiLevelType w:val="hybridMultilevel"/>
    <w:lvl w:ilvl="0">
      <w:lvlJc w:val="left"/>
      <w:lvlText w:val="(%1)"/>
      <w:numFmt w:val="lowerLetter"/>
      <w:start w:val="2"/>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2024-10-28T19:39:52Z</dcterms:created>
  <dcterms:modified xsi:type="dcterms:W3CDTF">2024-10-28T19:39:52Z</dcterms:modified>
</cp:coreProperties>
</file>