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As filed with the Securities and Exchange Commission on August 6, 2020</w:t>
      </w:r>
    </w:p>
    <w:p>
      <w:pPr>
        <w:spacing w:after="0" w:line="27" w:lineRule="exact"/>
        <w:rPr>
          <w:sz w:val="24"/>
          <w:szCs w:val="24"/>
          <w:color w:val="auto"/>
        </w:rPr>
      </w:pPr>
    </w:p>
    <w:p>
      <w:pPr>
        <w:ind w:left="84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REGISTRATION STATEMENT</w:t>
      </w:r>
    </w:p>
    <w:p>
      <w:pPr>
        <w:jc w:val="center"/>
        <w:ind w:right="-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AVROBIO,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040" w:type="dxa"/>
            <w:vAlign w:val="bottom"/>
          </w:tcPr>
          <w:p>
            <w:pPr>
              <w:jc w:val="right"/>
              <w:ind w:right="197"/>
              <w:spacing w:after="0"/>
              <w:rPr>
                <w:sz w:val="20"/>
                <w:szCs w:val="20"/>
                <w:color w:val="auto"/>
              </w:rPr>
            </w:pPr>
            <w:r>
              <w:rPr>
                <w:rFonts w:ascii="Arial" w:cs="Arial" w:eastAsia="Arial" w:hAnsi="Arial"/>
                <w:sz w:val="18"/>
                <w:szCs w:val="18"/>
                <w:b w:val="1"/>
                <w:bCs w:val="1"/>
                <w:color w:val="auto"/>
              </w:rPr>
              <w:t>81-0710585</w:t>
            </w:r>
          </w:p>
        </w:tc>
      </w:tr>
      <w:tr>
        <w:trPr>
          <w:trHeight w:val="148"/>
        </w:trPr>
        <w:tc>
          <w:tcPr>
            <w:tcW w:w="2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040" w:type="dxa"/>
            <w:vAlign w:val="bottom"/>
          </w:tcPr>
          <w:p>
            <w:pPr>
              <w:jc w:val="center"/>
              <w:ind w:left="351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040" w:type="dxa"/>
            <w:vAlign w:val="bottom"/>
          </w:tcPr>
          <w:p>
            <w:pPr>
              <w:jc w:val="center"/>
              <w:ind w:left="3517"/>
              <w:spacing w:after="0"/>
              <w:rPr>
                <w:sz w:val="20"/>
                <w:szCs w:val="20"/>
                <w:color w:val="auto"/>
              </w:rPr>
            </w:pPr>
            <w:r>
              <w:rPr>
                <w:rFonts w:ascii="Arial" w:cs="Arial" w:eastAsia="Arial" w:hAnsi="Arial"/>
                <w:sz w:val="14"/>
                <w:szCs w:val="14"/>
                <w:b w:val="1"/>
                <w:bCs w:val="1"/>
                <w:color w:val="auto"/>
                <w:w w:val="96"/>
              </w:rPr>
              <w:t>Identification Number)</w:t>
            </w:r>
          </w:p>
        </w:tc>
      </w:tr>
      <w:tr>
        <w:trPr>
          <w:trHeight w:val="412"/>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91"/>
              </w:rPr>
              <w:t>One Kendall Square</w:t>
            </w:r>
          </w:p>
        </w:tc>
        <w:tc>
          <w:tcPr>
            <w:tcW w:w="5040" w:type="dxa"/>
            <w:vAlign w:val="bottom"/>
          </w:tcPr>
          <w:p>
            <w:pPr>
              <w:spacing w:after="0"/>
              <w:rPr>
                <w:sz w:val="24"/>
                <w:szCs w:val="24"/>
                <w:color w:val="auto"/>
              </w:rPr>
            </w:pPr>
          </w:p>
        </w:tc>
      </w:tr>
      <w:tr>
        <w:trPr>
          <w:trHeight w:val="216"/>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Building 300, Suite 201</w:t>
            </w:r>
          </w:p>
        </w:tc>
        <w:tc>
          <w:tcPr>
            <w:tcW w:w="5040" w:type="dxa"/>
            <w:vAlign w:val="bottom"/>
          </w:tcPr>
          <w:p>
            <w:pPr>
              <w:spacing w:after="0"/>
              <w:rPr>
                <w:sz w:val="18"/>
                <w:szCs w:val="18"/>
                <w:color w:val="auto"/>
              </w:rPr>
            </w:pPr>
          </w:p>
        </w:tc>
      </w:tr>
      <w:tr>
        <w:trPr>
          <w:trHeight w:val="225"/>
        </w:trPr>
        <w:tc>
          <w:tcPr>
            <w:tcW w:w="248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5040" w:type="dxa"/>
            <w:vAlign w:val="bottom"/>
          </w:tcPr>
          <w:p>
            <w:pPr>
              <w:jc w:val="right"/>
              <w:ind w:right="417"/>
              <w:spacing w:after="0"/>
              <w:rPr>
                <w:sz w:val="20"/>
                <w:szCs w:val="20"/>
                <w:color w:val="auto"/>
              </w:rPr>
            </w:pPr>
            <w:r>
              <w:rPr>
                <w:rFonts w:ascii="Arial" w:cs="Arial" w:eastAsia="Arial" w:hAnsi="Arial"/>
                <w:sz w:val="18"/>
                <w:szCs w:val="18"/>
                <w:b w:val="1"/>
                <w:bCs w:val="1"/>
                <w:color w:val="auto"/>
              </w:rPr>
              <w:t>02139</w:t>
            </w:r>
          </w:p>
        </w:tc>
      </w:tr>
      <w:tr>
        <w:trPr>
          <w:trHeight w:val="186"/>
        </w:trPr>
        <w:tc>
          <w:tcPr>
            <w:tcW w:w="24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040" w:type="dxa"/>
            <w:vAlign w:val="bottom"/>
          </w:tcPr>
          <w:p>
            <w:pPr>
              <w:jc w:val="center"/>
              <w:ind w:left="3517"/>
              <w:spacing w:after="0"/>
              <w:rPr>
                <w:sz w:val="20"/>
                <w:szCs w:val="20"/>
                <w:color w:val="auto"/>
              </w:rPr>
            </w:pPr>
            <w:r>
              <w:rPr>
                <w:rFonts w:ascii="Arial" w:cs="Arial" w:eastAsia="Arial" w:hAnsi="Arial"/>
                <w:sz w:val="14"/>
                <w:szCs w:val="14"/>
                <w:b w:val="1"/>
                <w:bCs w:val="1"/>
                <w:color w:val="auto"/>
                <w:w w:val="98"/>
              </w:rPr>
              <w:t>(Zip Code)</w:t>
            </w:r>
          </w:p>
        </w:tc>
      </w:tr>
      <w:tr>
        <w:trPr>
          <w:trHeight w:val="394"/>
        </w:trPr>
        <w:tc>
          <w:tcPr>
            <w:tcW w:w="2480" w:type="dxa"/>
            <w:vAlign w:val="bottom"/>
          </w:tcPr>
          <w:p>
            <w:pPr>
              <w:spacing w:after="0"/>
              <w:rPr>
                <w:sz w:val="24"/>
                <w:szCs w:val="24"/>
                <w:color w:val="auto"/>
              </w:rPr>
            </w:pPr>
          </w:p>
        </w:tc>
        <w:tc>
          <w:tcPr>
            <w:tcW w:w="5040" w:type="dxa"/>
            <w:vAlign w:val="bottom"/>
          </w:tcPr>
          <w:p>
            <w:pPr>
              <w:jc w:val="center"/>
              <w:ind w:right="1977"/>
              <w:spacing w:after="0"/>
              <w:rPr>
                <w:sz w:val="20"/>
                <w:szCs w:val="20"/>
                <w:color w:val="auto"/>
              </w:rPr>
            </w:pPr>
            <w:r>
              <w:rPr>
                <w:rFonts w:ascii="Arial" w:cs="Arial" w:eastAsia="Arial" w:hAnsi="Arial"/>
                <w:sz w:val="18"/>
                <w:szCs w:val="18"/>
                <w:b w:val="1"/>
                <w:bCs w:val="1"/>
                <w:color w:val="auto"/>
                <w:w w:val="90"/>
              </w:rPr>
              <w:t>2018 Stock Option and Incentive Plan</w:t>
            </w:r>
          </w:p>
        </w:tc>
      </w:tr>
      <w:tr>
        <w:trPr>
          <w:trHeight w:val="186"/>
        </w:trPr>
        <w:tc>
          <w:tcPr>
            <w:tcW w:w="2480" w:type="dxa"/>
            <w:vAlign w:val="bottom"/>
          </w:tcPr>
          <w:p>
            <w:pPr>
              <w:spacing w:after="0"/>
              <w:rPr>
                <w:sz w:val="16"/>
                <w:szCs w:val="16"/>
                <w:color w:val="auto"/>
              </w:rPr>
            </w:pPr>
          </w:p>
        </w:tc>
        <w:tc>
          <w:tcPr>
            <w:tcW w:w="5040" w:type="dxa"/>
            <w:vAlign w:val="bottom"/>
          </w:tcPr>
          <w:p>
            <w:pPr>
              <w:jc w:val="center"/>
              <w:ind w:right="1977"/>
              <w:spacing w:after="0"/>
              <w:rPr>
                <w:sz w:val="20"/>
                <w:szCs w:val="20"/>
                <w:color w:val="auto"/>
              </w:rPr>
            </w:pPr>
            <w:r>
              <w:rPr>
                <w:rFonts w:ascii="Arial" w:cs="Arial" w:eastAsia="Arial" w:hAnsi="Arial"/>
                <w:sz w:val="14"/>
                <w:szCs w:val="14"/>
                <w:b w:val="1"/>
                <w:bCs w:val="1"/>
                <w:color w:val="auto"/>
                <w:w w:val="94"/>
              </w:rPr>
              <w:t>(Full Title of the Plans)</w:t>
            </w:r>
          </w:p>
        </w:tc>
      </w:tr>
      <w:tr>
        <w:trPr>
          <w:trHeight w:val="399"/>
        </w:trPr>
        <w:tc>
          <w:tcPr>
            <w:tcW w:w="2480" w:type="dxa"/>
            <w:vAlign w:val="bottom"/>
          </w:tcPr>
          <w:p>
            <w:pPr>
              <w:spacing w:after="0"/>
              <w:rPr>
                <w:sz w:val="24"/>
                <w:szCs w:val="24"/>
                <w:color w:val="auto"/>
              </w:rPr>
            </w:pPr>
          </w:p>
        </w:tc>
        <w:tc>
          <w:tcPr>
            <w:tcW w:w="5040" w:type="dxa"/>
            <w:vAlign w:val="bottom"/>
          </w:tcPr>
          <w:p>
            <w:pPr>
              <w:jc w:val="center"/>
              <w:ind w:right="1977"/>
              <w:spacing w:after="0"/>
              <w:rPr>
                <w:sz w:val="20"/>
                <w:szCs w:val="20"/>
                <w:color w:val="auto"/>
              </w:rPr>
            </w:pPr>
            <w:r>
              <w:rPr>
                <w:rFonts w:ascii="Arial" w:cs="Arial" w:eastAsia="Arial" w:hAnsi="Arial"/>
                <w:sz w:val="18"/>
                <w:szCs w:val="18"/>
                <w:b w:val="1"/>
                <w:bCs w:val="1"/>
                <w:color w:val="auto"/>
                <w:w w:val="94"/>
              </w:rPr>
              <w:t>Geoff MacKay</w:t>
            </w:r>
          </w:p>
        </w:tc>
      </w:tr>
      <w:tr>
        <w:trPr>
          <w:trHeight w:val="216"/>
        </w:trPr>
        <w:tc>
          <w:tcPr>
            <w:tcW w:w="2480" w:type="dxa"/>
            <w:vAlign w:val="bottom"/>
          </w:tcPr>
          <w:p>
            <w:pPr>
              <w:spacing w:after="0"/>
              <w:rPr>
                <w:sz w:val="18"/>
                <w:szCs w:val="18"/>
                <w:color w:val="auto"/>
              </w:rPr>
            </w:pPr>
          </w:p>
        </w:tc>
        <w:tc>
          <w:tcPr>
            <w:tcW w:w="5040" w:type="dxa"/>
            <w:vAlign w:val="bottom"/>
          </w:tcPr>
          <w:p>
            <w:pPr>
              <w:jc w:val="center"/>
              <w:ind w:right="1997"/>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16"/>
        </w:trPr>
        <w:tc>
          <w:tcPr>
            <w:tcW w:w="2480" w:type="dxa"/>
            <w:vAlign w:val="bottom"/>
          </w:tcPr>
          <w:p>
            <w:pPr>
              <w:spacing w:after="0"/>
              <w:rPr>
                <w:sz w:val="18"/>
                <w:szCs w:val="18"/>
                <w:color w:val="auto"/>
              </w:rPr>
            </w:pPr>
          </w:p>
        </w:tc>
        <w:tc>
          <w:tcPr>
            <w:tcW w:w="5040" w:type="dxa"/>
            <w:vAlign w:val="bottom"/>
          </w:tcPr>
          <w:p>
            <w:pPr>
              <w:jc w:val="center"/>
              <w:ind w:right="1997"/>
              <w:spacing w:after="0"/>
              <w:rPr>
                <w:sz w:val="20"/>
                <w:szCs w:val="20"/>
                <w:color w:val="auto"/>
              </w:rPr>
            </w:pPr>
            <w:r>
              <w:rPr>
                <w:rFonts w:ascii="Arial" w:cs="Arial" w:eastAsia="Arial" w:hAnsi="Arial"/>
                <w:sz w:val="18"/>
                <w:szCs w:val="18"/>
                <w:b w:val="1"/>
                <w:bCs w:val="1"/>
                <w:color w:val="auto"/>
                <w:w w:val="91"/>
              </w:rPr>
              <w:t>One Kendall Square</w:t>
            </w:r>
          </w:p>
        </w:tc>
      </w:tr>
      <w:tr>
        <w:trPr>
          <w:trHeight w:val="216"/>
        </w:trPr>
        <w:tc>
          <w:tcPr>
            <w:tcW w:w="2480" w:type="dxa"/>
            <w:vAlign w:val="bottom"/>
          </w:tcPr>
          <w:p>
            <w:pPr>
              <w:spacing w:after="0"/>
              <w:rPr>
                <w:sz w:val="18"/>
                <w:szCs w:val="18"/>
                <w:color w:val="auto"/>
              </w:rPr>
            </w:pPr>
          </w:p>
        </w:tc>
        <w:tc>
          <w:tcPr>
            <w:tcW w:w="5040" w:type="dxa"/>
            <w:vAlign w:val="bottom"/>
          </w:tcPr>
          <w:p>
            <w:pPr>
              <w:jc w:val="center"/>
              <w:ind w:right="1997"/>
              <w:spacing w:after="0"/>
              <w:rPr>
                <w:sz w:val="20"/>
                <w:szCs w:val="20"/>
                <w:color w:val="auto"/>
              </w:rPr>
            </w:pPr>
            <w:r>
              <w:rPr>
                <w:rFonts w:ascii="Arial" w:cs="Arial" w:eastAsia="Arial" w:hAnsi="Arial"/>
                <w:sz w:val="18"/>
                <w:szCs w:val="18"/>
                <w:b w:val="1"/>
                <w:bCs w:val="1"/>
                <w:color w:val="auto"/>
                <w:w w:val="89"/>
              </w:rPr>
              <w:t>Building 300, Suite 201</w:t>
            </w:r>
          </w:p>
        </w:tc>
      </w:tr>
      <w:tr>
        <w:trPr>
          <w:trHeight w:val="212"/>
        </w:trPr>
        <w:tc>
          <w:tcPr>
            <w:tcW w:w="2480" w:type="dxa"/>
            <w:vAlign w:val="bottom"/>
          </w:tcPr>
          <w:p>
            <w:pPr>
              <w:spacing w:after="0"/>
              <w:rPr>
                <w:sz w:val="18"/>
                <w:szCs w:val="18"/>
                <w:color w:val="auto"/>
              </w:rPr>
            </w:pPr>
          </w:p>
        </w:tc>
        <w:tc>
          <w:tcPr>
            <w:tcW w:w="5040" w:type="dxa"/>
            <w:vAlign w:val="bottom"/>
          </w:tcPr>
          <w:p>
            <w:pPr>
              <w:jc w:val="center"/>
              <w:ind w:right="1997"/>
              <w:spacing w:after="0"/>
              <w:rPr>
                <w:sz w:val="20"/>
                <w:szCs w:val="20"/>
                <w:color w:val="auto"/>
              </w:rPr>
            </w:pPr>
            <w:r>
              <w:rPr>
                <w:rFonts w:ascii="Arial" w:cs="Arial" w:eastAsia="Arial" w:hAnsi="Arial"/>
                <w:sz w:val="18"/>
                <w:szCs w:val="18"/>
                <w:b w:val="1"/>
                <w:bCs w:val="1"/>
                <w:color w:val="auto"/>
                <w:w w:val="94"/>
              </w:rPr>
              <w:t>Cambridge, MA 02139</w:t>
            </w:r>
          </w:p>
        </w:tc>
      </w:tr>
      <w:tr>
        <w:trPr>
          <w:trHeight w:val="186"/>
        </w:trPr>
        <w:tc>
          <w:tcPr>
            <w:tcW w:w="2480" w:type="dxa"/>
            <w:vAlign w:val="bottom"/>
          </w:tcPr>
          <w:p>
            <w:pPr>
              <w:spacing w:after="0"/>
              <w:rPr>
                <w:sz w:val="16"/>
                <w:szCs w:val="16"/>
                <w:color w:val="auto"/>
              </w:rPr>
            </w:pPr>
          </w:p>
        </w:tc>
        <w:tc>
          <w:tcPr>
            <w:tcW w:w="5040" w:type="dxa"/>
            <w:vAlign w:val="bottom"/>
          </w:tcPr>
          <w:p>
            <w:pPr>
              <w:jc w:val="center"/>
              <w:ind w:right="1997"/>
              <w:spacing w:after="0"/>
              <w:rPr>
                <w:sz w:val="20"/>
                <w:szCs w:val="20"/>
                <w:color w:val="auto"/>
              </w:rPr>
            </w:pPr>
            <w:r>
              <w:rPr>
                <w:rFonts w:ascii="Arial" w:cs="Arial" w:eastAsia="Arial" w:hAnsi="Arial"/>
                <w:sz w:val="14"/>
                <w:szCs w:val="14"/>
                <w:b w:val="1"/>
                <w:bCs w:val="1"/>
                <w:color w:val="auto"/>
                <w:w w:val="91"/>
              </w:rPr>
              <w:t>(Name and address of agent for service)</w:t>
            </w:r>
          </w:p>
        </w:tc>
      </w:tr>
    </w:tbl>
    <w:p>
      <w:pPr>
        <w:spacing w:after="0" w:line="18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914-8420</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Copies to:</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Arthur R. McGivern,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James Xu, Esq.</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Goodwin Procter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100 Northern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Boston, Massachusetts 02210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(617) 570-1000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960"/>
          </w:cols>
          <w:pgMar w:left="440" w:top="229" w:right="49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CALCULATION OF REGISTRATION FEE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840" w:type="dxa"/>
            <w:vAlign w:val="bottom"/>
            <w:tcBorders>
              <w:top w:val="single" w:sz="8" w:color="auto"/>
              <w:bottom w:val="single" w:sz="8" w:color="auto"/>
            </w:tcBorders>
          </w:tcPr>
          <w:p>
            <w:pPr>
              <w:spacing w:after="0"/>
              <w:rPr>
                <w:sz w:val="3"/>
                <w:szCs w:val="3"/>
                <w:color w:val="auto"/>
              </w:rPr>
            </w:pPr>
          </w:p>
        </w:tc>
        <w:tc>
          <w:tcPr>
            <w:tcW w:w="15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4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4840" w:type="dxa"/>
            <w:vAlign w:val="bottom"/>
            <w:tcBorders>
              <w:right w:val="single" w:sz="8" w:color="auto"/>
            </w:tcBorders>
            <w:vMerge w:val="continue"/>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 (1)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$0.0001 par value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3,300,000 shares (3)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$16.66 (2)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$54,978,000.00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$7,136.15</w:t>
            </w:r>
          </w:p>
        </w:tc>
        <w:tc>
          <w:tcPr>
            <w:tcW w:w="0" w:type="dxa"/>
            <w:vAlign w:val="bottom"/>
          </w:tcPr>
          <w:p>
            <w:pPr>
              <w:spacing w:after="0"/>
              <w:rPr>
                <w:sz w:val="1"/>
                <w:szCs w:val="1"/>
                <w:color w:val="auto"/>
              </w:rPr>
            </w:pPr>
          </w:p>
        </w:tc>
      </w:tr>
      <w:tr>
        <w:trPr>
          <w:trHeight w:val="210"/>
        </w:trPr>
        <w:tc>
          <w:tcPr>
            <w:tcW w:w="48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3,300,000 shares</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$54,978,000.00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$7,136.15</w:t>
            </w:r>
          </w:p>
        </w:tc>
        <w:tc>
          <w:tcPr>
            <w:tcW w:w="0" w:type="dxa"/>
            <w:vAlign w:val="bottom"/>
          </w:tcPr>
          <w:p>
            <w:pPr>
              <w:spacing w:after="0"/>
              <w:rPr>
                <w:sz w:val="1"/>
                <w:szCs w:val="1"/>
                <w:color w:val="auto"/>
              </w:rPr>
            </w:pPr>
          </w:p>
        </w:tc>
      </w:tr>
      <w:tr>
        <w:trPr>
          <w:trHeight w:val="20"/>
        </w:trPr>
        <w:tc>
          <w:tcPr>
            <w:tcW w:w="4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760" w:right="320" w:hanging="548"/>
        <w:spacing w:after="0" w:line="286" w:lineRule="auto"/>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also cover any additional shares of common stock which become issuable under the Registrant’s 2018 Stock Option and Incentive Plan, as amended (the “Plan”) by reason of any stock dividend, stock split, recapitalization or any other similar transaction effected without the receipt of consideration which results in an increase in the number of the Registrant’s outstanding shares of common stock.</w:t>
      </w:r>
    </w:p>
    <w:p>
      <w:pPr>
        <w:ind w:left="760" w:right="160" w:hanging="548"/>
        <w:spacing w:after="0" w:line="281" w:lineRule="auto"/>
        <w:tabs>
          <w:tab w:leader="none" w:pos="7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457(h) of the Securities Act, and based on the average of the high and low sales prices of the Registrant’s common stock, as quoted on the Nasdaq Global Select Market, on August 4, 2020.</w:t>
      </w:r>
    </w:p>
    <w:p>
      <w:pPr>
        <w:spacing w:after="0" w:line="1" w:lineRule="exact"/>
        <w:rPr>
          <w:rFonts w:ascii="Arial" w:cs="Arial" w:eastAsia="Arial" w:hAnsi="Arial"/>
          <w:sz w:val="16"/>
          <w:szCs w:val="16"/>
          <w:color w:val="auto"/>
        </w:rPr>
      </w:pPr>
    </w:p>
    <w:p>
      <w:pPr>
        <w:ind w:left="760" w:right="80" w:hanging="548"/>
        <w:spacing w:after="0" w:line="271" w:lineRule="auto"/>
        <w:tabs>
          <w:tab w:leader="none" w:pos="760" w:val="left"/>
        </w:tabs>
        <w:numPr>
          <w:ilvl w:val="0"/>
          <w:numId w:val="1"/>
        </w:numPr>
        <w:rPr>
          <w:rFonts w:ascii="Arial" w:cs="Arial" w:eastAsia="Arial" w:hAnsi="Arial"/>
          <w:sz w:val="17"/>
          <w:szCs w:val="17"/>
          <w:color w:val="auto"/>
        </w:rPr>
      </w:pPr>
      <w:r>
        <w:rPr>
          <w:rFonts w:ascii="Arial" w:cs="Arial" w:eastAsia="Arial" w:hAnsi="Arial"/>
          <w:sz w:val="17"/>
          <w:szCs w:val="17"/>
          <w:color w:val="auto"/>
        </w:rPr>
        <w:t>Represents an additional 3,300,000 shares issuable under the Plan. These 3,300,000 shares represent an increase in the number of shares of common stock reserved for issuance under the Plan, which increase was approved by the Registrant’s stockholders on June 4, 2020 at the Registrant’s 2020 Annual Meeting of Stockholders. Shares available for issuance under the Plan were previously registered on a registration statement on Form S-8 filed with the Securities and Exchange Commission on June 21, 2018 (Registration No. 333-225788), March 25, 2019 (Registration No. 333-230494) and March 16, 2020 (Registration No. 333-237203).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173355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This Registration Statement on Form S-8 registers additional shares of Common Stock under the Registrant’s 2018 Plan. The 3,300,000 additional shares represent an increase in the number of shares of common stock reserved for issuance under the 2018 Plan, which increase was approved by the registrant’s stockholders on June 4, 2020 at the registrant’s 2020 Annual Meeting of Stockholders.</w:t>
      </w:r>
    </w:p>
    <w:p>
      <w:pPr>
        <w:spacing w:after="0" w:line="165" w:lineRule="exact"/>
        <w:rPr>
          <w:sz w:val="20"/>
          <w:szCs w:val="20"/>
          <w:color w:val="auto"/>
        </w:rPr>
      </w:pPr>
    </w:p>
    <w:p>
      <w:pPr>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additional shares described above are of the same class as other securities relating to the 2018 Plan for which the Registrant’s registration statements filed on Form S-8 (Registration No. 333-225788) on </w:t>
      </w:r>
      <w:hyperlink r:id="rId20">
        <w:r>
          <w:rPr>
            <w:rFonts w:ascii="Arial" w:cs="Arial" w:eastAsia="Arial" w:hAnsi="Arial"/>
            <w:sz w:val="17"/>
            <w:szCs w:val="17"/>
            <w:u w:val="single" w:color="auto"/>
            <w:color w:val="0000EE"/>
          </w:rPr>
          <w:t>June 21, 2018</w:t>
        </w:r>
      </w:hyperlink>
      <w:r>
        <w:rPr>
          <w:rFonts w:ascii="Arial" w:cs="Arial" w:eastAsia="Arial" w:hAnsi="Arial"/>
          <w:sz w:val="17"/>
          <w:szCs w:val="17"/>
          <w:color w:val="auto"/>
        </w:rPr>
        <w:t xml:space="preserve">, on Form S-8 (Registration No. 333-230494) on </w:t>
      </w:r>
      <w:hyperlink r:id="rId21">
        <w:r>
          <w:rPr>
            <w:rFonts w:ascii="Arial" w:cs="Arial" w:eastAsia="Arial" w:hAnsi="Arial"/>
            <w:sz w:val="17"/>
            <w:szCs w:val="17"/>
            <w:u w:val="single" w:color="auto"/>
            <w:color w:val="0000EE"/>
          </w:rPr>
          <w:t>March 25, 2019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on Form S-8 (Registration No. 333-237203) on </w:t>
      </w:r>
      <w:hyperlink r:id="rId22">
        <w:r>
          <w:rPr>
            <w:rFonts w:ascii="Arial" w:cs="Arial" w:eastAsia="Arial" w:hAnsi="Arial"/>
            <w:sz w:val="17"/>
            <w:szCs w:val="17"/>
            <w:u w:val="single" w:color="auto"/>
            <w:color w:val="0000EE"/>
          </w:rPr>
          <w:t>March 16, 2020</w:t>
        </w:r>
      </w:hyperlink>
      <w:r>
        <w:rPr>
          <w:rFonts w:ascii="Arial" w:cs="Arial" w:eastAsia="Arial" w:hAnsi="Arial"/>
          <w:sz w:val="17"/>
          <w:szCs w:val="17"/>
          <w:color w:val="auto"/>
        </w:rPr>
        <w:t>, are effective. The information contained in the Registrant’s registration statement on Form S-8 (Registration No. 333-225788) is hereby incorporated by reference pursuant to General Instruction E.</w:t>
      </w:r>
    </w:p>
    <w:p>
      <w:pPr>
        <w:sectPr>
          <w:pgSz w:w="11900" w:h="16838" w:orient="portrait"/>
          <w:cols w:equalWidth="0" w:num="1">
            <w:col w:w="11000"/>
          </w:cols>
          <w:pgMar w:left="440" w:top="270" w:right="45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6240" w:type="dxa"/>
            <w:vAlign w:val="bottom"/>
            <w:gridSpan w:val="9"/>
          </w:tcPr>
          <w:p>
            <w:pPr>
              <w:jc w:val="center"/>
              <w:ind w:right="4800"/>
              <w:spacing w:after="0"/>
              <w:rPr>
                <w:sz w:val="20"/>
                <w:szCs w:val="20"/>
                <w:color w:val="auto"/>
              </w:rPr>
            </w:pPr>
            <w:r>
              <w:rPr>
                <w:rFonts w:ascii="Arial" w:cs="Arial" w:eastAsia="Arial" w:hAnsi="Arial"/>
                <w:sz w:val="18"/>
                <w:szCs w:val="18"/>
                <w:b w:val="1"/>
                <w:bCs w:val="1"/>
                <w:color w:val="auto"/>
              </w:rPr>
              <w:t>Part II</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700" w:type="dxa"/>
            <w:vAlign w:val="bottom"/>
            <w:gridSpan w:val="10"/>
          </w:tcPr>
          <w:p>
            <w:pPr>
              <w:jc w:val="center"/>
              <w:ind w:right="2340"/>
              <w:spacing w:after="0"/>
              <w:rPr>
                <w:sz w:val="20"/>
                <w:szCs w:val="20"/>
                <w:color w:val="auto"/>
              </w:rPr>
            </w:pPr>
            <w:r>
              <w:rPr>
                <w:rFonts w:ascii="Arial" w:cs="Arial" w:eastAsia="Arial" w:hAnsi="Arial"/>
                <w:sz w:val="18"/>
                <w:szCs w:val="18"/>
                <w:b w:val="1"/>
                <w:bCs w:val="1"/>
                <w:color w:val="auto"/>
              </w:rPr>
              <w:t>INFORMATION REQUIRED IN THE REGISTRATION STATEMENT</w:t>
            </w:r>
          </w:p>
        </w:tc>
        <w:tc>
          <w:tcPr>
            <w:tcW w:w="0" w:type="dxa"/>
            <w:vAlign w:val="bottom"/>
          </w:tcPr>
          <w:p>
            <w:pPr>
              <w:spacing w:after="0"/>
              <w:rPr>
                <w:sz w:val="1"/>
                <w:szCs w:val="1"/>
                <w:color w:val="auto"/>
              </w:rPr>
            </w:pPr>
          </w:p>
        </w:tc>
      </w:tr>
      <w:tr>
        <w:trPr>
          <w:trHeight w:val="459"/>
        </w:trPr>
        <w:tc>
          <w:tcPr>
            <w:tcW w:w="88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10140" w:type="dxa"/>
            <w:vAlign w:val="bottom"/>
            <w:gridSpan w:val="11"/>
          </w:tcPr>
          <w:p>
            <w:pPr>
              <w:ind w:left="2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648"/>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240" w:type="dxa"/>
            <w:vAlign w:val="bottom"/>
            <w:gridSpan w:val="9"/>
          </w:tcPr>
          <w:p>
            <w:pPr>
              <w:jc w:val="center"/>
              <w:ind w:right="48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4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240" w:type="dxa"/>
            <w:vAlign w:val="bottom"/>
            <w:gridSpan w:val="9"/>
            <w:vMerge w:val="restart"/>
          </w:tcPr>
          <w:p>
            <w:pPr>
              <w:ind w:left="8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14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24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2"/>
                <w:szCs w:val="22"/>
                <w:color w:val="auto"/>
              </w:rPr>
            </w:pPr>
          </w:p>
        </w:tc>
        <w:tc>
          <w:tcPr>
            <w:tcW w:w="10080" w:type="dxa"/>
            <w:vAlign w:val="bottom"/>
            <w:tcBorders>
              <w:top w:val="single" w:sz="8" w:color="auto"/>
              <w:bottom w:val="single" w:sz="8" w:color="0000EE"/>
            </w:tcBorders>
            <w:gridSpan w:val="10"/>
          </w:tcPr>
          <w:p>
            <w:pPr>
              <w:spacing w:after="0"/>
              <w:rPr>
                <w:rFonts w:ascii="Arial" w:cs="Arial" w:eastAsia="Arial" w:hAnsi="Arial"/>
                <w:sz w:val="18"/>
                <w:szCs w:val="18"/>
                <w:color w:val="0000EE"/>
                <w:w w:val="91"/>
              </w:rPr>
            </w:pPr>
            <w:hyperlink r:id="rId23">
              <w:r>
                <w:rPr>
                  <w:rFonts w:ascii="Arial" w:cs="Arial" w:eastAsia="Arial" w:hAnsi="Arial"/>
                  <w:sz w:val="18"/>
                  <w:szCs w:val="18"/>
                  <w:color w:val="0000EE"/>
                  <w:w w:val="91"/>
                </w:rPr>
                <w:t>Fourth Amended and Restated Certificate of Incorporation of the Registrant (filed as Exhibit 3.1 to the Registrant’s Current Report on Form</w:t>
              </w:r>
            </w:hyperlink>
          </w:p>
        </w:tc>
        <w:tc>
          <w:tcPr>
            <w:tcW w:w="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6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23">
              <w:r>
                <w:rPr>
                  <w:rFonts w:ascii="Arial" w:cs="Arial" w:eastAsia="Arial" w:hAnsi="Arial"/>
                  <w:sz w:val="18"/>
                  <w:szCs w:val="18"/>
                  <w:color w:val="0000EE"/>
                  <w:w w:val="90"/>
                </w:rPr>
                <w:t>8-K filed on June 25, 2018 (File No. 001-38537) and incorporated herein by reference)</w:t>
              </w:r>
            </w:hyperlink>
          </w:p>
        </w:tc>
        <w:tc>
          <w:tcPr>
            <w:tcW w:w="38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color w:val="0000EE"/>
                <w:w w:val="99"/>
              </w:rPr>
            </w:pPr>
            <w:hyperlink r:id="rId24">
              <w:r>
                <w:rPr>
                  <w:rFonts w:ascii="Arial" w:cs="Arial" w:eastAsia="Arial" w:hAnsi="Arial"/>
                  <w:sz w:val="18"/>
                  <w:szCs w:val="18"/>
                  <w:color w:val="0000EE"/>
                  <w:w w:val="99"/>
                </w:rPr>
                <w:t>Amended and Restated By-laws (filed as Exhibit 3.2 to the Registrant’s Current Report on Form 8-K filed on June 25, 2018 (File</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24">
              <w:r>
                <w:rPr>
                  <w:rFonts w:ascii="Arial" w:cs="Arial" w:eastAsia="Arial" w:hAnsi="Arial"/>
                  <w:sz w:val="18"/>
                  <w:szCs w:val="18"/>
                  <w:color w:val="0000EE"/>
                  <w:w w:val="89"/>
                </w:rPr>
                <w:t>No. 001-38537) and incorporated herein by reference)</w:t>
              </w:r>
            </w:hyperlink>
          </w:p>
        </w:tc>
        <w:tc>
          <w:tcPr>
            <w:tcW w:w="5380" w:type="dxa"/>
            <w:vAlign w:val="bottom"/>
            <w:tcBorders>
              <w:top w:val="single" w:sz="8" w:color="0000EE"/>
            </w:tcBorders>
            <w:gridSpan w:val="3"/>
          </w:tcPr>
          <w:p>
            <w:pPr>
              <w:spacing w:after="0"/>
              <w:rPr>
                <w:sz w:val="17"/>
                <w:szCs w:val="17"/>
                <w:color w:val="auto"/>
              </w:rPr>
            </w:pPr>
          </w:p>
        </w:tc>
        <w:tc>
          <w:tcPr>
            <w:tcW w:w="8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color w:val="0000EE"/>
                <w:w w:val="92"/>
              </w:rPr>
            </w:pPr>
            <w:hyperlink r:id="rId25">
              <w:r>
                <w:rPr>
                  <w:rFonts w:ascii="Arial" w:cs="Arial" w:eastAsia="Arial" w:hAnsi="Arial"/>
                  <w:sz w:val="18"/>
                  <w:szCs w:val="18"/>
                  <w:color w:val="0000EE"/>
                  <w:w w:val="92"/>
                </w:rPr>
                <w:t>Second Amended and Restated Investors’ Rights Agreement among the Registrant and certain of its stockholders, dated January 9, 2018</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412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40" w:type="dxa"/>
            <w:vAlign w:val="bottom"/>
            <w:gridSpan w:val="11"/>
          </w:tcPr>
          <w:p>
            <w:pPr>
              <w:spacing w:after="0" w:line="196" w:lineRule="exact"/>
              <w:rPr>
                <w:rFonts w:ascii="Arial" w:cs="Arial" w:eastAsia="Arial" w:hAnsi="Arial"/>
                <w:sz w:val="18"/>
                <w:szCs w:val="18"/>
                <w:color w:val="0000EE"/>
                <w:w w:val="92"/>
              </w:rPr>
            </w:pPr>
            <w:hyperlink r:id="rId25">
              <w:r>
                <w:rPr>
                  <w:rFonts w:ascii="Arial" w:cs="Arial" w:eastAsia="Arial" w:hAnsi="Arial"/>
                  <w:sz w:val="18"/>
                  <w:szCs w:val="18"/>
                  <w:color w:val="0000EE"/>
                  <w:w w:val="92"/>
                </w:rPr>
                <w:t>(filed as Exhibit 4.2 to the Registrant’s Registration Statement on Form S-1 filed on May 25, 2018 (File No. 333-225213) and incorporated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herein by reference)</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Opinion of Goodwin Procter LLP</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Consent of Ernst &amp; Young LLP, Independent Registered Public Accounting Firm</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Consent of Goodwin Procter LLP (included in Exhibit 5.1)</w:t>
              </w:r>
            </w:hyperlink>
          </w:p>
        </w:tc>
        <w:tc>
          <w:tcPr>
            <w:tcW w:w="0" w:type="dxa"/>
            <w:vAlign w:val="bottom"/>
          </w:tcPr>
          <w:p>
            <w:pPr>
              <w:spacing w:after="0"/>
              <w:rPr>
                <w:sz w:val="1"/>
                <w:szCs w:val="1"/>
                <w:color w:val="auto"/>
              </w:rPr>
            </w:pP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Power of Attorney (included on signature page)</w:t>
              </w:r>
            </w:hyperlink>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360" w:type="dxa"/>
            <w:vAlign w:val="bottom"/>
            <w:tcBorders>
              <w:bottom w:val="single" w:sz="8" w:color="0000EE"/>
            </w:tcBorders>
            <w:gridSpan w:val="6"/>
          </w:tcPr>
          <w:p>
            <w:pPr>
              <w:spacing w:after="0"/>
              <w:rPr>
                <w:rFonts w:ascii="Arial" w:cs="Arial" w:eastAsia="Arial" w:hAnsi="Arial"/>
                <w:sz w:val="18"/>
                <w:szCs w:val="18"/>
                <w:color w:val="0000EE"/>
                <w:w w:val="90"/>
              </w:rPr>
            </w:pPr>
            <w:hyperlink r:id="rId26">
              <w:r>
                <w:rPr>
                  <w:rFonts w:ascii="Arial" w:cs="Arial" w:eastAsia="Arial" w:hAnsi="Arial"/>
                  <w:sz w:val="18"/>
                  <w:szCs w:val="18"/>
                  <w:color w:val="0000EE"/>
                  <w:w w:val="90"/>
                </w:rPr>
                <w:t>2018 Stock Option and Incentive Plan and forms of award agreements thereunder (filed as Exhibit 10.2 to the Registrant’s Second</w:t>
              </w:r>
            </w:hyperlink>
          </w:p>
        </w:tc>
        <w:tc>
          <w:tcPr>
            <w:tcW w:w="7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40" w:type="dxa"/>
            <w:vAlign w:val="bottom"/>
            <w:gridSpan w:val="11"/>
          </w:tcPr>
          <w:p>
            <w:pPr>
              <w:spacing w:after="0"/>
              <w:rPr>
                <w:rFonts w:ascii="Arial" w:cs="Arial" w:eastAsia="Arial" w:hAnsi="Arial"/>
                <w:sz w:val="18"/>
                <w:szCs w:val="18"/>
                <w:u w:val="single" w:color="auto"/>
                <w:color w:val="0000EE"/>
                <w:w w:val="91"/>
              </w:rPr>
            </w:pPr>
            <w:hyperlink r:id="rId26">
              <w:r>
                <w:rPr>
                  <w:rFonts w:ascii="Arial" w:cs="Arial" w:eastAsia="Arial" w:hAnsi="Arial"/>
                  <w:sz w:val="18"/>
                  <w:szCs w:val="18"/>
                  <w:u w:val="single" w:color="auto"/>
                  <w:color w:val="0000EE"/>
                  <w:w w:val="91"/>
                </w:rPr>
                <w:t>Amendment to the Registration Statement on Form S-1 filed on June 11, 2018 (File No. 333-225213) and incorporated herein by reference)</w:t>
              </w:r>
            </w:hyperlink>
          </w:p>
        </w:tc>
        <w:tc>
          <w:tcPr>
            <w:tcW w:w="0" w:type="dxa"/>
            <w:vAlign w:val="bottom"/>
          </w:tcPr>
          <w:p>
            <w:pPr>
              <w:spacing w:after="0"/>
              <w:rPr>
                <w:sz w:val="1"/>
                <w:szCs w:val="1"/>
                <w:color w:val="auto"/>
              </w:rPr>
            </w:pPr>
          </w:p>
        </w:tc>
      </w:tr>
      <w:tr>
        <w:trPr>
          <w:trHeight w:val="283"/>
        </w:trPr>
        <w:tc>
          <w:tcPr>
            <w:tcW w:w="46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10140" w:type="dxa"/>
            <w:vAlign w:val="bottom"/>
            <w:gridSpan w:val="11"/>
          </w:tcPr>
          <w:p>
            <w:pPr>
              <w:spacing w:after="0"/>
              <w:rPr>
                <w:rFonts w:ascii="Arial" w:cs="Arial" w:eastAsia="Arial" w:hAnsi="Arial"/>
                <w:sz w:val="18"/>
                <w:szCs w:val="18"/>
                <w:color w:val="0000EE"/>
                <w:w w:val="95"/>
              </w:rPr>
            </w:pPr>
            <w:hyperlink r:id="rId27">
              <w:r>
                <w:rPr>
                  <w:rFonts w:ascii="Arial" w:cs="Arial" w:eastAsia="Arial" w:hAnsi="Arial"/>
                  <w:sz w:val="18"/>
                  <w:szCs w:val="18"/>
                  <w:color w:val="0000EE"/>
                  <w:w w:val="95"/>
                </w:rPr>
                <w:t>First Amendment to the Stock Option and Incentive Plan (filed as Exhibit 10.1 to the Registrant’s Current Report on Form 8-K filed on</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27">
              <w:r>
                <w:rPr>
                  <w:rFonts w:ascii="Arial" w:cs="Arial" w:eastAsia="Arial" w:hAnsi="Arial"/>
                  <w:sz w:val="18"/>
                  <w:szCs w:val="18"/>
                  <w:color w:val="0000EE"/>
                  <w:w w:val="89"/>
                </w:rPr>
                <w:t>June 9, 2020 (File No. 001-38537) and incorporated herein by reference)</w:t>
              </w:r>
            </w:hyperlink>
          </w:p>
        </w:tc>
        <w:tc>
          <w:tcPr>
            <w:tcW w:w="4480" w:type="dxa"/>
            <w:vAlign w:val="bottom"/>
            <w:tcBorders>
              <w:top w:val="single" w:sz="8" w:color="0000EE"/>
            </w:tcBorders>
            <w:gridSpan w:val="4"/>
          </w:tcPr>
          <w:p>
            <w:pPr>
              <w:spacing w:after="0"/>
              <w:rPr>
                <w:sz w:val="17"/>
                <w:szCs w:val="17"/>
                <w:color w:val="auto"/>
              </w:rPr>
            </w:pPr>
          </w:p>
        </w:tc>
        <w:tc>
          <w:tcPr>
            <w:tcW w:w="4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024"/>
          </w:cols>
          <w:pgMar w:left="436" w:top="270" w:right="4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Cambridge, Commonwealth of Massachusetts, on the 6</w:t>
      </w:r>
      <w:r>
        <w:rPr>
          <w:rFonts w:ascii="Arial" w:cs="Arial" w:eastAsia="Arial" w:hAnsi="Arial"/>
          <w:sz w:val="15"/>
          <w:szCs w:val="15"/>
          <w:color w:val="auto"/>
        </w:rPr>
        <w:t>th</w:t>
      </w:r>
      <w:r>
        <w:rPr>
          <w:rFonts w:ascii="Arial" w:cs="Arial" w:eastAsia="Arial" w:hAnsi="Arial"/>
          <w:sz w:val="18"/>
          <w:szCs w:val="18"/>
          <w:color w:val="auto"/>
        </w:rPr>
        <w:t xml:space="preserve"> day of August,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President, Chief Executive Officer and</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KNOW ALL BY THESE PRESENT, that each individual whose signature appears below hereby constitutes and appoints each of Geoff MacKay and Erik Ostrowski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on Form S-8,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4"/>
              </w:rPr>
              <w:t>Name</w:t>
            </w:r>
          </w:p>
        </w:tc>
        <w:tc>
          <w:tcPr>
            <w:tcW w:w="4840" w:type="dxa"/>
            <w:vAlign w:val="bottom"/>
          </w:tcPr>
          <w:p>
            <w:pPr>
              <w:jc w:val="center"/>
              <w:ind w:left="152"/>
              <w:spacing w:after="0"/>
              <w:rPr>
                <w:sz w:val="20"/>
                <w:szCs w:val="20"/>
                <w:color w:val="auto"/>
              </w:rPr>
            </w:pPr>
            <w:r>
              <w:rPr>
                <w:rFonts w:ascii="Arial" w:cs="Arial" w:eastAsia="Arial" w:hAnsi="Arial"/>
                <w:sz w:val="14"/>
                <w:szCs w:val="14"/>
                <w:b w:val="1"/>
                <w:bCs w:val="1"/>
                <w:color w:val="auto"/>
                <w:w w:val="97"/>
              </w:rPr>
              <w:t>Title</w:t>
            </w:r>
          </w:p>
        </w:tc>
        <w:tc>
          <w:tcPr>
            <w:tcW w:w="1660" w:type="dxa"/>
            <w:vAlign w:val="bottom"/>
          </w:tcPr>
          <w:p>
            <w:pPr>
              <w:jc w:val="center"/>
              <w:ind w:left="492"/>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17"/>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Geoff MacKay</w:t>
            </w:r>
          </w:p>
        </w:tc>
        <w:tc>
          <w:tcPr>
            <w:tcW w:w="4840" w:type="dxa"/>
            <w:vAlign w:val="bottom"/>
          </w:tcPr>
          <w:p>
            <w:pPr>
              <w:jc w:val="center"/>
              <w:ind w:left="172"/>
              <w:spacing w:after="0"/>
              <w:rPr>
                <w:sz w:val="20"/>
                <w:szCs w:val="20"/>
                <w:color w:val="auto"/>
              </w:rPr>
            </w:pPr>
            <w:r>
              <w:rPr>
                <w:rFonts w:ascii="Arial" w:cs="Arial" w:eastAsia="Arial" w:hAnsi="Arial"/>
                <w:sz w:val="18"/>
                <w:szCs w:val="18"/>
                <w:i w:val="1"/>
                <w:iCs w:val="1"/>
                <w:color w:val="auto"/>
                <w:w w:val="91"/>
              </w:rPr>
              <w:t>Director, President, Chief Executive Officer and</w:t>
            </w:r>
          </w:p>
        </w:tc>
        <w:tc>
          <w:tcPr>
            <w:tcW w:w="1660" w:type="dxa"/>
            <w:vAlign w:val="bottom"/>
          </w:tcPr>
          <w:p>
            <w:pPr>
              <w:jc w:val="center"/>
              <w:ind w:left="472"/>
              <w:spacing w:after="0"/>
              <w:rPr>
                <w:sz w:val="20"/>
                <w:szCs w:val="20"/>
                <w:color w:val="auto"/>
              </w:rPr>
            </w:pPr>
            <w:r>
              <w:rPr>
                <w:rFonts w:ascii="Arial" w:cs="Arial" w:eastAsia="Arial" w:hAnsi="Arial"/>
                <w:sz w:val="18"/>
                <w:szCs w:val="18"/>
                <w:color w:val="auto"/>
                <w:w w:val="90"/>
              </w:rPr>
              <w:t>August 6, 2020</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4"/>
              </w:rPr>
              <w:t>Geoff MacKay</w:t>
            </w:r>
          </w:p>
        </w:tc>
        <w:tc>
          <w:tcPr>
            <w:tcW w:w="4840" w:type="dxa"/>
            <w:vAlign w:val="bottom"/>
          </w:tcPr>
          <w:p>
            <w:pPr>
              <w:jc w:val="center"/>
              <w:ind w:left="172"/>
              <w:spacing w:after="0"/>
              <w:rPr>
                <w:sz w:val="20"/>
                <w:szCs w:val="20"/>
                <w:color w:val="auto"/>
              </w:rPr>
            </w:pPr>
            <w:r>
              <w:rPr>
                <w:rFonts w:ascii="Arial" w:cs="Arial" w:eastAsia="Arial" w:hAnsi="Arial"/>
                <w:sz w:val="18"/>
                <w:szCs w:val="18"/>
                <w:i w:val="1"/>
                <w:iCs w:val="1"/>
                <w:color w:val="auto"/>
                <w:w w:val="94"/>
              </w:rPr>
              <w:t>Principal Executive Officer</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Erik Ostrowski</w:t>
            </w:r>
          </w:p>
        </w:tc>
        <w:tc>
          <w:tcPr>
            <w:tcW w:w="4840" w:type="dxa"/>
            <w:vAlign w:val="bottom"/>
          </w:tcPr>
          <w:p>
            <w:pPr>
              <w:jc w:val="center"/>
              <w:ind w:left="152"/>
              <w:spacing w:after="0"/>
              <w:rPr>
                <w:sz w:val="20"/>
                <w:szCs w:val="20"/>
                <w:color w:val="auto"/>
              </w:rPr>
            </w:pPr>
            <w:r>
              <w:rPr>
                <w:rFonts w:ascii="Arial" w:cs="Arial" w:eastAsia="Arial" w:hAnsi="Arial"/>
                <w:sz w:val="18"/>
                <w:szCs w:val="18"/>
                <w:i w:val="1"/>
                <w:iCs w:val="1"/>
                <w:color w:val="auto"/>
                <w:w w:val="95"/>
              </w:rPr>
              <w:t>Chief Financial Officer and Principal Financial</w:t>
            </w:r>
          </w:p>
        </w:tc>
        <w:tc>
          <w:tcPr>
            <w:tcW w:w="1660" w:type="dxa"/>
            <w:vAlign w:val="bottom"/>
          </w:tcPr>
          <w:p>
            <w:pPr>
              <w:jc w:val="center"/>
              <w:ind w:left="472"/>
              <w:spacing w:after="0"/>
              <w:rPr>
                <w:sz w:val="20"/>
                <w:szCs w:val="20"/>
                <w:color w:val="auto"/>
              </w:rPr>
            </w:pPr>
            <w:r>
              <w:rPr>
                <w:rFonts w:ascii="Arial" w:cs="Arial" w:eastAsia="Arial" w:hAnsi="Arial"/>
                <w:sz w:val="18"/>
                <w:szCs w:val="18"/>
                <w:color w:val="auto"/>
                <w:w w:val="90"/>
              </w:rPr>
              <w:t>August 6, 2020</w:t>
            </w:r>
          </w:p>
        </w:tc>
        <w:tc>
          <w:tcPr>
            <w:tcW w:w="0" w:type="dxa"/>
            <w:vAlign w:val="bottom"/>
          </w:tcPr>
          <w:p>
            <w:pPr>
              <w:spacing w:after="0"/>
              <w:rPr>
                <w:sz w:val="1"/>
                <w:szCs w:val="1"/>
                <w:color w:val="auto"/>
              </w:rPr>
            </w:pPr>
          </w:p>
        </w:tc>
      </w:tr>
      <w:tr>
        <w:trPr>
          <w:trHeight w:val="224"/>
        </w:trPr>
        <w:tc>
          <w:tcPr>
            <w:tcW w:w="4180" w:type="dxa"/>
            <w:vAlign w:val="bottom"/>
          </w:tcPr>
          <w:p>
            <w:pPr>
              <w:jc w:val="center"/>
              <w:spacing w:after="0"/>
              <w:rPr>
                <w:sz w:val="20"/>
                <w:szCs w:val="20"/>
                <w:color w:val="auto"/>
              </w:rPr>
            </w:pPr>
            <w:r>
              <w:rPr>
                <w:rFonts w:ascii="Arial" w:cs="Arial" w:eastAsia="Arial" w:hAnsi="Arial"/>
                <w:sz w:val="18"/>
                <w:szCs w:val="18"/>
                <w:color w:val="auto"/>
                <w:w w:val="95"/>
              </w:rPr>
              <w:t>Erik Ostrowski</w:t>
            </w:r>
          </w:p>
        </w:tc>
        <w:tc>
          <w:tcPr>
            <w:tcW w:w="4840" w:type="dxa"/>
            <w:vAlign w:val="bottom"/>
          </w:tcPr>
          <w:p>
            <w:pPr>
              <w:jc w:val="center"/>
              <w:ind w:left="172"/>
              <w:spacing w:after="0"/>
              <w:rPr>
                <w:sz w:val="20"/>
                <w:szCs w:val="20"/>
                <w:color w:val="auto"/>
              </w:rPr>
            </w:pPr>
            <w:r>
              <w:rPr>
                <w:rFonts w:ascii="Arial" w:cs="Arial" w:eastAsia="Arial" w:hAnsi="Arial"/>
                <w:sz w:val="18"/>
                <w:szCs w:val="18"/>
                <w:i w:val="1"/>
                <w:iCs w:val="1"/>
                <w:color w:val="auto"/>
                <w:w w:val="93"/>
              </w:rPr>
              <w:t>and Accounting Officer</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Bruce Booth</w:t>
            </w:r>
          </w:p>
        </w:tc>
        <w:tc>
          <w:tcPr>
            <w:tcW w:w="4840" w:type="dxa"/>
            <w:vAlign w:val="bottom"/>
            <w:vMerge w:val="restart"/>
          </w:tcPr>
          <w:p>
            <w:pPr>
              <w:jc w:val="center"/>
              <w:ind w:left="172"/>
              <w:spacing w:after="0"/>
              <w:rPr>
                <w:sz w:val="20"/>
                <w:szCs w:val="20"/>
                <w:color w:val="auto"/>
              </w:rPr>
            </w:pPr>
            <w:r>
              <w:rPr>
                <w:rFonts w:ascii="Arial" w:cs="Arial" w:eastAsia="Arial" w:hAnsi="Arial"/>
                <w:sz w:val="18"/>
                <w:szCs w:val="18"/>
                <w:i w:val="1"/>
                <w:iCs w:val="1"/>
                <w:color w:val="auto"/>
                <w:w w:val="92"/>
              </w:rPr>
              <w:t>Chairman of the Board of Directors</w:t>
            </w:r>
          </w:p>
        </w:tc>
        <w:tc>
          <w:tcPr>
            <w:tcW w:w="1660" w:type="dxa"/>
            <w:vAlign w:val="bottom"/>
            <w:vMerge w:val="restart"/>
          </w:tcPr>
          <w:p>
            <w:pPr>
              <w:jc w:val="center"/>
              <w:ind w:left="472"/>
              <w:spacing w:after="0"/>
              <w:rPr>
                <w:sz w:val="20"/>
                <w:szCs w:val="20"/>
                <w:color w:val="auto"/>
              </w:rPr>
            </w:pPr>
            <w:r>
              <w:rPr>
                <w:rFonts w:ascii="Arial" w:cs="Arial" w:eastAsia="Arial" w:hAnsi="Arial"/>
                <w:sz w:val="18"/>
                <w:szCs w:val="18"/>
                <w:color w:val="auto"/>
                <w:w w:val="90"/>
              </w:rPr>
              <w:t>August 6, 2020</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2"/>
              </w:rPr>
              <w:t>Bruce Booth, D.Phil.</w:t>
            </w:r>
          </w:p>
        </w:tc>
        <w:tc>
          <w:tcPr>
            <w:tcW w:w="48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4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Ian T. Clark</w:t>
            </w:r>
          </w:p>
        </w:tc>
        <w:tc>
          <w:tcPr>
            <w:tcW w:w="4840" w:type="dxa"/>
            <w:vAlign w:val="bottom"/>
            <w:vMerge w:val="restart"/>
          </w:tcPr>
          <w:p>
            <w:pPr>
              <w:jc w:val="center"/>
              <w:ind w:left="172"/>
              <w:spacing w:after="0"/>
              <w:rPr>
                <w:sz w:val="20"/>
                <w:szCs w:val="20"/>
                <w:color w:val="auto"/>
              </w:rPr>
            </w:pPr>
            <w:r>
              <w:rPr>
                <w:rFonts w:ascii="Arial" w:cs="Arial" w:eastAsia="Arial" w:hAnsi="Arial"/>
                <w:sz w:val="18"/>
                <w:szCs w:val="18"/>
                <w:i w:val="1"/>
                <w:iCs w:val="1"/>
                <w:color w:val="auto"/>
                <w:w w:val="98"/>
              </w:rPr>
              <w:t>Director</w:t>
            </w:r>
          </w:p>
        </w:tc>
        <w:tc>
          <w:tcPr>
            <w:tcW w:w="1660" w:type="dxa"/>
            <w:vAlign w:val="bottom"/>
            <w:vMerge w:val="restart"/>
          </w:tcPr>
          <w:p>
            <w:pPr>
              <w:jc w:val="center"/>
              <w:ind w:left="472"/>
              <w:spacing w:after="0"/>
              <w:rPr>
                <w:sz w:val="20"/>
                <w:szCs w:val="20"/>
                <w:color w:val="auto"/>
              </w:rPr>
            </w:pPr>
            <w:r>
              <w:rPr>
                <w:rFonts w:ascii="Arial" w:cs="Arial" w:eastAsia="Arial" w:hAnsi="Arial"/>
                <w:sz w:val="18"/>
                <w:szCs w:val="18"/>
                <w:color w:val="auto"/>
                <w:w w:val="90"/>
              </w:rPr>
              <w:t>August 6, 2020</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2"/>
              </w:rPr>
              <w:t>Ian T. Clark</w:t>
            </w:r>
          </w:p>
        </w:tc>
        <w:tc>
          <w:tcPr>
            <w:tcW w:w="48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4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Phillip B. Donenberg</w:t>
            </w:r>
          </w:p>
        </w:tc>
        <w:tc>
          <w:tcPr>
            <w:tcW w:w="4840" w:type="dxa"/>
            <w:vAlign w:val="bottom"/>
            <w:vMerge w:val="restart"/>
          </w:tcPr>
          <w:p>
            <w:pPr>
              <w:jc w:val="center"/>
              <w:ind w:left="172"/>
              <w:spacing w:after="0"/>
              <w:rPr>
                <w:sz w:val="20"/>
                <w:szCs w:val="20"/>
                <w:color w:val="auto"/>
              </w:rPr>
            </w:pPr>
            <w:r>
              <w:rPr>
                <w:rFonts w:ascii="Arial" w:cs="Arial" w:eastAsia="Arial" w:hAnsi="Arial"/>
                <w:sz w:val="18"/>
                <w:szCs w:val="18"/>
                <w:i w:val="1"/>
                <w:iCs w:val="1"/>
                <w:color w:val="auto"/>
                <w:w w:val="98"/>
              </w:rPr>
              <w:t>Director</w:t>
            </w:r>
          </w:p>
        </w:tc>
        <w:tc>
          <w:tcPr>
            <w:tcW w:w="1660" w:type="dxa"/>
            <w:vAlign w:val="bottom"/>
            <w:vMerge w:val="restart"/>
          </w:tcPr>
          <w:p>
            <w:pPr>
              <w:jc w:val="center"/>
              <w:ind w:left="472"/>
              <w:spacing w:after="0"/>
              <w:rPr>
                <w:sz w:val="20"/>
                <w:szCs w:val="20"/>
                <w:color w:val="auto"/>
              </w:rPr>
            </w:pPr>
            <w:r>
              <w:rPr>
                <w:rFonts w:ascii="Arial" w:cs="Arial" w:eastAsia="Arial" w:hAnsi="Arial"/>
                <w:sz w:val="18"/>
                <w:szCs w:val="18"/>
                <w:color w:val="auto"/>
                <w:w w:val="90"/>
              </w:rPr>
              <w:t>August 6, 2020</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3"/>
              </w:rPr>
              <w:t>Phillip B. Donenberg</w:t>
            </w:r>
          </w:p>
        </w:tc>
        <w:tc>
          <w:tcPr>
            <w:tcW w:w="48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4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Annalisa Jenkins</w:t>
            </w:r>
          </w:p>
        </w:tc>
        <w:tc>
          <w:tcPr>
            <w:tcW w:w="4840" w:type="dxa"/>
            <w:vAlign w:val="bottom"/>
            <w:vMerge w:val="restart"/>
          </w:tcPr>
          <w:p>
            <w:pPr>
              <w:jc w:val="center"/>
              <w:ind w:left="172"/>
              <w:spacing w:after="0"/>
              <w:rPr>
                <w:sz w:val="20"/>
                <w:szCs w:val="20"/>
                <w:color w:val="auto"/>
              </w:rPr>
            </w:pPr>
            <w:r>
              <w:rPr>
                <w:rFonts w:ascii="Arial" w:cs="Arial" w:eastAsia="Arial" w:hAnsi="Arial"/>
                <w:sz w:val="18"/>
                <w:szCs w:val="18"/>
                <w:i w:val="1"/>
                <w:iCs w:val="1"/>
                <w:color w:val="auto"/>
                <w:w w:val="98"/>
              </w:rPr>
              <w:t>Director</w:t>
            </w:r>
          </w:p>
        </w:tc>
        <w:tc>
          <w:tcPr>
            <w:tcW w:w="1660" w:type="dxa"/>
            <w:vAlign w:val="bottom"/>
            <w:vMerge w:val="restart"/>
          </w:tcPr>
          <w:p>
            <w:pPr>
              <w:jc w:val="center"/>
              <w:ind w:left="472"/>
              <w:spacing w:after="0"/>
              <w:rPr>
                <w:sz w:val="20"/>
                <w:szCs w:val="20"/>
                <w:color w:val="auto"/>
              </w:rPr>
            </w:pPr>
            <w:r>
              <w:rPr>
                <w:rFonts w:ascii="Arial" w:cs="Arial" w:eastAsia="Arial" w:hAnsi="Arial"/>
                <w:sz w:val="18"/>
                <w:szCs w:val="18"/>
                <w:color w:val="auto"/>
                <w:w w:val="90"/>
              </w:rPr>
              <w:t>August 6, 2020</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0"/>
              </w:rPr>
              <w:t>Annalisa Jenkins, M.B.B.S., F.R.C.P.</w:t>
            </w:r>
          </w:p>
        </w:tc>
        <w:tc>
          <w:tcPr>
            <w:tcW w:w="48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4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Christopher Paige</w:t>
            </w:r>
          </w:p>
        </w:tc>
        <w:tc>
          <w:tcPr>
            <w:tcW w:w="4840" w:type="dxa"/>
            <w:vAlign w:val="bottom"/>
            <w:vMerge w:val="restart"/>
          </w:tcPr>
          <w:p>
            <w:pPr>
              <w:jc w:val="center"/>
              <w:ind w:left="172"/>
              <w:spacing w:after="0"/>
              <w:rPr>
                <w:sz w:val="20"/>
                <w:szCs w:val="20"/>
                <w:color w:val="auto"/>
              </w:rPr>
            </w:pPr>
            <w:r>
              <w:rPr>
                <w:rFonts w:ascii="Arial" w:cs="Arial" w:eastAsia="Arial" w:hAnsi="Arial"/>
                <w:sz w:val="18"/>
                <w:szCs w:val="18"/>
                <w:i w:val="1"/>
                <w:iCs w:val="1"/>
                <w:color w:val="auto"/>
                <w:w w:val="98"/>
              </w:rPr>
              <w:t>Director</w:t>
            </w:r>
          </w:p>
        </w:tc>
        <w:tc>
          <w:tcPr>
            <w:tcW w:w="1660" w:type="dxa"/>
            <w:vAlign w:val="bottom"/>
            <w:vMerge w:val="restart"/>
          </w:tcPr>
          <w:p>
            <w:pPr>
              <w:jc w:val="center"/>
              <w:ind w:left="472"/>
              <w:spacing w:after="0"/>
              <w:rPr>
                <w:sz w:val="20"/>
                <w:szCs w:val="20"/>
                <w:color w:val="auto"/>
              </w:rPr>
            </w:pPr>
            <w:r>
              <w:rPr>
                <w:rFonts w:ascii="Arial" w:cs="Arial" w:eastAsia="Arial" w:hAnsi="Arial"/>
                <w:sz w:val="18"/>
                <w:szCs w:val="18"/>
                <w:color w:val="auto"/>
                <w:w w:val="90"/>
              </w:rPr>
              <w:t>August 6, 2020</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89"/>
              </w:rPr>
              <w:t>Christopher Paige, Ph.D.</w:t>
            </w:r>
          </w:p>
        </w:tc>
        <w:tc>
          <w:tcPr>
            <w:tcW w:w="48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4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Philip Vickers</w:t>
            </w:r>
          </w:p>
        </w:tc>
        <w:tc>
          <w:tcPr>
            <w:tcW w:w="4840" w:type="dxa"/>
            <w:vAlign w:val="bottom"/>
            <w:vMerge w:val="restart"/>
          </w:tcPr>
          <w:p>
            <w:pPr>
              <w:jc w:val="center"/>
              <w:ind w:left="172"/>
              <w:spacing w:after="0"/>
              <w:rPr>
                <w:sz w:val="20"/>
                <w:szCs w:val="20"/>
                <w:color w:val="auto"/>
              </w:rPr>
            </w:pPr>
            <w:r>
              <w:rPr>
                <w:rFonts w:ascii="Arial" w:cs="Arial" w:eastAsia="Arial" w:hAnsi="Arial"/>
                <w:sz w:val="18"/>
                <w:szCs w:val="18"/>
                <w:i w:val="1"/>
                <w:iCs w:val="1"/>
                <w:color w:val="auto"/>
                <w:w w:val="98"/>
              </w:rPr>
              <w:t>Director</w:t>
            </w:r>
          </w:p>
        </w:tc>
        <w:tc>
          <w:tcPr>
            <w:tcW w:w="1660" w:type="dxa"/>
            <w:vAlign w:val="bottom"/>
            <w:vMerge w:val="restart"/>
          </w:tcPr>
          <w:p>
            <w:pPr>
              <w:jc w:val="center"/>
              <w:ind w:left="472"/>
              <w:spacing w:after="0"/>
              <w:rPr>
                <w:sz w:val="20"/>
                <w:szCs w:val="20"/>
                <w:color w:val="auto"/>
              </w:rPr>
            </w:pPr>
            <w:r>
              <w:rPr>
                <w:rFonts w:ascii="Arial" w:cs="Arial" w:eastAsia="Arial" w:hAnsi="Arial"/>
                <w:sz w:val="18"/>
                <w:szCs w:val="18"/>
                <w:color w:val="auto"/>
                <w:w w:val="90"/>
              </w:rPr>
              <w:t>August 6, 2020</w:t>
            </w:r>
          </w:p>
        </w:tc>
        <w:tc>
          <w:tcPr>
            <w:tcW w:w="0" w:type="dxa"/>
            <w:vAlign w:val="bottom"/>
          </w:tcPr>
          <w:p>
            <w:pPr>
              <w:spacing w:after="0"/>
              <w:rPr>
                <w:sz w:val="1"/>
                <w:szCs w:val="1"/>
                <w:color w:val="auto"/>
              </w:rPr>
            </w:pPr>
          </w:p>
        </w:tc>
      </w:tr>
      <w:tr>
        <w:trPr>
          <w:trHeight w:val="88"/>
        </w:trPr>
        <w:tc>
          <w:tcPr>
            <w:tcW w:w="4180" w:type="dxa"/>
            <w:vAlign w:val="bottom"/>
            <w:vMerge w:val="restart"/>
          </w:tcPr>
          <w:p>
            <w:pPr>
              <w:jc w:val="center"/>
              <w:spacing w:after="0"/>
              <w:rPr>
                <w:sz w:val="20"/>
                <w:szCs w:val="20"/>
                <w:color w:val="auto"/>
              </w:rPr>
            </w:pPr>
            <w:r>
              <w:rPr>
                <w:rFonts w:ascii="Arial" w:cs="Arial" w:eastAsia="Arial" w:hAnsi="Arial"/>
                <w:sz w:val="18"/>
                <w:szCs w:val="18"/>
                <w:color w:val="auto"/>
                <w:w w:val="94"/>
              </w:rPr>
              <w:t>Philip Vickers, Ph.D.</w:t>
            </w:r>
          </w:p>
        </w:tc>
        <w:tc>
          <w:tcPr>
            <w:tcW w:w="484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180" w:type="dxa"/>
            <w:vAlign w:val="bottom"/>
            <w:vMerge w:val="continue"/>
          </w:tcPr>
          <w:p>
            <w:pPr>
              <w:spacing w:after="0"/>
              <w:rPr>
                <w:sz w:val="11"/>
                <w:szCs w:val="11"/>
                <w:color w:val="auto"/>
              </w:rPr>
            </w:pPr>
          </w:p>
        </w:tc>
        <w:tc>
          <w:tcPr>
            <w:tcW w:w="4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S-8</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pursuant to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on or about the date hereof relating to an aggregate of 3,300,000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Common Stock, $0.0001 par value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AVROBIO,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that may be issued pursuant to the Company’s 2018 Stock Option and Incentive Plan, as amended (the “</w:t>
      </w:r>
      <w:r>
        <w:rPr>
          <w:rFonts w:ascii="Arial" w:cs="Arial" w:eastAsia="Arial" w:hAnsi="Arial"/>
          <w:sz w:val="17"/>
          <w:szCs w:val="17"/>
          <w:u w:val="single" w:color="auto"/>
          <w:color w:val="auto"/>
        </w:rPr>
        <w:t>Plan</w:t>
      </w:r>
      <w:r>
        <w:rPr>
          <w:rFonts w:ascii="Arial" w:cs="Arial" w:eastAsia="Arial" w:hAnsi="Arial"/>
          <w:sz w:val="17"/>
          <w:szCs w:val="17"/>
          <w:color w:val="auto"/>
        </w:rPr>
        <w:t>”).</w:t>
      </w:r>
    </w:p>
    <w:p>
      <w:pPr>
        <w:spacing w:after="0" w:line="17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For purposes of the opinion set forth below, we have assumed that no event occurs that causes the number of authorized shares of Common Stock available for issuance by the Company to be less than the number of then unissued Shares.</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Based on the foregoing, we are of the opinion that the Shares have been duly authorized and, upon issuance and delivery against payment therefor in accordance with the terms of the Plan, will be validly issued, fully paid and nonassessable.</w:t>
      </w:r>
    </w:p>
    <w:p>
      <w:pPr>
        <w:spacing w:after="0" w:line="170"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We hereby consent to the inclusion of this opinion as Exhibit 5.1 to the Registration Statement. In giving our consent, we do not admit that we are in the category of persons whose consent is required under Section 7 of the Securities Act or the rules and regulations thereunder.</w:t>
      </w:r>
    </w:p>
    <w:p>
      <w:pPr>
        <w:spacing w:after="0" w:line="1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GOODWIN PROCTER </w:t>
      </w:r>
      <w:r>
        <w:rPr>
          <w:rFonts w:ascii="Arial" w:cs="Arial" w:eastAsia="Arial" w:hAnsi="Arial"/>
          <w:sz w:val="14"/>
          <w:szCs w:val="14"/>
          <w:color w:val="auto"/>
        </w:rPr>
        <w:t>LLP</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4"/>
          <w:szCs w:val="14"/>
          <w:color w:val="auto"/>
        </w:rPr>
        <w:t>LLP</w:t>
      </w:r>
    </w:p>
    <w:p>
      <w:pPr>
        <w:sectPr>
          <w:pgSz w:w="11900" w:h="16838" w:orient="portrait"/>
          <w:cols w:equalWidth="0" w:num="1">
            <w:col w:w="11020"/>
          </w:cols>
          <w:pgMar w:left="440" w:top="121"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2018 Stock Option and Incentive Plan of AVROBIO, Inc. of our report dated March 16, 2020, with respect to the consolidated financial statements of AVROBIO, Inc. included in its Annual Report (Form 10-K) for the year ended December 31, 2019, filed with the Securities and Exchange Commission.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6,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20" Type="http://schemas.openxmlformats.org/officeDocument/2006/relationships/hyperlink" Target="http://www.sec.gov/Archives/edgar/data/1681087/000119312518199489/d679181ds8.htm" TargetMode="External"/><Relationship Id="rId21" Type="http://schemas.openxmlformats.org/officeDocument/2006/relationships/hyperlink" Target="http://www.sec.gov/Archives/edgar/data/1681087/000119312519085335/d724212ds8.htm" TargetMode="External"/><Relationship Id="rId22" Type="http://schemas.openxmlformats.org/officeDocument/2006/relationships/hyperlink" Target="http://www.sec.gov/Archives/edgar/data/1681087/000119312520074925/d892425ds8.htm" TargetMode="External"/><Relationship Id="rId23" Type="http://schemas.openxmlformats.org/officeDocument/2006/relationships/hyperlink" Target="http://www.sec.gov/Archives/edgar/data/1681087/000119312518202460/d153924dex31.htm" TargetMode="External"/><Relationship Id="rId24" Type="http://schemas.openxmlformats.org/officeDocument/2006/relationships/hyperlink" Target="http://www.sec.gov/Archives/edgar/data/1681087/000119312518202460/d153924dex32.htm" TargetMode="External"/><Relationship Id="rId25" Type="http://schemas.openxmlformats.org/officeDocument/2006/relationships/hyperlink" Target="http://www.sec.gov/Archives/edgar/data/1681087/000119312518175024/d562006dex42.htm" TargetMode="External"/><Relationship Id="rId26" Type="http://schemas.openxmlformats.org/officeDocument/2006/relationships/hyperlink" Target="http://www.sec.gov/Archives/edgar/data/1681087/000119312518188630/d562006dex102.htm" TargetMode="External"/><Relationship Id="rId27" Type="http://schemas.openxmlformats.org/officeDocument/2006/relationships/hyperlink" Target="http://www.sec.gov/Archives/edgar/data/1681087/000156459020028774/avro-ex101_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2020-08-06T06:29:26Z</dcterms:created>
  <dcterms:modified xsi:type="dcterms:W3CDTF">2020-08-06T06:29:26Z</dcterms:modified>
</cp:coreProperties>
</file>