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Tectonic Therapeutic,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080" w:type="dxa"/>
        <w:tblCellMar>
          <w:top w:w="0" w:type="dxa"/>
          <w:left w:w="0" w:type="dxa"/>
          <w:bottom w:w="0" w:type="dxa"/>
          <w:right w:w="0" w:type="dxa"/>
        </w:tblCellMar>
      </w:tblPr>
      <w:tr>
        <w:trPr>
          <w:trHeight w:val="150"/>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24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001-38537</w:t>
            </w:r>
          </w:p>
        </w:tc>
        <w:tc>
          <w:tcPr>
            <w:tcW w:w="172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81-0710585</w:t>
            </w:r>
          </w:p>
        </w:tc>
      </w:tr>
      <w:tr>
        <w:trPr>
          <w:trHeight w:val="104"/>
        </w:trPr>
        <w:tc>
          <w:tcPr>
            <w:tcW w:w="2480" w:type="dxa"/>
            <w:vAlign w:val="bottom"/>
          </w:tcPr>
          <w:p>
            <w:pPr>
              <w:jc w:val="center"/>
              <w:ind w:right="682"/>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240" w:type="dxa"/>
            <w:vAlign w:val="bottom"/>
          </w:tcPr>
          <w:p>
            <w:pPr>
              <w:ind w:left="74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4"/>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240" w:type="dxa"/>
            <w:vAlign w:val="bottom"/>
          </w:tcPr>
          <w:p>
            <w:pPr>
              <w:ind w:left="7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287"/>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3"/>
                <w:szCs w:val="13"/>
                <w:b w:val="1"/>
                <w:bCs w:val="1"/>
                <w:color w:val="auto"/>
                <w:w w:val="94"/>
              </w:rPr>
              <w:t>490 Arsenal Way</w:t>
            </w: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52"/>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3"/>
                <w:szCs w:val="13"/>
                <w:b w:val="1"/>
                <w:bCs w:val="1"/>
                <w:color w:val="auto"/>
                <w:w w:val="98"/>
              </w:rPr>
              <w:t>Suite 210</w:t>
            </w:r>
          </w:p>
        </w:tc>
        <w:tc>
          <w:tcPr>
            <w:tcW w:w="224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0"/>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3"/>
                <w:szCs w:val="13"/>
                <w:b w:val="1"/>
                <w:bCs w:val="1"/>
                <w:color w:val="auto"/>
                <w:w w:val="97"/>
              </w:rPr>
              <w:t>Watertown, Massachusetts</w:t>
            </w:r>
          </w:p>
        </w:tc>
        <w:tc>
          <w:tcPr>
            <w:tcW w:w="2240" w:type="dxa"/>
            <w:vAlign w:val="bottom"/>
          </w:tcPr>
          <w:p>
            <w:pPr>
              <w:spacing w:after="0"/>
              <w:rPr>
                <w:sz w:val="13"/>
                <w:szCs w:val="13"/>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02472</w:t>
            </w:r>
          </w:p>
        </w:tc>
      </w:tr>
      <w:tr>
        <w:trPr>
          <w:trHeight w:val="132"/>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2240" w:type="dxa"/>
            <w:vAlign w:val="bottom"/>
          </w:tcPr>
          <w:p>
            <w:pPr>
              <w:spacing w:after="0"/>
              <w:rPr>
                <w:sz w:val="11"/>
                <w:szCs w:val="11"/>
                <w:color w:val="auto"/>
              </w:rPr>
            </w:pP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(339) 666-3320</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118110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7"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94" w:lineRule="exact"/>
        <w:rPr>
          <w:rFonts w:ascii="MS PGothic" w:cs="MS PGothic" w:eastAsia="MS PGothic" w:hAnsi="MS PGothic"/>
          <w:sz w:val="13"/>
          <w:szCs w:val="13"/>
          <w:color w:val="auto"/>
        </w:rPr>
      </w:pPr>
    </w:p>
    <w:p>
      <w:pPr>
        <w:ind w:left="296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94"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TECX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ind w:left="640" w:right="999"/>
        <w:spacing w:after="0" w:line="267" w:lineRule="auto"/>
        <w:rPr>
          <w:sz w:val="20"/>
          <w:szCs w:val="20"/>
          <w:color w:val="auto"/>
        </w:rPr>
      </w:pPr>
      <w:r>
        <w:rPr>
          <w:rFonts w:ascii="Times New Roman" w:cs="Times New Roman" w:eastAsia="Times New Roman" w:hAnsi="Times New Roman"/>
          <w:sz w:val="13"/>
          <w:szCs w:val="13"/>
          <w:color w:val="auto"/>
        </w:rPr>
        <w:t>On August 7, 2025, Tectonic Therapeutic, Inc. announced its financial results for the quarter ended June 30, 2025 and provided a general business update. The full text of the press release is furnished as Exhibit 99.1 to this Current Report on Form 8-K.</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On August 7, 2025, the Company updated its corporate presentation for use in meetings with investors, analysts and others. The presentation is available through the Company’s website and a copy is attached as Exhibit 99.2 to this Current Report on Form 8-K.</w:t>
      </w:r>
    </w:p>
    <w:p>
      <w:pPr>
        <w:spacing w:after="0" w:line="12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The information in this Current Report on Form 8-K, including Exhibits 99.1 and 99.2 attached hereto, is being furnished and shall not be deemed “filed” for purposes of Section 18 of the Securities Exchange Act of 1934, as amended (the “Exchange Act”) or otherwise subject to the liabilities of that section. The information contained herein and in the accompanying exhibits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 Exhibits.</w:t>
      </w:r>
    </w:p>
    <w:p>
      <w:pPr>
        <w:spacing w:after="0" w:line="175"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Press Release of Tectonic Therapeutic, Inc. dated August 7, 2025</w:t>
      </w:r>
    </w:p>
    <w:p>
      <w:pPr>
        <w:spacing w:after="0" w:line="7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Corporate Presentation dated August 2025.</w:t>
      </w:r>
    </w:p>
    <w:p>
      <w:pPr>
        <w:spacing w:after="0" w:line="7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b w:val="1"/>
          <w:bCs w:val="1"/>
          <w:color w:val="auto"/>
        </w:rPr>
        <w:t>Tectonic Therapeutic,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August 7,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Daniel Locnher</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Tectonic Therapeutic Announces Second Quarter 2025 Financial Results and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Recent Business Highlights</w:t>
      </w:r>
    </w:p>
    <w:p>
      <w:pPr>
        <w:spacing w:after="0" w:line="160" w:lineRule="exact"/>
        <w:rPr>
          <w:sz w:val="20"/>
          <w:szCs w:val="20"/>
          <w:color w:val="auto"/>
        </w:rPr>
      </w:pPr>
    </w:p>
    <w:p>
      <w:pPr>
        <w:ind w:left="1320" w:right="859" w:hanging="303"/>
        <w:spacing w:after="0" w:line="309" w:lineRule="auto"/>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TX45 PH-ILD Phase 2 clinical trial is planned to initiate in 2026 to evaluate TX45’s safety and hemodynamic effects in subjects with Pulmonary Hypertension associated with Interstitial Lung Disease (“PH-ILD”, Group 3 PH) to expand the therapeutic breadth of TX45</w:t>
      </w:r>
    </w:p>
    <w:p>
      <w:pPr>
        <w:spacing w:after="0" w:line="33" w:lineRule="exact"/>
        <w:rPr>
          <w:rFonts w:ascii="Times New Roman" w:cs="Times New Roman" w:eastAsia="Times New Roman" w:hAnsi="Times New Roman"/>
          <w:sz w:val="12"/>
          <w:szCs w:val="12"/>
          <w:color w:val="auto"/>
        </w:rPr>
      </w:pPr>
    </w:p>
    <w:p>
      <w:pPr>
        <w:ind w:left="1320" w:right="739" w:hanging="303"/>
        <w:spacing w:after="0" w:line="255"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Complete results from Part A of the TX45 Phase 1b clinical trial presented at ESC Heart Failure 2025 confirmed TX45’s tolerability profile and improvements in left ventricular function and pulmonary hemodynamics in subjects with Group 2 Pulmonary Hypertension in Heart Failure with preserved Ejection Fraction (“PH-HFpEF”)</w:t>
      </w:r>
    </w:p>
    <w:p>
      <w:pPr>
        <w:spacing w:after="0" w:line="63" w:lineRule="exact"/>
        <w:rPr>
          <w:rFonts w:ascii="Times New Roman" w:cs="Times New Roman" w:eastAsia="Times New Roman" w:hAnsi="Times New Roman"/>
          <w:sz w:val="13"/>
          <w:szCs w:val="13"/>
          <w:color w:val="auto"/>
        </w:rPr>
      </w:pPr>
    </w:p>
    <w:p>
      <w:pPr>
        <w:ind w:left="1320" w:right="105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 B of the TX45 Phase 1b clinical trial in subjects with Group 2 Pulmonary Hypertension in Heart Failure with reduced Ejection Fraction (“PH-HFrEF”) completed enrollment; topline results are expected in early Q4’2025</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Ongoing TX45 APEX Phase 2 clinical trial continues to enroll; topline results expected in 2026</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TX2100 is expected to initiate a Phase 1 clinical trial in healthy volunteers in Q1’2026</w:t>
      </w:r>
    </w:p>
    <w:p>
      <w:pPr>
        <w:spacing w:after="0" w:line="87" w:lineRule="exact"/>
        <w:rPr>
          <w:rFonts w:ascii="Times New Roman" w:cs="Times New Roman" w:eastAsia="Times New Roman" w:hAnsi="Times New Roman"/>
          <w:sz w:val="13"/>
          <w:szCs w:val="13"/>
          <w:color w:val="auto"/>
        </w:rPr>
      </w:pPr>
    </w:p>
    <w:p>
      <w:pPr>
        <w:ind w:left="1320" w:right="71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and cash equivalents were $287.4 million as of June 30, 2025, including the private placement net proceeds raised in February 2025, expected to provide cash runway into Q4’2028</w:t>
      </w:r>
    </w:p>
    <w:p>
      <w:pPr>
        <w:spacing w:after="0" w:line="122"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 xml:space="preserve">WATERTOWN, Mass., August 7, 2025 (GLOBE NEWSWIRE) — </w:t>
      </w:r>
      <w:r>
        <w:rPr>
          <w:rFonts w:ascii="Times New Roman" w:cs="Times New Roman" w:eastAsia="Times New Roman" w:hAnsi="Times New Roman"/>
          <w:sz w:val="13"/>
          <w:szCs w:val="13"/>
          <w:u w:val="single" w:color="auto"/>
          <w:color w:val="auto"/>
        </w:rPr>
        <w:t>Tectonic Therapeutic, Inc.</w:t>
      </w:r>
      <w:r>
        <w:rPr>
          <w:rFonts w:ascii="Times New Roman" w:cs="Times New Roman" w:eastAsia="Times New Roman" w:hAnsi="Times New Roman"/>
          <w:sz w:val="13"/>
          <w:szCs w:val="13"/>
          <w:color w:val="auto"/>
        </w:rPr>
        <w:t xml:space="preserve"> (NASDAQ: TECX) (“Tectonic”), a clinical stage biotechnology company focused on the discovery and development of therapeutic proteins and antibodies that modulate the activity of G-protein coupled receptors (GPCRs), today announced financial results for the second quarter ended June 30, 2025, and provided an overview of recent business highlights.</w:t>
      </w:r>
    </w:p>
    <w:p>
      <w:pPr>
        <w:spacing w:after="0" w:line="133"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“Today our team is excited to announce PH-ILD as an additional indication for TX45 that we plan to explore in a Phase 2, proof of concept trial. PH-ILD is a devastating disease with high mortality, significant unmet medical need and limited therapeutic alternatives. TX45’s preclinical and hemodynamic data from Part A of the Phase 1b trial in Group 2 PH-HFpEF supports expanding into PH-ILD,” said Alise Reicin, M.D., President and Chief Executive Officer of Tectonic. “Additionally, we have completed enrollment in Part B of our TX45 Phase 1b trial in subjects with PH-HFrEF, with topline results expected in early Q4’2025. In parallel, enrollment continues in our global TX45 APEX Phase 2 trial in PH-HFpEF, with topline results expected in 2026.”</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Recent Business Highlights</w:t>
      </w:r>
    </w:p>
    <w:p>
      <w:pPr>
        <w:spacing w:after="0" w:line="87" w:lineRule="exact"/>
        <w:rPr>
          <w:sz w:val="20"/>
          <w:szCs w:val="20"/>
          <w:color w:val="auto"/>
        </w:rPr>
      </w:pPr>
    </w:p>
    <w:p>
      <w:pPr>
        <w:ind w:left="1320" w:right="779" w:hanging="303"/>
        <w:spacing w:after="0" w:line="276" w:lineRule="auto"/>
        <w:tabs>
          <w:tab w:leader="none" w:pos="1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Positive Complete Results from Part A of the TX45 Phase 1b Clinical Trial: </w:t>
      </w:r>
      <w:r>
        <w:rPr>
          <w:rFonts w:ascii="Times New Roman" w:cs="Times New Roman" w:eastAsia="Times New Roman" w:hAnsi="Times New Roman"/>
          <w:sz w:val="12"/>
          <w:szCs w:val="12"/>
          <w:color w:val="auto"/>
        </w:rPr>
        <w:t>In May 2025, complete results from Part A of the TX45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Phase 1b clinical trial in 19 subjects with PH-HFpEF were presented as an oral late-breaking presentation at the European Society of Cardiology (ESC) Heart Failure 2025 Congress. In the overall study population, TX45 demonstrated a 19% reduction in pulmonary capillary wedge pressure (PCWP) and an 18.5% improvement in cardiac output, and a &gt;30% reduction in pulmonary vascular resistance (PVR) in subjects with combined pre- and post-capillary pulmonary hypertension (CpcPH), a more severe disease subtype.</w:t>
      </w:r>
    </w:p>
    <w:p>
      <w:pPr>
        <w:sectPr>
          <w:pgSz w:w="11900" w:h="16838" w:orient="portrait"/>
          <w:cols w:equalWidth="0" w:num="1">
            <w:col w:w="9019"/>
          </w:cols>
          <w:pgMar w:left="1440" w:top="125" w:right="1440" w:bottom="1440" w:gutter="0" w:footer="0" w:header="0"/>
        </w:sectPr>
      </w:pPr>
    </w:p>
    <w:bookmarkStart w:id="4" w:name="page5"/>
    <w:bookmarkEnd w:id="4"/>
    <w:p>
      <w:pPr>
        <w:jc w:val="both"/>
        <w:ind w:left="1320" w:right="1239" w:hanging="303"/>
        <w:spacing w:after="0" w:line="222"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Added to Russell 3000</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Index: </w:t>
      </w:r>
      <w:r>
        <w:rPr>
          <w:rFonts w:ascii="Times New Roman" w:cs="Times New Roman" w:eastAsia="Times New Roman" w:hAnsi="Times New Roman"/>
          <w:sz w:val="13"/>
          <w:szCs w:val="13"/>
          <w:color w:val="auto"/>
        </w:rPr>
        <w:t>In June 2025, Tectonic was added to the Russell 3000</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Index as part of FTSE Russell’s annual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reconstitution. Inclusion in the index broadens the company’s exposure to institutional investors and reflects its growing market capitalization.</w:t>
      </w:r>
    </w:p>
    <w:p>
      <w:pPr>
        <w:spacing w:after="0" w:line="72" w:lineRule="exact"/>
        <w:rPr>
          <w:rFonts w:ascii="Times New Roman" w:cs="Times New Roman" w:eastAsia="Times New Roman" w:hAnsi="Times New Roman"/>
          <w:sz w:val="13"/>
          <w:szCs w:val="13"/>
          <w:color w:val="auto"/>
        </w:rPr>
      </w:pPr>
    </w:p>
    <w:p>
      <w:pPr>
        <w:ind w:left="1320" w:right="1199" w:hanging="303"/>
        <w:spacing w:after="0" w:line="270"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Completed Enrollment in Part B of the TX45 Phase 1b Clinical Trial</w:t>
      </w:r>
      <w:r>
        <w:rPr>
          <w:rFonts w:ascii="Times New Roman" w:cs="Times New Roman" w:eastAsia="Times New Roman" w:hAnsi="Times New Roman"/>
          <w:sz w:val="13"/>
          <w:szCs w:val="13"/>
          <w:color w:val="auto"/>
        </w:rPr>
        <w:t>: Part B is evaluating TX45 in subjects with PH-HFrEF.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Enrollment has completed in the clinical trial, following the first subject dosing in March 2025.</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Upcoming Milestones</w:t>
      </w:r>
    </w:p>
    <w:p>
      <w:pPr>
        <w:spacing w:after="0" w:line="87" w:lineRule="exact"/>
        <w:rPr>
          <w:sz w:val="20"/>
          <w:szCs w:val="20"/>
          <w:color w:val="auto"/>
        </w:rPr>
      </w:pPr>
    </w:p>
    <w:p>
      <w:pPr>
        <w:ind w:left="1320" w:hanging="303"/>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TX45 Phase 1b Part B Topline Results Expected Early Q4’2025</w:t>
      </w:r>
    </w:p>
    <w:p>
      <w:pPr>
        <w:spacing w:after="0" w:line="87" w:lineRule="exact"/>
        <w:rPr>
          <w:rFonts w:ascii="Times New Roman" w:cs="Times New Roman" w:eastAsia="Times New Roman" w:hAnsi="Times New Roman"/>
          <w:sz w:val="13"/>
          <w:szCs w:val="13"/>
          <w:color w:val="auto"/>
        </w:rPr>
      </w:pPr>
    </w:p>
    <w:p>
      <w:pPr>
        <w:ind w:left="1320" w:right="799" w:hanging="303"/>
        <w:spacing w:after="0" w:line="252"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TX2100 GPCR Antagonist Phase 1 Clinical Trial Initiation for Hereditary Hemorrhagic Telangiectasia (“HHT”) Expected Q1’26: </w:t>
      </w:r>
      <w:r>
        <w:rPr>
          <w:rFonts w:ascii="Times New Roman" w:cs="Times New Roman" w:eastAsia="Times New Roman" w:hAnsi="Times New Roman"/>
          <w:sz w:val="13"/>
          <w:szCs w:val="13"/>
          <w:color w:val="auto"/>
        </w:rPr>
        <w:t>TX2100 is a GPCR targeting biotherapeutic being developed as a potential treatment for HHT, the second-most common genetic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bleeding disorder. TX2100 is expected to initiate a Phase 1 clinical trial in healthy volunteers in Q1’2026 following the conclusion of IND-enabling studies.</w:t>
      </w:r>
    </w:p>
    <w:p>
      <w:pPr>
        <w:spacing w:after="0" w:line="63" w:lineRule="exact"/>
        <w:rPr>
          <w:rFonts w:ascii="Times New Roman" w:cs="Times New Roman" w:eastAsia="Times New Roman" w:hAnsi="Times New Roman"/>
          <w:sz w:val="13"/>
          <w:szCs w:val="13"/>
          <w:color w:val="auto"/>
        </w:rPr>
      </w:pPr>
    </w:p>
    <w:p>
      <w:pPr>
        <w:ind w:left="1320" w:right="679" w:hanging="303"/>
        <w:spacing w:after="0" w:line="248"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TX45 PH-ILD Phase 2 Clinical Trial Initiation Expected in 2026</w:t>
      </w:r>
      <w:r>
        <w:rPr>
          <w:rFonts w:ascii="Times New Roman" w:cs="Times New Roman" w:eastAsia="Times New Roman" w:hAnsi="Times New Roman"/>
          <w:sz w:val="13"/>
          <w:szCs w:val="13"/>
          <w:color w:val="auto"/>
        </w:rPr>
        <w:t>: In 2026, Tectonic plans to initiate a 16-week, open label, repeat dose,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Phase 2 clinical trial to evaluate TX45’s safety and hemodynamic effects in approximately 20 subjects with Pulmonary Hypertension (“PH”) associated with Interstitial Lung Disease (“ILD”), known as PH-ILD (Group 3 PH). PH-ILD is an orphan disease with limited treatment options and a high mortality rate. We believe TX45’s mechanism is well suited to PH-ILD’s disease pathophysiology because of its pulmonary vasodilation, anti-inflammatory, remodeling and anti-fibrotic activity. The TX45 PH-ILD Phase 2 trial is being initiated to evaluate TX45 300 mg every two weeks subcutaneous administration in PH-ILD subjects, with the primary efficacy endpoint being the change from baseline in PVR at Week 16.</w:t>
      </w:r>
    </w:p>
    <w:p>
      <w:pPr>
        <w:spacing w:after="0" w:line="65" w:lineRule="exact"/>
        <w:rPr>
          <w:rFonts w:ascii="Times New Roman" w:cs="Times New Roman" w:eastAsia="Times New Roman" w:hAnsi="Times New Roman"/>
          <w:sz w:val="13"/>
          <w:szCs w:val="13"/>
          <w:color w:val="auto"/>
        </w:rPr>
      </w:pPr>
    </w:p>
    <w:p>
      <w:pPr>
        <w:ind w:left="1320" w:right="659" w:hanging="303"/>
        <w:spacing w:after="0" w:line="25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Ongoing TX45 APEX Phase 2 Clinical Trial Results Expected in 2026</w:t>
      </w:r>
      <w:r>
        <w:rPr>
          <w:rFonts w:ascii="Times New Roman" w:cs="Times New Roman" w:eastAsia="Times New Roman" w:hAnsi="Times New Roman"/>
          <w:sz w:val="13"/>
          <w:szCs w:val="13"/>
          <w:color w:val="auto"/>
        </w:rPr>
        <w:t>: The global, 24-week APEX Phase 2 clinical trial, a randomized,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placebo-controlled trial designed to evaluate the safety and efficacy of TX45 administered subcutaneously in subjects with PH-HFpEF, enriched for CpcPH, continues to enroll, with topline results expected in 2026.</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Overview of Financial and Operating Results</w:t>
      </w:r>
    </w:p>
    <w:p>
      <w:pPr>
        <w:spacing w:after="0" w:line="87" w:lineRule="exact"/>
        <w:rPr>
          <w:sz w:val="20"/>
          <w:szCs w:val="20"/>
          <w:color w:val="auto"/>
        </w:rPr>
      </w:pPr>
    </w:p>
    <w:p>
      <w:pPr>
        <w:ind w:left="1320" w:hanging="303"/>
        <w:spacing w:after="0"/>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Cash Position</w:t>
      </w:r>
      <w:r>
        <w:rPr>
          <w:rFonts w:ascii="Times New Roman" w:cs="Times New Roman" w:eastAsia="Times New Roman" w:hAnsi="Times New Roman"/>
          <w:sz w:val="13"/>
          <w:szCs w:val="13"/>
          <w:color w:val="auto"/>
        </w:rPr>
        <w:t>: As of June 30, 2025, cash and cash equivalents were $287.4 million, compared to $306.2 million as of March 31,</w:t>
      </w:r>
    </w:p>
    <w:p>
      <w:pPr>
        <w:spacing w:after="0" w:line="17" w:lineRule="exact"/>
        <w:rPr>
          <w:rFonts w:ascii="Times New Roman" w:cs="Times New Roman" w:eastAsia="Times New Roman" w:hAnsi="Times New Roman"/>
          <w:sz w:val="13"/>
          <w:szCs w:val="13"/>
          <w:color w:val="auto"/>
        </w:rPr>
      </w:pPr>
    </w:p>
    <w:p>
      <w:pPr>
        <w:ind w:left="1320" w:right="75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2025. Tectonic anticipates that, based on current operating assumptions, its current cash and cash equivalents, will provide a cash runway into Q4’2028, including through key Phase 1b and Phase 2 readouts for TX45, and the progression of TX2100 in HHT into clinical development.</w:t>
      </w:r>
    </w:p>
    <w:p>
      <w:pPr>
        <w:spacing w:after="0" w:line="67" w:lineRule="exact"/>
        <w:rPr>
          <w:rFonts w:ascii="Times New Roman" w:cs="Times New Roman" w:eastAsia="Times New Roman" w:hAnsi="Times New Roman"/>
          <w:sz w:val="13"/>
          <w:szCs w:val="13"/>
          <w:color w:val="auto"/>
        </w:rPr>
      </w:pPr>
    </w:p>
    <w:p>
      <w:pPr>
        <w:ind w:left="1320" w:right="759" w:hanging="303"/>
        <w:spacing w:after="0" w:line="288" w:lineRule="auto"/>
        <w:tabs>
          <w:tab w:leader="none" w:pos="1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Research and Development Expenses</w:t>
      </w:r>
      <w:r>
        <w:rPr>
          <w:rFonts w:ascii="Times New Roman" w:cs="Times New Roman" w:eastAsia="Times New Roman" w:hAnsi="Times New Roman"/>
          <w:sz w:val="12"/>
          <w:szCs w:val="12"/>
          <w:color w:val="auto"/>
        </w:rPr>
        <w:t>: Research and development expenses were $17.2 million for the three months ended June 30,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2025, as compared to $7.1 million for the three months ended June 30, 2024. The increase was primarily the result of increased CRO and CDMO costs related to the Phase 1b and Phase 2 clinical trials for TX45 and the discovery, development and manufacturing of TX2100.</w:t>
      </w:r>
    </w:p>
    <w:p>
      <w:pPr>
        <w:sectPr>
          <w:pgSz w:w="11900" w:h="16838" w:orient="portrait"/>
          <w:cols w:equalWidth="0" w:num="1">
            <w:col w:w="9019"/>
          </w:cols>
          <w:pgMar w:left="1440" w:top="229" w:right="1440" w:bottom="1440" w:gutter="0" w:footer="0" w:header="0"/>
        </w:sectPr>
      </w:pPr>
    </w:p>
    <w:bookmarkStart w:id="5" w:name="page6"/>
    <w:bookmarkEnd w:id="5"/>
    <w:p>
      <w:pPr>
        <w:ind w:left="1320" w:right="659" w:hanging="303"/>
        <w:spacing w:after="0" w:line="257"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General and Administrative Expenses</w:t>
      </w:r>
      <w:r>
        <w:rPr>
          <w:rFonts w:ascii="Times New Roman" w:cs="Times New Roman" w:eastAsia="Times New Roman" w:hAnsi="Times New Roman"/>
          <w:sz w:val="13"/>
          <w:szCs w:val="13"/>
          <w:color w:val="auto"/>
        </w:rPr>
        <w:t>: General and administrative expenses were $5.2 million for the three months ended June 30, 2025,</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compared to $4.3 million for the three months ended June 30, 2024. The increase was primarily due to an increase in non-cash stock-based compensation during the period.</w:t>
      </w:r>
    </w:p>
    <w:p>
      <w:pPr>
        <w:spacing w:after="0" w:line="59" w:lineRule="exact"/>
        <w:rPr>
          <w:rFonts w:ascii="Times New Roman" w:cs="Times New Roman" w:eastAsia="Times New Roman" w:hAnsi="Times New Roman"/>
          <w:sz w:val="13"/>
          <w:szCs w:val="13"/>
          <w:color w:val="auto"/>
        </w:rPr>
      </w:pPr>
    </w:p>
    <w:p>
      <w:pPr>
        <w:ind w:left="1320" w:right="739" w:hanging="303"/>
        <w:spacing w:after="0" w:line="270"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Net Loss</w:t>
      </w:r>
      <w:r>
        <w:rPr>
          <w:rFonts w:ascii="Times New Roman" w:cs="Times New Roman" w:eastAsia="Times New Roman" w:hAnsi="Times New Roman"/>
          <w:sz w:val="13"/>
          <w:szCs w:val="13"/>
          <w:color w:val="auto"/>
        </w:rPr>
        <w:t>: For the three months ended June 30, 2025, the Company had a net loss of $20.0 million compared to a net loss of $12.7 million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 the three months ended June 30, 2024.</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Group 2 Pulmonary Hypertension in HFpEF</w:t>
      </w:r>
    </w:p>
    <w:p>
      <w:pPr>
        <w:spacing w:after="0" w:line="80"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2"/>
          <w:szCs w:val="12"/>
          <w:color w:val="auto"/>
        </w:rPr>
        <w:t>The World Health Organization has defined 5 groups of PH. Tectonic’s initial focus has been on the Group 2 subtype, a condition that develops due to left-sided heart disease, specifically PH-HFpEF. 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PH-HFpEF is further segmented based on pulmonary hemodynamics into Isolated post-capillary PH (“IpcPH”) and Combined pre- and post-capillary PH (“CpcPH”). CpcPH is more severe, accounts for about one third to one half of the 1.4 million PH-HFpEF patients in the U.S. and is characterized by additional, abnormal changes to the pulmonary vasculature, leading to an increase in Pulmonary Vascular Resistance (“PVR”). Although several Group 1 PH (Pulmonary Arterial Hypertension, “PAH”) medications have been explored in Group 2 PH, to date, no medications have been approved for its treatment.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Group 3 Pulmonary Hypertension and PH-ILD</w:t>
      </w:r>
    </w:p>
    <w:p>
      <w:pPr>
        <w:spacing w:after="0" w:line="8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The World Health Organization has defined 5 groups of PH. Group 3 is PH due to chronic lung disease. Tectonic is focused on a Group 3 subtype, called PH-ILD where PH develops in patients who have ILD. ILD is a group of rare conditions causing inflammation and scarring in the lungs. It is believed that a combination of factors leads to the formation of PH-ILD, including lung fibrosis, chronic hypoxia, vascular remodeling and other factors that lead to worsening exercise capacity. PH-ILD has worse survival than ILD without PH. There are currently two approved treatments for PH-ILD, both of which contain the active ingredient treprostinil administered via nebulizer or dry powder inhaler.</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TX45, a long-acting Fc-relaxin fusion protein</w:t>
      </w:r>
    </w:p>
    <w:p>
      <w:pPr>
        <w:spacing w:after="0" w:line="80" w:lineRule="exact"/>
        <w:rPr>
          <w:sz w:val="20"/>
          <w:szCs w:val="20"/>
          <w:color w:val="auto"/>
        </w:rPr>
      </w:pPr>
    </w:p>
    <w:p>
      <w:pPr>
        <w:ind w:left="640" w:right="779"/>
        <w:spacing w:after="0" w:line="248" w:lineRule="auto"/>
        <w:rPr>
          <w:sz w:val="20"/>
          <w:szCs w:val="20"/>
          <w:color w:val="auto"/>
        </w:rPr>
      </w:pPr>
      <w:r>
        <w:rPr>
          <w:rFonts w:ascii="Times New Roman" w:cs="Times New Roman" w:eastAsia="Times New Roman" w:hAnsi="Times New Roman"/>
          <w:sz w:val="13"/>
          <w:szCs w:val="13"/>
          <w:color w:val="auto"/>
        </w:rPr>
        <w:t>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Tectonic</w:t>
      </w:r>
    </w:p>
    <w:p>
      <w:pPr>
        <w:spacing w:after="0" w:line="80" w:lineRule="exact"/>
        <w:rPr>
          <w:sz w:val="20"/>
          <w:szCs w:val="20"/>
          <w:color w:val="auto"/>
        </w:rPr>
      </w:pPr>
    </w:p>
    <w:p>
      <w:pPr>
        <w:ind w:left="640" w:right="699"/>
        <w:spacing w:after="0" w:line="232" w:lineRule="auto"/>
        <w:rPr>
          <w:sz w:val="20"/>
          <w:szCs w:val="20"/>
          <w:color w:val="auto"/>
        </w:rPr>
      </w:pPr>
      <w:r>
        <w:rPr>
          <w:rFonts w:ascii="Times New Roman" w:cs="Times New Roman" w:eastAsia="Times New Roman" w:hAnsi="Times New Roman"/>
          <w:sz w:val="13"/>
          <w:szCs w:val="13"/>
          <w:color w:val="auto"/>
        </w:rPr>
        <w:t>Tectonic Therapeutic is a clinical-stage biotechnology company focused on the discovery and development of therapeutic proteins and antibodies that modulate the activity of GPCRs. Leveraging its proprietary technology platform called GEODe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cs="Times New Roman" w:eastAsia="Times New Roman" w:hAnsi="Times New Roman"/>
          <w:sz w:val="13"/>
          <w:szCs w:val="13"/>
          <w:u w:val="single" w:color="auto"/>
          <w:color w:val="auto"/>
        </w:rPr>
        <w:t>www.tectonictx.com</w:t>
      </w:r>
      <w:r>
        <w:rPr>
          <w:rFonts w:ascii="Times New Roman" w:cs="Times New Roman" w:eastAsia="Times New Roman" w:hAnsi="Times New Roman"/>
          <w:sz w:val="13"/>
          <w:szCs w:val="13"/>
          <w:color w:val="auto"/>
        </w:rPr>
        <w:t xml:space="preserve"> and follow us on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w:t>
      </w:r>
    </w:p>
    <w:p>
      <w:pPr>
        <w:spacing w:after="0" w:line="80" w:lineRule="exact"/>
        <w:rPr>
          <w:sz w:val="20"/>
          <w:szCs w:val="20"/>
          <w:color w:val="auto"/>
        </w:rPr>
      </w:pPr>
    </w:p>
    <w:p>
      <w:pPr>
        <w:ind w:left="640" w:right="659"/>
        <w:spacing w:after="0" w:line="264"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Tectonic’s product candidates, including the ongoing Phase 1b and Phase 2 clinical trials for its lead program, TX45, in Group 2 PH-HFpEF and Group 2 PH-HFrEF and its planned Phase 2 clinical trial for TX45 in PH-ILD; the Company’s planned initiation of a Phase 1 clinical trial for TX2100; and the Company’s expected cash runway.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with</w:t>
      </w:r>
    </w:p>
    <w:p>
      <w:pPr>
        <w:spacing w:after="0" w:line="10" w:lineRule="exact"/>
        <w:rPr>
          <w:sz w:val="20"/>
          <w:szCs w:val="20"/>
          <w:color w:val="auto"/>
        </w:rPr>
      </w:pPr>
    </w:p>
    <w:p>
      <w:pPr>
        <w:ind w:left="640" w:right="679"/>
        <w:spacing w:after="0" w:line="244" w:lineRule="auto"/>
        <w:rPr>
          <w:sz w:val="20"/>
          <w:szCs w:val="20"/>
          <w:color w:val="auto"/>
        </w:rPr>
      </w:pPr>
      <w:r>
        <w:rPr>
          <w:rFonts w:ascii="Times New Roman" w:cs="Times New Roman" w:eastAsia="Times New Roman" w:hAnsi="Times New Roman"/>
          <w:sz w:val="13"/>
          <w:szCs w:val="13"/>
          <w:color w:val="auto"/>
        </w:rPr>
        <w:t>the SEC on August 7, 2025,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www.tectonictx.com and follow @TectonicTx on X (formerly Twitter) and LinkedIn.</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Dan Ferry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LifeSci Advisors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daniel@lifesciadvisors.com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(617) 430-7576</w:t>
      </w:r>
    </w:p>
    <w:p>
      <w:pPr>
        <w:sectPr>
          <w:pgSz w:w="11900" w:h="16838" w:orient="portrait"/>
          <w:cols w:equalWidth="0" w:num="1">
            <w:col w:w="9019"/>
          </w:cols>
          <w:pgMar w:left="1440" w:top="229"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Kathryn Morris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Yates Network</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kathryn@theyatesnetwork.com</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(914) 204-6412</w:t>
      </w:r>
    </w:p>
    <w:p>
      <w:pPr>
        <w:sectPr>
          <w:pgSz w:w="11900" w:h="16838" w:orient="portrait"/>
          <w:cols w:equalWidth="0" w:num="1">
            <w:col w:w="9019"/>
          </w:cols>
          <w:pgMar w:left="1440" w:top="231"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Tectonic Therapeutic,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and Comprehensive Loss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4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gridSpan w:val="5"/>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Three Months Ended June 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6"/>
          </w:tcPr>
          <w:p>
            <w:pPr>
              <w:jc w:val="right"/>
              <w:ind w:right="198"/>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r>
      <w:tr>
        <w:trPr>
          <w:trHeight w:val="94"/>
        </w:trPr>
        <w:tc>
          <w:tcPr>
            <w:tcW w:w="440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5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2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8"/>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5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8"/>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8"/>
                <w:szCs w:val="8"/>
                <w:color w:val="auto"/>
              </w:rPr>
            </w:pPr>
          </w:p>
        </w:tc>
      </w:tr>
      <w:tr>
        <w:trPr>
          <w:trHeight w:val="132"/>
        </w:trPr>
        <w:tc>
          <w:tcPr>
            <w:tcW w:w="44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4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17,185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7,074</w:t>
            </w:r>
          </w:p>
        </w:tc>
        <w:tc>
          <w:tcPr>
            <w:tcW w:w="16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30,221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17,892</w:t>
            </w:r>
          </w:p>
        </w:tc>
      </w:tr>
      <w:tr>
        <w:trPr>
          <w:trHeight w:val="152"/>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5,147</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10,409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6,497</w:t>
            </w:r>
          </w:p>
        </w:tc>
      </w:tr>
      <w:tr>
        <w:trPr>
          <w:trHeight w:val="151"/>
        </w:trPr>
        <w:tc>
          <w:tcPr>
            <w:tcW w:w="44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22,332</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40,630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24,389</w:t>
            </w:r>
          </w:p>
        </w:tc>
        <w:tc>
          <w:tcPr>
            <w:tcW w:w="80" w:type="dxa"/>
            <w:vAlign w:val="bottom"/>
          </w:tcPr>
          <w:p>
            <w:pPr>
              <w:spacing w:after="0"/>
              <w:rPr>
                <w:sz w:val="13"/>
                <w:szCs w:val="13"/>
                <w:color w:val="auto"/>
              </w:rPr>
            </w:pPr>
          </w:p>
        </w:tc>
      </w:tr>
      <w:tr>
        <w:trPr>
          <w:trHeight w:val="151"/>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(22,332)</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(11,421)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(40,630)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(24,389)</w:t>
            </w:r>
          </w:p>
        </w:tc>
      </w:tr>
      <w:tr>
        <w:trPr>
          <w:trHeight w:val="152"/>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 in fair value of SAFE liabilities</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(1,535)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(3,610)</w:t>
            </w:r>
          </w:p>
        </w:tc>
      </w:tr>
      <w:tr>
        <w:trPr>
          <w:trHeight w:val="152"/>
        </w:trPr>
        <w:tc>
          <w:tcPr>
            <w:tcW w:w="4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3,389</w:t>
            </w:r>
          </w:p>
        </w:tc>
        <w:tc>
          <w:tcPr>
            <w:tcW w:w="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574</w:t>
            </w:r>
          </w:p>
        </w:tc>
      </w:tr>
      <w:tr>
        <w:trPr>
          <w:trHeight w:val="152"/>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4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expense</w:t>
            </w:r>
          </w:p>
        </w:tc>
        <w:tc>
          <w:tcPr>
            <w:tcW w:w="6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(48)</w:t>
            </w:r>
          </w:p>
        </w:tc>
        <w:tc>
          <w:tcPr>
            <w:tcW w:w="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(408)</w:t>
            </w:r>
          </w:p>
        </w:tc>
      </w:tr>
      <w:tr>
        <w:trPr>
          <w:trHeight w:val="20"/>
        </w:trPr>
        <w:tc>
          <w:tcPr>
            <w:tcW w:w="4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(3,503)</w:t>
            </w:r>
          </w:p>
        </w:tc>
      </w:tr>
      <w:tr>
        <w:trPr>
          <w:trHeight w:val="151"/>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Loss before income tax</w:t>
            </w: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(19,008)</w:t>
            </w:r>
          </w:p>
        </w:tc>
        <w:tc>
          <w:tcPr>
            <w:tcW w:w="2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(12,671)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(27,892)</w:t>
            </w:r>
          </w:p>
        </w:tc>
        <w:tc>
          <w:tcPr>
            <w:tcW w:w="80" w:type="dxa"/>
            <w:vAlign w:val="bottom"/>
          </w:tcPr>
          <w:p>
            <w:pPr>
              <w:spacing w:after="0"/>
              <w:rPr>
                <w:sz w:val="13"/>
                <w:szCs w:val="13"/>
                <w:color w:val="auto"/>
              </w:rPr>
            </w:pPr>
          </w:p>
        </w:tc>
      </w:tr>
      <w:tr>
        <w:trPr>
          <w:trHeight w:val="152"/>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(976)</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— </w:t>
            </w:r>
          </w:p>
        </w:tc>
      </w:tr>
      <w:tr>
        <w:trPr>
          <w:trHeight w:val="151"/>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(19,984)</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(12,671)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(35,890)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(27,892)</w:t>
            </w:r>
          </w:p>
        </w:tc>
        <w:tc>
          <w:tcPr>
            <w:tcW w:w="80" w:type="dxa"/>
            <w:vAlign w:val="bottom"/>
          </w:tcPr>
          <w:p>
            <w:pPr>
              <w:spacing w:after="0"/>
              <w:rPr>
                <w:sz w:val="13"/>
                <w:szCs w:val="13"/>
                <w:color w:val="auto"/>
              </w:rPr>
            </w:pPr>
          </w:p>
        </w:tc>
      </w:tr>
      <w:tr>
        <w:trPr>
          <w:trHeight w:val="151"/>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4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6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(51)</w:t>
            </w:r>
          </w:p>
        </w:tc>
        <w:tc>
          <w:tcPr>
            <w:tcW w:w="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20"/>
        </w:trPr>
        <w:tc>
          <w:tcPr>
            <w:tcW w:w="4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(20,035)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(12,679)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(35,948)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(27,942)</w:t>
            </w:r>
          </w:p>
        </w:tc>
      </w:tr>
      <w:tr>
        <w:trPr>
          <w:trHeight w:val="170"/>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basic and diluted</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7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common shares outstanding, basic and diluted</w:t>
            </w: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18,680,042</w:t>
            </w:r>
          </w:p>
        </w:tc>
        <w:tc>
          <w:tcPr>
            <w:tcW w:w="2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2,919,872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17,923,056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2,150,160</w:t>
            </w:r>
          </w:p>
        </w:tc>
        <w:tc>
          <w:tcPr>
            <w:tcW w:w="80" w:type="dxa"/>
            <w:vAlign w:val="bottom"/>
            <w:shd w:val="clear" w:color="auto" w:fill="CCEEFF"/>
          </w:tcPr>
          <w:p>
            <w:pPr>
              <w:spacing w:after="0"/>
              <w:rPr>
                <w:sz w:val="14"/>
                <w:szCs w:val="14"/>
                <w:color w:val="auto"/>
              </w:rPr>
            </w:pPr>
          </w:p>
        </w:tc>
      </w:tr>
    </w:tbl>
    <w:p>
      <w:pPr>
        <w:sectPr>
          <w:pgSz w:w="11900" w:h="16838" w:orient="portrait"/>
          <w:cols w:equalWidth="0" w:num="1">
            <w:col w:w="9019"/>
          </w:cols>
          <w:pgMar w:left="1440" w:top="229"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Tectonic Therapeutic,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Select Condensed Consolidated Balance Sheet Data</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5900" w:type="dxa"/>
            <w:vAlign w:val="bottom"/>
          </w:tcPr>
          <w:p>
            <w:pPr>
              <w:spacing w:after="0"/>
              <w:rPr>
                <w:sz w:val="10"/>
                <w:szCs w:val="1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96"/>
              </w:rPr>
              <w:t>June 30, 2025</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r>
      <w:tr>
        <w:trPr>
          <w:trHeight w:val="141"/>
        </w:trPr>
        <w:tc>
          <w:tcPr>
            <w:tcW w:w="59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Cash and cash equivalents</w:t>
            </w: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  287,381</w:t>
            </w:r>
          </w:p>
        </w:tc>
        <w:tc>
          <w:tcPr>
            <w:tcW w:w="4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141,239</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Working capital*</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279,487</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135,247</w:t>
            </w:r>
          </w:p>
        </w:tc>
        <w:tc>
          <w:tcPr>
            <w:tcW w:w="40" w:type="dxa"/>
            <w:vAlign w:val="bottom"/>
          </w:tcPr>
          <w:p>
            <w:pPr>
              <w:spacing w:after="0"/>
              <w:rPr>
                <w:sz w:val="13"/>
                <w:szCs w:val="13"/>
                <w:color w:val="auto"/>
              </w:rPr>
            </w:pPr>
          </w:p>
        </w:tc>
      </w:tr>
      <w:tr>
        <w:trPr>
          <w:trHeight w:val="15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295,313</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152,905</w:t>
            </w:r>
          </w:p>
        </w:tc>
        <w:tc>
          <w:tcPr>
            <w:tcW w:w="40" w:type="dxa"/>
            <w:vAlign w:val="bottom"/>
            <w:shd w:val="clear" w:color="auto" w:fill="CCEEFF"/>
          </w:tcPr>
          <w:p>
            <w:pPr>
              <w:spacing w:after="0"/>
              <w:rPr>
                <w:sz w:val="13"/>
                <w:szCs w:val="13"/>
                <w:color w:val="auto"/>
              </w:rPr>
            </w:pPr>
          </w:p>
        </w:tc>
      </w:tr>
      <w:tr>
        <w:trPr>
          <w:trHeight w:val="165"/>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Total stockholders’ equity</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283,766</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140,776</w:t>
            </w:r>
          </w:p>
        </w:tc>
        <w:tc>
          <w:tcPr>
            <w:tcW w:w="40" w:type="dxa"/>
            <w:vAlign w:val="bottom"/>
          </w:tcPr>
          <w:p>
            <w:pPr>
              <w:spacing w:after="0"/>
              <w:rPr>
                <w:sz w:val="14"/>
                <w:szCs w:val="14"/>
                <w:color w:val="auto"/>
              </w:rPr>
            </w:pPr>
          </w:p>
        </w:tc>
      </w:tr>
    </w:tbl>
    <w:p>
      <w:pPr>
        <w:spacing w:after="0" w:line="145" w:lineRule="exact"/>
        <w:rPr>
          <w:sz w:val="20"/>
          <w:szCs w:val="20"/>
          <w:color w:val="auto"/>
        </w:rPr>
      </w:pPr>
    </w:p>
    <w:p>
      <w:pPr>
        <w:ind w:left="940" w:hanging="303"/>
        <w:spacing w:after="0"/>
        <w:tabs>
          <w:tab w:leader="none" w:pos="9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Working capital is defined as current assets less current liabilities</w:t>
      </w:r>
    </w:p>
    <w:p>
      <w:pPr>
        <w:sectPr>
          <w:pgSz w:w="11900" w:h="16838" w:orient="portrait"/>
          <w:cols w:equalWidth="0" w:num="1">
            <w:col w:w="9019"/>
          </w:cols>
          <w:pgMar w:left="1440" w:top="229" w:right="1440" w:bottom="1440" w:gutter="0" w:footer="0" w:header="0"/>
        </w:sectPr>
      </w:pPr>
    </w:p>
    <w:bookmarkStart w:id="10" w:name="page11"/>
    <w:bookmarkEnd w:id="1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2025-08-07T16:11:42Z</dcterms:created>
  <dcterms:modified xsi:type="dcterms:W3CDTF">2025-08-07T16:11:42Z</dcterms:modified>
</cp:coreProperties>
</file>