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1442720</wp:posOffset>
            </wp:positionH>
            <wp:positionV relativeFrom="page">
              <wp:posOffset>140335</wp:posOffset>
            </wp:positionV>
            <wp:extent cx="4663440"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page">
              <wp:posOffset>1442720</wp:posOffset>
            </wp:positionH>
            <wp:positionV relativeFrom="page">
              <wp:posOffset>168910</wp:posOffset>
            </wp:positionV>
            <wp:extent cx="46634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63440" cy="5715"/>
                    </a:xfrm>
                    <a:prstGeom prst="rect">
                      <a:avLst/>
                    </a:prstGeom>
                    <a:noFill/>
                  </pic:spPr>
                </pic:pic>
              </a:graphicData>
            </a:graphic>
          </wp:anchor>
        </w:drawing>
        <w:t>UNITED STATES</w:t>
      </w:r>
    </w:p>
    <w:p>
      <w:pPr>
        <w:spacing w:after="0" w:line="1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144780</wp:posOffset>
            </wp:positionV>
            <wp:extent cx="98298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121920</wp:posOffset>
            </wp:positionV>
            <wp:extent cx="98298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6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Pursuant to Section 13 or 15(d)</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of the Securities Exchange Act of 1934</w:t>
      </w:r>
    </w:p>
    <w:p>
      <w:pPr>
        <w:spacing w:after="0" w:line="8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Date of Report (Date of earliest event reported): November 17,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121920</wp:posOffset>
            </wp:positionV>
            <wp:extent cx="98298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pacing w:after="0" w:line="24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AVROBIO, INC.</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111760</wp:posOffset>
            </wp:positionV>
            <wp:extent cx="98298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sectPr>
      </w:pPr>
    </w:p>
    <w:p>
      <w:pPr>
        <w:spacing w:after="0" w:line="296" w:lineRule="exact"/>
        <w:rPr>
          <w:sz w:val="24"/>
          <w:szCs w:val="24"/>
          <w:color w:val="auto"/>
        </w:rPr>
      </w:pPr>
    </w:p>
    <w:p>
      <w:pPr>
        <w:jc w:val="center"/>
        <w:ind w:left="560"/>
        <w:spacing w:after="0"/>
        <w:rPr>
          <w:sz w:val="20"/>
          <w:szCs w:val="20"/>
          <w:color w:val="auto"/>
        </w:rPr>
      </w:pPr>
      <w:r>
        <w:rPr>
          <w:rFonts w:ascii="Times New Roman" w:cs="Times New Roman" w:eastAsia="Times New Roman" w:hAnsi="Times New Roman"/>
          <w:sz w:val="11"/>
          <w:szCs w:val="11"/>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160"/>
        <w:spacing w:after="0"/>
        <w:rPr>
          <w:sz w:val="20"/>
          <w:szCs w:val="20"/>
          <w:color w:val="auto"/>
        </w:rPr>
      </w:pPr>
      <w:r>
        <w:rPr>
          <w:rFonts w:ascii="Times New Roman" w:cs="Times New Roman" w:eastAsia="Times New Roman" w:hAnsi="Times New Roman"/>
          <w:sz w:val="11"/>
          <w:szCs w:val="11"/>
          <w:b w:val="1"/>
          <w:bCs w:val="1"/>
          <w:color w:val="auto"/>
        </w:rPr>
        <w:t>001-38537</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719"/>
        <w:spacing w:after="0"/>
        <w:rPr>
          <w:sz w:val="20"/>
          <w:szCs w:val="20"/>
          <w:color w:val="auto"/>
        </w:rPr>
      </w:pPr>
      <w:r>
        <w:rPr>
          <w:rFonts w:ascii="Times New Roman" w:cs="Times New Roman" w:eastAsia="Times New Roman" w:hAnsi="Times New Roman"/>
          <w:sz w:val="11"/>
          <w:szCs w:val="11"/>
          <w:b w:val="1"/>
          <w:bCs w:val="1"/>
          <w:color w:val="auto"/>
        </w:rPr>
        <w:t>81-0710585</w:t>
      </w:r>
    </w:p>
    <w:p>
      <w:pPr>
        <w:spacing w:after="0" w:line="32" w:lineRule="exact"/>
        <w:rPr>
          <w:sz w:val="24"/>
          <w:szCs w:val="24"/>
          <w:color w:val="auto"/>
        </w:rPr>
      </w:pPr>
    </w:p>
    <w:p>
      <w:pPr>
        <w:sectPr>
          <w:pgSz w:w="11900" w:h="16838" w:orient="portrait"/>
          <w:cols w:equalWidth="0" w:num="3">
            <w:col w:w="3600" w:space="720"/>
            <w:col w:w="1680" w:space="720"/>
            <w:col w:w="2299"/>
          </w:cols>
          <w:pgMar w:left="1440" w:top="288" w:right="1440" w:bottom="1440" w:gutter="0" w:footer="0" w:header="0"/>
          <w:type w:val="continuous"/>
        </w:sectPr>
      </w:pPr>
    </w:p>
    <w:p>
      <w:pPr>
        <w:jc w:val="center"/>
        <w:ind w:left="580"/>
        <w:spacing w:after="0"/>
        <w:rPr>
          <w:sz w:val="20"/>
          <w:szCs w:val="20"/>
          <w:color w:val="auto"/>
        </w:rPr>
      </w:pPr>
      <w:r>
        <w:rPr>
          <w:rFonts w:ascii="Times New Roman" w:cs="Times New Roman" w:eastAsia="Times New Roman" w:hAnsi="Times New Roman"/>
          <w:sz w:val="8"/>
          <w:szCs w:val="8"/>
          <w:b w:val="1"/>
          <w:bCs w:val="1"/>
          <w:color w:val="auto"/>
        </w:rPr>
        <w:t>(State or other jurisdiction</w:t>
      </w:r>
    </w:p>
    <w:p>
      <w:pPr>
        <w:spacing w:after="0" w:line="1" w:lineRule="exact"/>
        <w:rPr>
          <w:sz w:val="24"/>
          <w:szCs w:val="24"/>
          <w:color w:val="auto"/>
        </w:rPr>
      </w:pPr>
    </w:p>
    <w:p>
      <w:pPr>
        <w:jc w:val="center"/>
        <w:ind w:left="580"/>
        <w:spacing w:after="0"/>
        <w:rPr>
          <w:sz w:val="20"/>
          <w:szCs w:val="20"/>
          <w:color w:val="auto"/>
        </w:rPr>
      </w:pPr>
      <w:r>
        <w:rPr>
          <w:rFonts w:ascii="Times New Roman" w:cs="Times New Roman" w:eastAsia="Times New Roman" w:hAnsi="Times New Roman"/>
          <w:sz w:val="10"/>
          <w:szCs w:val="10"/>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8"/>
          <w:szCs w:val="8"/>
          <w:b w:val="1"/>
          <w:bCs w:val="1"/>
          <w:color w:val="auto"/>
        </w:rPr>
        <w:t>(Commission</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Times New Roman" w:cs="Times New Roman" w:eastAsia="Times New Roman" w:hAnsi="Times New Roman"/>
          <w:sz w:val="8"/>
          <w:szCs w:val="8"/>
          <w:b w:val="1"/>
          <w:bCs w:val="1"/>
          <w:color w:val="auto"/>
        </w:rPr>
        <w:t>(I.R.S. Employer</w:t>
      </w:r>
    </w:p>
    <w:p>
      <w:pPr>
        <w:spacing w:after="0" w:line="3" w:lineRule="exact"/>
        <w:rPr>
          <w:sz w:val="24"/>
          <w:szCs w:val="24"/>
          <w:color w:val="auto"/>
        </w:rPr>
      </w:pPr>
    </w:p>
    <w:p>
      <w:pPr>
        <w:spacing w:after="0"/>
        <w:rPr>
          <w:sz w:val="20"/>
          <w:szCs w:val="20"/>
          <w:color w:val="auto"/>
        </w:rPr>
      </w:pPr>
      <w:r>
        <w:rPr>
          <w:rFonts w:ascii="Times New Roman" w:cs="Times New Roman" w:eastAsia="Times New Roman" w:hAnsi="Times New Roman"/>
          <w:sz w:val="8"/>
          <w:szCs w:val="8"/>
          <w:b w:val="1"/>
          <w:bCs w:val="1"/>
          <w:color w:val="auto"/>
        </w:rPr>
        <w:t>Identification No.)</w:t>
      </w:r>
    </w:p>
    <w:p>
      <w:pPr>
        <w:spacing w:after="0" w:line="86" w:lineRule="exact"/>
        <w:rPr>
          <w:sz w:val="24"/>
          <w:szCs w:val="24"/>
          <w:color w:val="auto"/>
        </w:rPr>
      </w:pPr>
    </w:p>
    <w:p>
      <w:pPr>
        <w:sectPr>
          <w:pgSz w:w="11900" w:h="16838" w:orient="portrait"/>
          <w:cols w:equalWidth="0" w:num="3">
            <w:col w:w="3580" w:space="720"/>
            <w:col w:w="1600" w:space="720"/>
            <w:col w:w="2399"/>
          </w:cols>
          <w:pgMar w:left="1440" w:top="288" w:right="1440" w:bottom="1440" w:gutter="0" w:footer="0" w:header="0"/>
          <w:type w:val="continuous"/>
        </w:sect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One Kendall Square</w:t>
      </w:r>
    </w:p>
    <w:p>
      <w:pPr>
        <w:spacing w:after="0" w:line="2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Building 300, Suite 201</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Cambridge, MA 02139</w:t>
      </w: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(Address of principal executive offices, including zip code)</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(617) 914-8420</w:t>
      </w:r>
    </w:p>
    <w:p>
      <w:pPr>
        <w:spacing w:after="0" w:line="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0"/>
          <w:szCs w:val="10"/>
          <w:b w:val="1"/>
          <w:bCs w:val="1"/>
          <w:color w:val="auto"/>
        </w:rPr>
        <w:t>(Registrant’s telephone number, including area code)</w:t>
      </w:r>
    </w:p>
    <w:p>
      <w:pPr>
        <w:spacing w:after="0" w:line="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Not Applicable</w:t>
      </w:r>
    </w:p>
    <w:p>
      <w:pPr>
        <w:spacing w:after="0" w:line="1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8"/>
          <w:szCs w:val="8"/>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2368550</wp:posOffset>
            </wp:positionH>
            <wp:positionV relativeFrom="paragraph">
              <wp:posOffset>115570</wp:posOffset>
            </wp:positionV>
            <wp:extent cx="98298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8298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p>
      <w:pPr>
        <w:spacing w:after="0" w:line="280" w:lineRule="exact"/>
        <w:rPr>
          <w:sz w:val="24"/>
          <w:szCs w:val="24"/>
          <w:color w:val="auto"/>
        </w:rPr>
      </w:pPr>
    </w:p>
    <w:p>
      <w:pPr>
        <w:ind w:left="840" w:right="1159"/>
        <w:spacing w:after="0" w:line="279" w:lineRule="auto"/>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48" w:lineRule="exact"/>
        <w:rPr>
          <w:sz w:val="24"/>
          <w:szCs w:val="24"/>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87" w:lineRule="exact"/>
        <w:rPr>
          <w:rFonts w:ascii="MS PGothic" w:cs="MS PGothic" w:eastAsia="MS PGothic" w:hAnsi="MS PGothic"/>
          <w:sz w:val="12"/>
          <w:szCs w:val="12"/>
          <w:color w:val="auto"/>
        </w:rPr>
      </w:pPr>
    </w:p>
    <w:p>
      <w:pPr>
        <w:ind w:left="1120" w:hanging="288"/>
        <w:spacing w:after="0"/>
        <w:tabs>
          <w:tab w:leader="none" w:pos="112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23" w:lineRule="exact"/>
        <w:rPr>
          <w:sz w:val="24"/>
          <w:szCs w:val="24"/>
          <w:color w:val="auto"/>
        </w:rPr>
      </w:pPr>
    </w:p>
    <w:p>
      <w:pPr>
        <w:ind w:left="840"/>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p>
      <w:pPr>
        <w:spacing w:after="0" w:line="128" w:lineRule="exact"/>
        <w:rPr>
          <w:sz w:val="24"/>
          <w:szCs w:val="24"/>
          <w:color w:val="auto"/>
        </w:rPr>
      </w:pPr>
    </w:p>
    <w:tbl>
      <w:tblPr>
        <w:tblLayout w:type="fixed"/>
        <w:tblInd w:w="840" w:type="dxa"/>
        <w:tblCellMar>
          <w:top w:w="0" w:type="dxa"/>
          <w:left w:w="0" w:type="dxa"/>
          <w:bottom w:w="0" w:type="dxa"/>
          <w:right w:w="0" w:type="dxa"/>
        </w:tblCellMar>
      </w:tblPr>
      <w:tr>
        <w:trPr>
          <w:trHeight w:val="115"/>
        </w:trPr>
        <w:tc>
          <w:tcPr>
            <w:tcW w:w="26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0"/>
                <w:szCs w:val="10"/>
                <w:b w:val="1"/>
                <w:bCs w:val="1"/>
                <w:color w:val="auto"/>
                <w:w w:val="95"/>
              </w:rPr>
              <w:t>Title of each class</w:t>
            </w: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1"/>
              </w:rPr>
              <w:t>Trading</w:t>
            </w:r>
          </w:p>
        </w:tc>
        <w:tc>
          <w:tcPr>
            <w:tcW w:w="2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6"/>
              </w:rPr>
              <w:t>Name of each exchange</w:t>
            </w:r>
          </w:p>
        </w:tc>
        <w:tc>
          <w:tcPr>
            <w:tcW w:w="0" w:type="dxa"/>
            <w:vAlign w:val="bottom"/>
          </w:tcPr>
          <w:p>
            <w:pPr>
              <w:spacing w:after="0"/>
              <w:rPr>
                <w:sz w:val="1"/>
                <w:szCs w:val="1"/>
                <w:color w:val="auto"/>
              </w:rPr>
            </w:pPr>
          </w:p>
        </w:tc>
      </w:tr>
      <w:tr>
        <w:trPr>
          <w:trHeight w:val="124"/>
        </w:trPr>
        <w:tc>
          <w:tcPr>
            <w:tcW w:w="2640" w:type="dxa"/>
            <w:vAlign w:val="bottom"/>
            <w:gridSpan w:val="2"/>
            <w:vMerge w:val="continue"/>
          </w:tcPr>
          <w:p>
            <w:pPr>
              <w:spacing w:after="0"/>
              <w:rPr>
                <w:sz w:val="10"/>
                <w:szCs w:val="10"/>
                <w:color w:val="auto"/>
              </w:rPr>
            </w:pPr>
          </w:p>
        </w:tc>
        <w:tc>
          <w:tcPr>
            <w:tcW w:w="2420" w:type="dxa"/>
            <w:vAlign w:val="bottom"/>
            <w:gridSpan w:val="2"/>
          </w:tcPr>
          <w:p>
            <w:pPr>
              <w:jc w:val="center"/>
              <w:ind w:right="60"/>
              <w:spacing w:after="0"/>
              <w:rPr>
                <w:sz w:val="20"/>
                <w:szCs w:val="20"/>
                <w:color w:val="auto"/>
              </w:rPr>
            </w:pPr>
            <w:r>
              <w:rPr>
                <w:rFonts w:ascii="Times New Roman" w:cs="Times New Roman" w:eastAsia="Times New Roman" w:hAnsi="Times New Roman"/>
                <w:sz w:val="10"/>
                <w:szCs w:val="10"/>
                <w:b w:val="1"/>
                <w:bCs w:val="1"/>
                <w:color w:val="auto"/>
                <w:w w:val="97"/>
              </w:rPr>
              <w:t>symbol(s)</w:t>
            </w:r>
          </w:p>
        </w:tc>
        <w:tc>
          <w:tcPr>
            <w:tcW w:w="2280" w:type="dxa"/>
            <w:vAlign w:val="bottom"/>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on which registered</w:t>
            </w:r>
          </w:p>
        </w:tc>
        <w:tc>
          <w:tcPr>
            <w:tcW w:w="0" w:type="dxa"/>
            <w:vAlign w:val="bottom"/>
          </w:tcPr>
          <w:p>
            <w:pPr>
              <w:spacing w:after="0"/>
              <w:rPr>
                <w:sz w:val="1"/>
                <w:szCs w:val="1"/>
                <w:color w:val="auto"/>
              </w:rPr>
            </w:pPr>
          </w:p>
        </w:tc>
      </w:tr>
      <w:tr>
        <w:trPr>
          <w:trHeight w:val="148"/>
        </w:trPr>
        <w:tc>
          <w:tcPr>
            <w:tcW w:w="25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Common Stock, $0.0001 par value per share</w:t>
            </w:r>
          </w:p>
        </w:tc>
        <w:tc>
          <w:tcPr>
            <w:tcW w:w="80" w:type="dxa"/>
            <w:vAlign w:val="bottom"/>
          </w:tcPr>
          <w:p>
            <w:pPr>
              <w:spacing w:after="0"/>
              <w:rPr>
                <w:sz w:val="12"/>
                <w:szCs w:val="12"/>
                <w:color w:val="auto"/>
              </w:rPr>
            </w:pPr>
          </w:p>
        </w:tc>
        <w:tc>
          <w:tcPr>
            <w:tcW w:w="2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AVRO</w:t>
            </w:r>
          </w:p>
        </w:tc>
        <w:tc>
          <w:tcPr>
            <w:tcW w:w="60" w:type="dxa"/>
            <w:vAlign w:val="bottom"/>
          </w:tcPr>
          <w:p>
            <w:pPr>
              <w:spacing w:after="0"/>
              <w:rPr>
                <w:sz w:val="12"/>
                <w:szCs w:val="12"/>
                <w:color w:val="auto"/>
              </w:rPr>
            </w:pPr>
          </w:p>
        </w:tc>
        <w:tc>
          <w:tcPr>
            <w:tcW w:w="2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Nasdaq Global Select Market</w:t>
            </w: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840" w:right="1019"/>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73" w:lineRule="exact"/>
        <w:rPr>
          <w:sz w:val="24"/>
          <w:szCs w:val="24"/>
          <w:color w:val="auto"/>
        </w:rPr>
      </w:pPr>
    </w:p>
    <w:p>
      <w:pPr>
        <w:ind w:left="840"/>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143" w:lineRule="exact"/>
        <w:rPr>
          <w:sz w:val="24"/>
          <w:szCs w:val="24"/>
          <w:color w:val="auto"/>
        </w:rPr>
      </w:pPr>
    </w:p>
    <w:p>
      <w:pPr>
        <w:ind w:left="840" w:right="1039"/>
        <w:spacing w:after="0" w:line="156" w:lineRule="exact"/>
        <w:rPr>
          <w:sz w:val="20"/>
          <w:szCs w:val="20"/>
          <w:color w:val="auto"/>
        </w:rPr>
      </w:pPr>
      <w:r>
        <w:rPr>
          <w:rFonts w:ascii="Times New Roman" w:cs="Times New Roman" w:eastAsia="Times New Roman" w:hAnsi="Times New Roman"/>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528320</wp:posOffset>
            </wp:positionH>
            <wp:positionV relativeFrom="paragraph">
              <wp:posOffset>89535</wp:posOffset>
            </wp:positionV>
            <wp:extent cx="46634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663440" cy="5715"/>
                    </a:xfrm>
                    <a:prstGeom prst="rect">
                      <a:avLst/>
                    </a:prstGeom>
                    <a:noFill/>
                  </pic:spPr>
                </pic:pic>
              </a:graphicData>
            </a:graphic>
          </wp:anchor>
        </w:drawing>
        <w:drawing>
          <wp:anchor simplePos="0" relativeHeight="251657728" behindDoc="1" locked="0" layoutInCell="0" allowOverlap="1">
            <wp:simplePos x="0" y="0"/>
            <wp:positionH relativeFrom="column">
              <wp:posOffset>528320</wp:posOffset>
            </wp:positionH>
            <wp:positionV relativeFrom="paragraph">
              <wp:posOffset>118110</wp:posOffset>
            </wp:positionV>
            <wp:extent cx="46634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663440" cy="5715"/>
                    </a:xfrm>
                    <a:prstGeom prst="rect">
                      <a:avLst/>
                    </a:prstGeom>
                    <a:noFill/>
                  </pic:spPr>
                </pic:pic>
              </a:graphicData>
            </a:graphic>
          </wp:anchor>
        </w:drawing>
      </w:r>
    </w:p>
    <w:p>
      <w:pPr>
        <w:sectPr>
          <w:pgSz w:w="11900" w:h="16838" w:orient="portrait"/>
          <w:cols w:equalWidth="0" w:num="1">
            <w:col w:w="9019"/>
          </w:cols>
          <w:pgMar w:left="1440" w:top="288" w:right="1440" w:bottom="1440" w:gutter="0" w:footer="0" w:header="0"/>
          <w:type w:val="continuous"/>
        </w:sectPr>
      </w:pPr>
    </w:p>
    <w:bookmarkStart w:id="1" w:name="page2"/>
    <w:bookmarkEnd w:id="1"/>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9470" cy="28575"/>
                    </a:xfrm>
                    <a:prstGeom prst="rect">
                      <a:avLst/>
                    </a:prstGeom>
                    <a:noFill/>
                  </pic:spPr>
                </pic:pic>
              </a:graphicData>
            </a:graphic>
          </wp:anchor>
        </w:drawing>
        <w:t>Item 8.01</w:t>
      </w:r>
      <w:r>
        <w:rPr>
          <w:sz w:val="20"/>
          <w:szCs w:val="20"/>
          <w:color w:val="auto"/>
        </w:rPr>
        <w:tab/>
      </w:r>
      <w:r>
        <w:rPr>
          <w:rFonts w:ascii="Times New Roman" w:cs="Times New Roman" w:eastAsia="Times New Roman" w:hAnsi="Times New Roman"/>
          <w:sz w:val="11"/>
          <w:szCs w:val="11"/>
          <w:b w:val="1"/>
          <w:bCs w:val="1"/>
          <w:color w:val="auto"/>
        </w:rPr>
        <w:t>Other Events.</w:t>
      </w:r>
    </w:p>
    <w:p>
      <w:pPr>
        <w:spacing w:after="0" w:line="82" w:lineRule="exact"/>
        <w:rPr>
          <w:sz w:val="20"/>
          <w:szCs w:val="20"/>
          <w:color w:val="auto"/>
        </w:rPr>
      </w:pPr>
    </w:p>
    <w:p>
      <w:pPr>
        <w:ind w:left="840" w:right="979"/>
        <w:spacing w:after="0" w:line="279" w:lineRule="auto"/>
        <w:rPr>
          <w:sz w:val="20"/>
          <w:szCs w:val="20"/>
          <w:color w:val="auto"/>
        </w:rPr>
      </w:pPr>
      <w:r>
        <w:rPr>
          <w:rFonts w:ascii="Times New Roman" w:cs="Times New Roman" w:eastAsia="Times New Roman" w:hAnsi="Times New Roman"/>
          <w:sz w:val="12"/>
          <w:szCs w:val="12"/>
          <w:color w:val="auto"/>
        </w:rPr>
        <w:t>On November 17, 2020, AVROBIO, Inc. updated its corporate presentation for use in meetings with investors, analysts and others. A copy of the slide presentation is filed as Exhibit 99.1 to this Current Report on Form 8-K and incorporated into this Item 8.01 by reference.</w:t>
      </w:r>
    </w:p>
    <w:p>
      <w:pPr>
        <w:spacing w:after="0" w:line="206" w:lineRule="exact"/>
        <w:rPr>
          <w:sz w:val="20"/>
          <w:szCs w:val="20"/>
          <w:color w:val="auto"/>
        </w:rPr>
      </w:pPr>
    </w:p>
    <w:p>
      <w:pPr>
        <w:ind w:left="840"/>
        <w:spacing w:after="0"/>
        <w:tabs>
          <w:tab w:leader="none" w:pos="162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8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2"/>
          <w:szCs w:val="12"/>
          <w:color w:val="auto"/>
        </w:rPr>
        <w:t>(d) Exhibits</w:t>
      </w:r>
    </w:p>
    <w:p>
      <w:pPr>
        <w:spacing w:after="0" w:line="87" w:lineRule="exact"/>
        <w:rPr>
          <w:sz w:val="20"/>
          <w:szCs w:val="20"/>
          <w:color w:val="auto"/>
        </w:rPr>
      </w:pPr>
    </w:p>
    <w:p>
      <w:pPr>
        <w:ind w:left="840"/>
        <w:spacing w:after="0"/>
        <w:tabs>
          <w:tab w:leader="none" w:pos="1260" w:val="left"/>
        </w:tabs>
        <w:rPr>
          <w:rFonts w:ascii="Times New Roman" w:cs="Times New Roman" w:eastAsia="Times New Roman" w:hAnsi="Times New Roman"/>
          <w:sz w:val="11"/>
          <w:szCs w:val="11"/>
          <w:u w:val="single" w:color="auto"/>
          <w:color w:val="0000EE"/>
        </w:rPr>
      </w:pPr>
      <w:r>
        <w:rPr>
          <w:rFonts w:ascii="Times New Roman" w:cs="Times New Roman" w:eastAsia="Times New Roman" w:hAnsi="Times New Roman"/>
          <w:sz w:val="12"/>
          <w:szCs w:val="12"/>
          <w:color w:val="auto"/>
        </w:rPr>
        <w:t>99.1</w:t>
      </w:r>
      <w:r>
        <w:rPr>
          <w:sz w:val="20"/>
          <w:szCs w:val="20"/>
          <w:color w:val="auto"/>
        </w:rPr>
        <w:tab/>
      </w:r>
      <w:hyperlink w:anchor="page4">
        <w:r>
          <w:rPr>
            <w:rFonts w:ascii="Times New Roman" w:cs="Times New Roman" w:eastAsia="Times New Roman" w:hAnsi="Times New Roman"/>
            <w:sz w:val="11"/>
            <w:szCs w:val="11"/>
            <w:u w:val="single" w:color="auto"/>
            <w:color w:val="0000EE"/>
          </w:rPr>
          <w:t>AVROBIO, Inc. slide presentation, dated November 2020</w:t>
        </w:r>
        <w:r>
          <w:rPr>
            <w:rFonts w:ascii="Times New Roman" w:cs="Times New Roman" w:eastAsia="Times New Roman" w:hAnsi="Times New Roman"/>
            <w:sz w:val="11"/>
            <w:szCs w:val="11"/>
            <w:color w:val="0000EE"/>
          </w:rPr>
          <w:t>.</w:t>
        </w:r>
      </w:hyperlink>
    </w:p>
    <w:p>
      <w:pPr>
        <w:spacing w:after="0" w:line="78" w:lineRule="exact"/>
        <w:rPr>
          <w:sz w:val="20"/>
          <w:szCs w:val="20"/>
          <w:color w:val="auto"/>
        </w:rPr>
      </w:pPr>
    </w:p>
    <w:p>
      <w:pPr>
        <w:ind w:left="840"/>
        <w:spacing w:after="0"/>
        <w:tabs>
          <w:tab w:leader="none" w:pos="1260" w:val="left"/>
        </w:tabs>
        <w:rPr>
          <w:sz w:val="20"/>
          <w:szCs w:val="20"/>
          <w:color w:val="auto"/>
        </w:rPr>
      </w:pPr>
      <w:r>
        <w:rPr>
          <w:rFonts w:ascii="Times New Roman" w:cs="Times New Roman" w:eastAsia="Times New Roman" w:hAnsi="Times New Roman"/>
          <w:sz w:val="12"/>
          <w:szCs w:val="12"/>
          <w:color w:val="auto"/>
        </w:rPr>
        <w:t>104</w:t>
      </w:r>
      <w:r>
        <w:rPr>
          <w:sz w:val="20"/>
          <w:szCs w:val="20"/>
          <w:color w:val="auto"/>
        </w:rPr>
        <w:tab/>
      </w:r>
      <w:r>
        <w:rPr>
          <w:rFonts w:ascii="Times New Roman" w:cs="Times New Roman" w:eastAsia="Times New Roman" w:hAnsi="Times New Roman"/>
          <w:sz w:val="12"/>
          <w:szCs w:val="12"/>
          <w:color w:val="auto"/>
        </w:rPr>
        <w:t>The cover page from this Current Report on Form 8-K, formatted in Inline XBRL.</w:t>
      </w:r>
    </w:p>
    <w:p>
      <w:pPr>
        <w:sectPr>
          <w:pgSz w:w="11900" w:h="16838" w:orient="portrait"/>
          <w:cols w:equalWidth="0" w:num="1">
            <w:col w:w="9019"/>
          </w:cols>
          <w:pgMar w:left="1440" w:top="242"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285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9470" cy="28575"/>
                    </a:xfrm>
                    <a:prstGeom prst="rect">
                      <a:avLst/>
                    </a:prstGeom>
                    <a:noFill/>
                  </pic:spPr>
                </pic:pic>
              </a:graphicData>
            </a:graphic>
          </wp:anchor>
        </w:drawing>
        <w:t>SIGNATURES</w:t>
      </w:r>
    </w:p>
    <w:p>
      <w:pPr>
        <w:spacing w:after="0" w:line="154" w:lineRule="exact"/>
        <w:rPr>
          <w:sz w:val="20"/>
          <w:szCs w:val="20"/>
          <w:color w:val="auto"/>
        </w:rPr>
      </w:pPr>
    </w:p>
    <w:p>
      <w:pPr>
        <w:ind w:left="840" w:right="1339"/>
        <w:spacing w:after="0" w:line="279" w:lineRule="auto"/>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2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2"/>
          <w:szCs w:val="12"/>
          <w:color w:val="auto"/>
        </w:rPr>
        <w:t>AVROBIO, INC.</w:t>
      </w:r>
    </w:p>
    <w:p>
      <w:pPr>
        <w:spacing w:after="0" w:line="150" w:lineRule="exact"/>
        <w:rPr>
          <w:sz w:val="20"/>
          <w:szCs w:val="20"/>
          <w:color w:val="auto"/>
        </w:rPr>
      </w:pPr>
    </w:p>
    <w:p>
      <w:pPr>
        <w:ind w:left="840"/>
        <w:spacing w:after="0"/>
        <w:tabs>
          <w:tab w:leader="none" w:pos="4560" w:val="left"/>
          <w:tab w:leader="none" w:pos="4860" w:val="left"/>
        </w:tabs>
        <w:rPr>
          <w:sz w:val="20"/>
          <w:szCs w:val="20"/>
          <w:color w:val="auto"/>
        </w:rPr>
      </w:pPr>
      <w:r>
        <w:rPr>
          <w:rFonts w:ascii="Times New Roman" w:cs="Times New Roman" w:eastAsia="Times New Roman" w:hAnsi="Times New Roman"/>
          <w:sz w:val="12"/>
          <w:szCs w:val="12"/>
          <w:color w:val="auto"/>
        </w:rPr>
        <w:t>Date: November 17, 2020</w:t>
      </w:r>
      <w:r>
        <w:rPr>
          <w:sz w:val="20"/>
          <w:szCs w:val="20"/>
          <w:color w:val="auto"/>
        </w:rPr>
        <w:tab/>
      </w:r>
      <w:r>
        <w:rPr>
          <w:rFonts w:ascii="Times New Roman" w:cs="Times New Roman" w:eastAsia="Times New Roman" w:hAnsi="Times New Roman"/>
          <w:sz w:val="12"/>
          <w:szCs w:val="12"/>
          <w:color w:val="auto"/>
        </w:rPr>
        <w:t>By:</w:t>
      </w:r>
      <w:r>
        <w:rPr>
          <w:sz w:val="20"/>
          <w:szCs w:val="20"/>
          <w:color w:val="auto"/>
        </w:rPr>
        <w:tab/>
      </w:r>
      <w:r>
        <w:rPr>
          <w:rFonts w:ascii="Times New Roman" w:cs="Times New Roman" w:eastAsia="Times New Roman" w:hAnsi="Times New Roman"/>
          <w:sz w:val="11"/>
          <w:szCs w:val="11"/>
          <w:color w:val="auto"/>
        </w:rPr>
        <w:t>/s/ Geoff MacKay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3094355</wp:posOffset>
            </wp:positionH>
            <wp:positionV relativeFrom="paragraph">
              <wp:posOffset>10795</wp:posOffset>
            </wp:positionV>
            <wp:extent cx="2097405"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97405" cy="5715"/>
                    </a:xfrm>
                    <a:prstGeom prst="rect">
                      <a:avLst/>
                    </a:prstGeom>
                    <a:noFill/>
                  </pic:spPr>
                </pic:pic>
              </a:graphicData>
            </a:graphic>
          </wp:anchor>
        </w:drawing>
      </w:r>
    </w:p>
    <w:p>
      <w:pPr>
        <w:spacing w:after="0" w:line="1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Geoff MacKay</w:t>
      </w:r>
    </w:p>
    <w:p>
      <w:pPr>
        <w:spacing w:after="0" w:line="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2"/>
          <w:szCs w:val="12"/>
          <w:color w:val="auto"/>
        </w:rPr>
        <w:t>President and Chief Executive Officer</w:t>
      </w:r>
    </w:p>
    <w:p>
      <w:pPr>
        <w:sectPr>
          <w:pgSz w:w="11900" w:h="16838" w:orient="portrait"/>
          <w:cols w:equalWidth="0" w:num="1">
            <w:col w:w="9019"/>
          </w:cols>
          <w:pgMar w:left="1440" w:top="242" w:right="1440"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1148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7218680" cy="4114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1" w:name="page72"/>
    <w:bookmarkEnd w:id="7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2" w:name="page73"/>
    <w:bookmarkEnd w:id="7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3" w:name="page74"/>
    <w:bookmarkEnd w:id="7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4" w:name="page75"/>
    <w:bookmarkEnd w:id="7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5" w:name="page76"/>
    <w:bookmarkEnd w:id="7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4" w:name="page85"/>
    <w:bookmarkEnd w:id="8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5" w:name="page86"/>
    <w:bookmarkEnd w:id="8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6" w:name="page87"/>
    <w:bookmarkEnd w:id="8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7" w:name="page88"/>
    <w:bookmarkEnd w:id="8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8" w:name="page89"/>
    <w:bookmarkEnd w:id="8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9" w:name="page90"/>
    <w:bookmarkEnd w:id="8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0" w:name="page91"/>
    <w:bookmarkEnd w:id="9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1" w:name="page92"/>
    <w:bookmarkEnd w:id="9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2" w:name="page93"/>
    <w:bookmarkEnd w:id="9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4" w:name="page95"/>
    <w:bookmarkEnd w:id="9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5" w:name="page96"/>
    <w:bookmarkEnd w:id="9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6" w:name="page97"/>
    <w:bookmarkEnd w:id="9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7" w:name="page98"/>
    <w:bookmarkEnd w:id="9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8" w:name="page99"/>
    <w:bookmarkEnd w:id="9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9" w:name="page100"/>
    <w:bookmarkEnd w:id="9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0" w:name="page101"/>
    <w:bookmarkEnd w:id="10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1" w:name="page102"/>
    <w:bookmarkEnd w:id="10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2" w:name="page103"/>
    <w:bookmarkEnd w:id="10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3" w:name="page104"/>
    <w:bookmarkEnd w:id="10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4" w:name="page105"/>
    <w:bookmarkEnd w:id="10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5" w:name="page106"/>
    <w:bookmarkEnd w:id="10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6" w:name="page107"/>
    <w:bookmarkEnd w:id="10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7" w:name="page108"/>
    <w:bookmarkEnd w:id="10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0" w:name="page111"/>
    <w:bookmarkEnd w:id="1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1" w:name="page112"/>
    <w:bookmarkEnd w:id="1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2" w:name="page113"/>
    <w:bookmarkEnd w:id="1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3" w:name="page114"/>
    <w:bookmarkEnd w:id="1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4" w:name="page115"/>
    <w:bookmarkEnd w:id="1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5" w:name="page116"/>
    <w:bookmarkEnd w:id="11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6" w:name="page117"/>
    <w:bookmarkEnd w:id="11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7" w:name="page118"/>
    <w:bookmarkEnd w:id="11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3" w:name="page134"/>
    <w:bookmarkEnd w:id="13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4" w:name="page135"/>
    <w:bookmarkEnd w:id="13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5" w:name="page136"/>
    <w:bookmarkEnd w:id="13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6" w:name="page137"/>
    <w:bookmarkEnd w:id="13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7" w:name="page138"/>
    <w:bookmarkEnd w:id="13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8" w:name="page139"/>
    <w:bookmarkEnd w:id="13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9" w:name="page140"/>
    <w:bookmarkEnd w:id="13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0" w:name="page141"/>
    <w:bookmarkEnd w:id="1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1" w:name="page142"/>
    <w:bookmarkEnd w:id="14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2" w:name="page143"/>
    <w:bookmarkEnd w:id="14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3" w:name="page144"/>
    <w:bookmarkEnd w:id="14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189470"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947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4" w:name="page145"/>
    <w:bookmarkEnd w:id="14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5" w:name="page146"/>
    <w:bookmarkEnd w:id="14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6" w:name="page147"/>
    <w:bookmarkEnd w:id="14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7" w:name="page148"/>
    <w:bookmarkEnd w:id="14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8" w:name="page149"/>
    <w:bookmarkEnd w:id="14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9" w:name="page150"/>
    <w:bookmarkEnd w:id="14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0" w:name="page151"/>
    <w:bookmarkEnd w:id="15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1" w:name="page152"/>
    <w:bookmarkEnd w:id="15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2" w:name="page153"/>
    <w:bookmarkEnd w:id="15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3" w:name="page154"/>
    <w:bookmarkEnd w:id="15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4" w:name="page155"/>
    <w:bookmarkEnd w:id="15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5" w:name="page156"/>
    <w:bookmarkEnd w:id="15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6" w:name="page157"/>
    <w:bookmarkEnd w:id="15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7" w:name="page158"/>
    <w:bookmarkEnd w:id="15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8" w:name="page159"/>
    <w:bookmarkEnd w:id="15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9" w:name="page160"/>
    <w:bookmarkEnd w:id="15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42233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18680" cy="42233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2020-11-17T08:15:07Z</dcterms:created>
  <dcterms:modified xsi:type="dcterms:W3CDTF">2020-11-17T08:15:07Z</dcterms:modified>
</cp:coreProperties>
</file>