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580" w:hanging="3652"/>
        <w:spacing w:after="0" w:line="360" w:lineRule="auto"/>
        <w:tabs>
          <w:tab w:leader="none" w:pos="51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318"/>
        </w:trPr>
        <w:tc>
          <w:tcPr>
            <w:tcW w:w="404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4340" w:type="dxa"/>
            <w:vAlign w:val="bottom"/>
          </w:tcPr>
          <w:p>
            <w:pPr>
              <w:jc w:val="center"/>
              <w:ind w:right="189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98"/>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One Kendall Square</w:t>
            </w:r>
          </w:p>
        </w:tc>
        <w:tc>
          <w:tcPr>
            <w:tcW w:w="3080" w:type="dxa"/>
            <w:vAlign w:val="bottom"/>
          </w:tcPr>
          <w:p>
            <w:pPr>
              <w:spacing w:after="0"/>
              <w:rPr>
                <w:sz w:val="22"/>
                <w:szCs w:val="22"/>
                <w:color w:val="auto"/>
              </w:rPr>
            </w:pPr>
          </w:p>
        </w:tc>
      </w:tr>
      <w:tr>
        <w:trPr>
          <w:trHeight w:val="216"/>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89"/>
              </w:rPr>
              <w:t>Building 300, Suite 201</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212"/>
        </w:trPr>
        <w:tc>
          <w:tcPr>
            <w:tcW w:w="4340" w:type="dxa"/>
            <w:vAlign w:val="bottom"/>
          </w:tcPr>
          <w:p>
            <w:pPr>
              <w:jc w:val="center"/>
              <w:ind w:right="1878"/>
              <w:spacing w:after="0"/>
              <w:rPr>
                <w:sz w:val="20"/>
                <w:szCs w:val="20"/>
                <w:color w:val="auto"/>
              </w:rPr>
            </w:pPr>
            <w:r>
              <w:rPr>
                <w:rFonts w:ascii="Arial" w:cs="Arial" w:eastAsia="Arial" w:hAnsi="Arial"/>
                <w:sz w:val="18"/>
                <w:szCs w:val="18"/>
                <w:b w:val="1"/>
                <w:bCs w:val="1"/>
                <w:color w:val="auto"/>
                <w:w w:val="95"/>
              </w:rPr>
              <w:t>Cambridge, MA</w:t>
            </w:r>
          </w:p>
        </w:tc>
        <w:tc>
          <w:tcPr>
            <w:tcW w:w="3080" w:type="dxa"/>
            <w:vAlign w:val="bottom"/>
          </w:tcPr>
          <w:p>
            <w:pPr>
              <w:spacing w:after="0"/>
              <w:rPr>
                <w:sz w:val="18"/>
                <w:szCs w:val="18"/>
                <w:color w:val="auto"/>
              </w:rPr>
            </w:pPr>
          </w:p>
        </w:tc>
      </w:tr>
      <w:tr>
        <w:trPr>
          <w:trHeight w:val="186"/>
        </w:trPr>
        <w:tc>
          <w:tcPr>
            <w:tcW w:w="4340" w:type="dxa"/>
            <w:vAlign w:val="bottom"/>
          </w:tcPr>
          <w:p>
            <w:pPr>
              <w:jc w:val="center"/>
              <w:ind w:right="18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vMerge w:val="restart"/>
          </w:tcPr>
          <w:p>
            <w:pPr>
              <w:spacing w:after="0"/>
              <w:rPr>
                <w:sz w:val="14"/>
                <w:szCs w:val="14"/>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50"/>
        </w:trPr>
        <w:tc>
          <w:tcPr>
            <w:tcW w:w="4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AVRO</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80" w:type="dxa"/>
            <w:vAlign w:val="bottom"/>
          </w:tcPr>
          <w:p>
            <w:pPr>
              <w:ind w:left="326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29, 2021, the registrant had 43,652,470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FINANCIAL INFORMATION</w:t>
        </w:r>
      </w:hyperlink>
    </w:p>
    <w:p>
      <w:pPr>
        <w:spacing w:after="0" w:line="27"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Operations and Comprehensive Loss</w:t>
        </w:r>
      </w:hyperlink>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Statements o</w:t>
        </w:r>
        <w:r>
          <w:rPr>
            <w:rFonts w:ascii="Arial" w:cs="Arial" w:eastAsia="Arial" w:hAnsi="Arial"/>
            <w:sz w:val="21"/>
            <w:szCs w:val="21"/>
            <w:u w:val="single" w:color="auto"/>
            <w:color w:val="0000EE"/>
          </w:rPr>
          <w:t>f</w:t>
        </w:r>
        <w:r>
          <w:rPr>
            <w:rFonts w:ascii="Arial" w:cs="Arial" w:eastAsia="Arial" w:hAnsi="Arial"/>
            <w:sz w:val="18"/>
            <w:szCs w:val="18"/>
            <w:u w:val="single" w:color="auto"/>
            <w:color w:val="0000EE"/>
          </w:rPr>
          <w:t xml:space="preserve"> Stockholders’ Equity</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Statements of Cash Flows</w:t>
        </w:r>
      </w:hyperlink>
    </w:p>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w:t>
        </w:r>
      </w:hyperlink>
    </w:p>
    <w:p>
      <w:pPr>
        <w:spacing w:after="0" w:line="23" w:lineRule="exact"/>
        <w:rPr>
          <w:sz w:val="20"/>
          <w:szCs w:val="20"/>
          <w:color w:val="auto"/>
        </w:rPr>
      </w:pPr>
    </w:p>
    <w:p>
      <w:pPr>
        <w:ind w:right="2000"/>
        <w:spacing w:after="0" w:line="266"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Controls and Procedures</w:t>
        </w:r>
      </w:hyperlink>
    </w:p>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Unregistered Sales of Equity Securities and Use of Proceeds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Defaults Upon Senior Securities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Mine Safety Disclosures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3" w:lineRule="exact"/>
        <w:rPr>
          <w:rFonts w:ascii="Arial" w:cs="Arial" w:eastAsia="Arial" w:hAnsi="Arial"/>
          <w:sz w:val="18"/>
          <w:szCs w:val="18"/>
          <w:u w:val="single" w:color="auto"/>
          <w:color w:val="0000EE"/>
        </w:rPr>
      </w:pPr>
    </w:p>
    <w:p>
      <w:pPr>
        <w:jc w:val="center"/>
        <w:ind w:right="36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-1010285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351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3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18</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28</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29</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29</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29</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77</w:t>
      </w:r>
    </w:p>
    <w:p>
      <w:pPr>
        <w:sectPr>
          <w:pgSz w:w="11900" w:h="16838" w:orient="portrait"/>
          <w:cols w:equalWidth="0" w:num="3">
            <w:col w:w="760" w:space="720"/>
            <w:col w:w="8460" w:space="720"/>
            <w:col w:w="380"/>
          </w:cols>
          <w:pgMar w:left="420" w:top="33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880" w:right="6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170"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term loan agreement contains restrictions that potentially limit our flexibility in operating our business. In addition, we may be required to make a prepayment or repay our outstanding indebtedness earlier than we expect.</w:t>
      </w:r>
    </w:p>
    <w:p>
      <w:pPr>
        <w:spacing w:after="0" w:line="75" w:lineRule="exact"/>
        <w:rPr>
          <w:rFonts w:ascii="Arial" w:cs="Arial" w:eastAsia="Arial" w:hAnsi="Arial"/>
          <w:sz w:val="18"/>
          <w:szCs w:val="18"/>
          <w:color w:val="auto"/>
        </w:rPr>
      </w:pPr>
    </w:p>
    <w:p>
      <w:pPr>
        <w:ind w:left="880" w:right="180" w:hanging="373"/>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the ongoing coronavirus disease (COVID-19) pandemic or similar public health crises have caused and may continue to cause a disruption of the development of our product candidates and adversely impact our business.</w:t>
      </w:r>
    </w:p>
    <w:p>
      <w:pPr>
        <w:spacing w:after="0" w:line="51"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57"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anticipated.</w:t>
      </w:r>
    </w:p>
    <w:p>
      <w:pPr>
        <w:spacing w:after="0" w:line="75"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approach for AVR-RD-01 for the treatment of Fabry disease recently changed, and there can be no assurance that any new regulatory pathway we propose to regulatory agencies will be accepted.</w:t>
      </w:r>
    </w:p>
    <w:p>
      <w:pPr>
        <w:spacing w:after="0" w:line="75"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certain of our clinical trials, including the Phase 2 clinical trial of AVR-RD-01 for Fabry disease and the Phase 1/2 clinical trial of AVR-RD-02 for Gaucher disease type 1, utilize our commercial-scale plato</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75" w:lineRule="exact"/>
        <w:rPr>
          <w:rFonts w:ascii="Arial" w:cs="Arial" w:eastAsia="Arial" w:hAnsi="Arial"/>
          <w:sz w:val="18"/>
          <w:szCs w:val="18"/>
          <w:color w:val="auto"/>
        </w:rPr>
      </w:pPr>
    </w:p>
    <w:p>
      <w:pPr>
        <w:ind w:left="880" w:right="4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70" w:lineRule="exact"/>
        <w:rPr>
          <w:rFonts w:ascii="Arial" w:cs="Arial" w:eastAsia="Arial" w:hAnsi="Arial"/>
          <w:sz w:val="17"/>
          <w:szCs w:val="17"/>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a limited number of suppliers for some of our components and materials used in our product candidates.</w:t>
      </w:r>
    </w:p>
    <w:p>
      <w:pPr>
        <w:spacing w:after="0" w:line="15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57" w:lineRule="exact"/>
        <w:rPr>
          <w:rFonts w:ascii="Arial" w:cs="Arial" w:eastAsia="Arial" w:hAnsi="Arial"/>
          <w:sz w:val="18"/>
          <w:szCs w:val="18"/>
          <w:color w:val="auto"/>
        </w:rPr>
      </w:pPr>
    </w:p>
    <w:p>
      <w:pPr>
        <w:ind w:left="880" w:right="280" w:hanging="373"/>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AVR-RD-02 for our Gaucher type 1 program and AVR-RD-05 for our Hunter program, but do not own any patents or patent applications covering these product candidates.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 w:name="page4"/>
    <w:bookmarkEnd w:id="3"/>
    <w:p>
      <w:pPr>
        <w:ind w:left="880" w:hanging="373"/>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8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jc w:val="both"/>
        <w:ind w:left="880" w:right="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75" w:lineRule="exact"/>
        <w:rPr>
          <w:rFonts w:ascii="Arial" w:cs="Arial" w:eastAsia="Arial" w:hAnsi="Arial"/>
          <w:sz w:val="18"/>
          <w:szCs w:val="18"/>
          <w:color w:val="auto"/>
        </w:rPr>
      </w:pPr>
    </w:p>
    <w:p>
      <w:pPr>
        <w:ind w:left="880" w:right="2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880" w:right="380" w:hanging="373"/>
        <w:spacing w:after="0" w:line="34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regulatory pathway for our product candidates and planned interactions with regulatory agencies;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other lentiviral-based gene therapy companies;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the terms of our term loan agreement;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avoid any findings of material weaknesses or significant deficiencies in the future;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93"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13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All brand names or trademarks appearing in this Quarterly Report are the property of their respective holders. Unless the context requires otherwise, references in this Quarterly Report to the “Company,” “we,” “us,” and “our” refer to AVROBIO, Inc.</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201,369</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2,966</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60"/>
              <w:spacing w:after="0"/>
              <w:rPr>
                <w:sz w:val="20"/>
                <w:szCs w:val="20"/>
                <w:color w:val="auto"/>
              </w:rPr>
            </w:pPr>
            <w:r>
              <w:rPr>
                <w:rFonts w:ascii="Arial" w:cs="Arial" w:eastAsia="Arial" w:hAnsi="Arial"/>
                <w:sz w:val="18"/>
                <w:szCs w:val="18"/>
                <w:color w:val="auto"/>
              </w:rPr>
              <w:t>Preferred stock, $0.0001 par value; 10,000 shares authorized; no shares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issued or outstanding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150,000 shares authorized; 43,632 and 41,569 shares issued and</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September 30, 2021 and December 31, 2020, respectively</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(355,315)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(264,416)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23,043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28,509</w:t>
            </w:r>
          </w:p>
        </w:tc>
        <w:tc>
          <w:tcPr>
            <w:tcW w:w="16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64,114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26,765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(90,879)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(32,613)</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(90,899)</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(90,899)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1"/>
              </w:rPr>
              <w:t>Weighted-average number of common shares outstanding — basic</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and diluted</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20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Common Stock</w:t>
            </w: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237"/>
        </w:trPr>
        <w:tc>
          <w:tcPr>
            <w:tcW w:w="3000" w:type="dxa"/>
            <w:vAlign w:val="bottom"/>
          </w:tcPr>
          <w:p>
            <w:pPr>
              <w:spacing w:after="0"/>
              <w:rPr>
                <w:sz w:val="20"/>
                <w:szCs w:val="20"/>
                <w:color w:val="auto"/>
              </w:rPr>
            </w:pPr>
          </w:p>
        </w:tc>
        <w:tc>
          <w:tcPr>
            <w:tcW w:w="1400" w:type="dxa"/>
            <w:vAlign w:val="bottom"/>
          </w:tcPr>
          <w:p>
            <w:pPr>
              <w:jc w:val="right"/>
              <w:ind w:right="4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16"/>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Equity</w:t>
            </w:r>
          </w:p>
        </w:tc>
      </w:tr>
      <w:tr>
        <w:trPr>
          <w:trHeight w:val="148"/>
        </w:trPr>
        <w:tc>
          <w:tcPr>
            <w:tcW w:w="30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June 30, 2020</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36,432</w:t>
            </w:r>
          </w:p>
        </w:tc>
        <w:tc>
          <w:tcPr>
            <w:tcW w:w="640" w:type="dxa"/>
            <w:vAlign w:val="bottom"/>
            <w:gridSpan w:val="2"/>
            <w:shd w:val="clear" w:color="auto" w:fill="CFF0FC"/>
          </w:tcPr>
          <w:p>
            <w:pPr>
              <w:jc w:val="right"/>
              <w:ind w:right="268"/>
              <w:spacing w:after="0"/>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439,288</w:t>
            </w:r>
          </w:p>
        </w:tc>
        <w:tc>
          <w:tcPr>
            <w:tcW w:w="600" w:type="dxa"/>
            <w:vAlign w:val="bottom"/>
            <w:gridSpan w:val="2"/>
            <w:shd w:val="clear" w:color="auto" w:fill="CFF0FC"/>
          </w:tcPr>
          <w:p>
            <w:pPr>
              <w:jc w:val="right"/>
              <w:ind w:right="208"/>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(199,505)</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239,787</w:t>
            </w:r>
          </w:p>
        </w:tc>
        <w:tc>
          <w:tcPr>
            <w:tcW w:w="120" w:type="dxa"/>
            <w:vAlign w:val="bottom"/>
            <w:shd w:val="clear" w:color="auto" w:fill="CFF0FC"/>
          </w:tcPr>
          <w:p>
            <w:pPr>
              <w:spacing w:after="0"/>
              <w:rPr>
                <w:sz w:val="12"/>
                <w:szCs w:val="12"/>
                <w:color w:val="auto"/>
              </w:rPr>
            </w:pPr>
          </w:p>
        </w:tc>
      </w:tr>
      <w:tr>
        <w:trPr>
          <w:trHeight w:val="149"/>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4,805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4,805</w:t>
            </w:r>
          </w:p>
        </w:tc>
        <w:tc>
          <w:tcPr>
            <w:tcW w:w="12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1400" w:type="dxa"/>
            <w:vAlign w:val="bottom"/>
          </w:tcPr>
          <w:p>
            <w:pPr>
              <w:jc w:val="right"/>
              <w:spacing w:after="0"/>
              <w:rPr>
                <w:sz w:val="20"/>
                <w:szCs w:val="20"/>
                <w:color w:val="auto"/>
              </w:rPr>
            </w:pPr>
            <w:r>
              <w:rPr>
                <w:rFonts w:ascii="Arial" w:cs="Arial" w:eastAsia="Arial" w:hAnsi="Arial"/>
                <w:sz w:val="13"/>
                <w:szCs w:val="13"/>
                <w:color w:val="auto"/>
              </w:rPr>
              <w:t>10</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(36,780)</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(36,780)</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September 30, 2020</w:t>
            </w: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36,449</w:t>
            </w:r>
          </w:p>
        </w:tc>
        <w:tc>
          <w:tcPr>
            <w:tcW w:w="2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444,153</w:t>
            </w:r>
          </w:p>
        </w:tc>
        <w:tc>
          <w:tcPr>
            <w:tcW w:w="2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(236,285)</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207,872</w:t>
            </w:r>
          </w:p>
        </w:tc>
        <w:tc>
          <w:tcPr>
            <w:tcW w:w="12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2"/>
              </w:rPr>
              <w:t>Nine Months Ended September 30, 2020</w:t>
            </w: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237"/>
        </w:trPr>
        <w:tc>
          <w:tcPr>
            <w:tcW w:w="300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3"/>
                <w:szCs w:val="13"/>
                <w:b w:val="1"/>
                <w:bCs w:val="1"/>
                <w:color w:val="auto"/>
              </w:rPr>
              <w:t>Amount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Equity</w:t>
            </w:r>
          </w:p>
        </w:tc>
      </w:tr>
      <w:tr>
        <w:trPr>
          <w:trHeight w:val="148"/>
        </w:trPr>
        <w:tc>
          <w:tcPr>
            <w:tcW w:w="3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2019</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31,643</w:t>
            </w:r>
          </w:p>
        </w:tc>
        <w:tc>
          <w:tcPr>
            <w:tcW w:w="1300" w:type="dxa"/>
            <w:vAlign w:val="bottom"/>
            <w:gridSpan w:val="2"/>
            <w:shd w:val="clear" w:color="auto" w:fill="CFF0FC"/>
          </w:tcPr>
          <w:p>
            <w:pPr>
              <w:jc w:val="right"/>
              <w:ind w:right="922"/>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330,714</w:t>
            </w:r>
          </w:p>
        </w:tc>
        <w:tc>
          <w:tcPr>
            <w:tcW w:w="580" w:type="dxa"/>
            <w:vAlign w:val="bottom"/>
            <w:gridSpan w:val="2"/>
            <w:shd w:val="clear" w:color="auto" w:fill="CFF0FC"/>
          </w:tcPr>
          <w:p>
            <w:pPr>
              <w:jc w:val="right"/>
              <w:ind w:right="188"/>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(144,704)</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186,013</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11,526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11,526</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tcPr>
          <w:p>
            <w:pPr>
              <w:jc w:val="right"/>
              <w:spacing w:after="0"/>
              <w:rPr>
                <w:sz w:val="20"/>
                <w:szCs w:val="20"/>
                <w:color w:val="auto"/>
              </w:rPr>
            </w:pPr>
            <w:r>
              <w:rPr>
                <w:rFonts w:ascii="Arial" w:cs="Arial" w:eastAsia="Arial" w:hAnsi="Arial"/>
                <w:sz w:val="13"/>
                <w:szCs w:val="13"/>
                <w:color w:val="auto"/>
              </w:rPr>
              <w:t>31</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upon public offering,</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of offering costs of $419</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4,350</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93,627</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93,628</w:t>
            </w:r>
          </w:p>
        </w:tc>
        <w:tc>
          <w:tcPr>
            <w:tcW w:w="120" w:type="dxa"/>
            <w:vAlign w:val="bottom"/>
            <w:shd w:val="clear" w:color="auto" w:fill="CFF0FC"/>
          </w:tcPr>
          <w:p>
            <w:pPr>
              <w:spacing w:after="0"/>
              <w:rPr>
                <w:sz w:val="12"/>
                <w:szCs w:val="12"/>
                <w:color w:val="auto"/>
              </w:rPr>
            </w:pPr>
          </w:p>
        </w:tc>
      </w:tr>
      <w:tr>
        <w:trPr>
          <w:trHeight w:val="134"/>
        </w:trPr>
        <w:tc>
          <w:tcPr>
            <w:tcW w:w="396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Issuance of common stock under ATM facility, net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of offering costs of $67</w:t>
            </w:r>
          </w:p>
        </w:tc>
        <w:tc>
          <w:tcPr>
            <w:tcW w:w="440" w:type="dxa"/>
            <w:vAlign w:val="bottom"/>
          </w:tcPr>
          <w:p>
            <w:pPr>
              <w:jc w:val="right"/>
              <w:spacing w:after="0"/>
              <w:rPr>
                <w:sz w:val="20"/>
                <w:szCs w:val="20"/>
                <w:color w:val="auto"/>
              </w:rPr>
            </w:pPr>
            <w:r>
              <w:rPr>
                <w:rFonts w:ascii="Arial" w:cs="Arial" w:eastAsia="Arial" w:hAnsi="Arial"/>
                <w:sz w:val="13"/>
                <w:szCs w:val="13"/>
                <w:color w:val="auto"/>
              </w:rPr>
              <w:t>384</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8,130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8,130</w:t>
            </w:r>
          </w:p>
        </w:tc>
        <w:tc>
          <w:tcPr>
            <w:tcW w:w="120" w:type="dxa"/>
            <w:vAlign w:val="bottom"/>
          </w:tcPr>
          <w:p>
            <w:pPr>
              <w:spacing w:after="0"/>
              <w:rPr>
                <w:sz w:val="12"/>
                <w:szCs w:val="12"/>
                <w:color w:val="auto"/>
              </w:rPr>
            </w:pP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the 2018</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(91,581)</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(91,581)</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September 30, 2020</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36,449</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ind w:right="922"/>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444,153</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(236,285)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207,872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3"/>
                <w:szCs w:val="13"/>
                <w:b w:val="1"/>
                <w:bCs w:val="1"/>
                <w:color w:val="auto"/>
              </w:rPr>
              <w:t>Common Stock</w:t>
            </w:r>
          </w:p>
        </w:tc>
        <w:tc>
          <w:tcPr>
            <w:tcW w:w="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960" w:type="dxa"/>
            <w:vAlign w:val="bottom"/>
          </w:tcPr>
          <w:p>
            <w:pPr>
              <w:ind w:left="500"/>
              <w:spacing w:after="0" w:line="142"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42"/>
              <w:spacing w:after="0" w:line="142" w:lineRule="exact"/>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800"/>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8"/>
        </w:trPr>
        <w:tc>
          <w:tcPr>
            <w:tcW w:w="3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Balance as of June 30, 2021</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43,623</w:t>
            </w:r>
          </w:p>
        </w:tc>
        <w:tc>
          <w:tcPr>
            <w:tcW w:w="1280" w:type="dxa"/>
            <w:vAlign w:val="bottom"/>
            <w:gridSpan w:val="2"/>
            <w:shd w:val="clear" w:color="auto" w:fill="CFF0FC"/>
          </w:tcPr>
          <w:p>
            <w:pPr>
              <w:jc w:val="right"/>
              <w:ind w:right="902"/>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543,690</w:t>
            </w:r>
          </w:p>
        </w:tc>
        <w:tc>
          <w:tcPr>
            <w:tcW w:w="600" w:type="dxa"/>
            <w:vAlign w:val="bottom"/>
            <w:gridSpan w:val="2"/>
            <w:shd w:val="clear" w:color="auto" w:fill="CFF0FC"/>
          </w:tcPr>
          <w:p>
            <w:pPr>
              <w:jc w:val="right"/>
              <w:ind w:right="208"/>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(322,702)</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220,992</w:t>
            </w:r>
          </w:p>
        </w:tc>
        <w:tc>
          <w:tcPr>
            <w:tcW w:w="120" w:type="dxa"/>
            <w:vAlign w:val="bottom"/>
            <w:shd w:val="clear" w:color="auto" w:fill="CFF0FC"/>
          </w:tcPr>
          <w:p>
            <w:pPr>
              <w:spacing w:after="0"/>
              <w:rPr>
                <w:sz w:val="12"/>
                <w:szCs w:val="12"/>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5,168</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5,168</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(32,613)</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(32,613)</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September 30, 2021</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43,632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ind w:right="902"/>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548,880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(355,315)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193,569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2"/>
              </w:rPr>
              <w:t>Nine Months Ended September 30, 2021</w:t>
            </w: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37"/>
        </w:trPr>
        <w:tc>
          <w:tcPr>
            <w:tcW w:w="3000" w:type="dxa"/>
            <w:vAlign w:val="bottom"/>
          </w:tcPr>
          <w:p>
            <w:pPr>
              <w:spacing w:after="0"/>
              <w:rPr>
                <w:sz w:val="11"/>
                <w:szCs w:val="11"/>
                <w:color w:val="auto"/>
              </w:rPr>
            </w:pPr>
          </w:p>
        </w:tc>
        <w:tc>
          <w:tcPr>
            <w:tcW w:w="960" w:type="dxa"/>
            <w:vAlign w:val="bottom"/>
          </w:tcPr>
          <w:p>
            <w:pPr>
              <w:ind w:left="500"/>
              <w:spacing w:after="0" w:line="138"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62"/>
              <w:spacing w:after="0" w:line="138" w:lineRule="exact"/>
              <w:rPr>
                <w:sz w:val="20"/>
                <w:szCs w:val="20"/>
                <w:color w:val="auto"/>
              </w:rPr>
            </w:pPr>
            <w:r>
              <w:rPr>
                <w:rFonts w:ascii="Arial" w:cs="Arial" w:eastAsia="Arial" w:hAnsi="Arial"/>
                <w:sz w:val="13"/>
                <w:szCs w:val="13"/>
                <w:b w:val="1"/>
                <w:bCs w:val="1"/>
                <w:color w:val="auto"/>
              </w:rPr>
              <w:t>Amount</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137"/>
              <w:spacing w:after="0" w:line="138" w:lineRule="exact"/>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jc w:val="right"/>
              <w:ind w:right="800"/>
              <w:spacing w:after="0" w:line="138"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1"/>
                <w:szCs w:val="11"/>
                <w:color w:val="auto"/>
              </w:rPr>
            </w:pPr>
          </w:p>
        </w:tc>
        <w:tc>
          <w:tcPr>
            <w:tcW w:w="134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0"/>
              </w:rPr>
              <w:t>Equity</w:t>
            </w:r>
          </w:p>
        </w:tc>
      </w:tr>
      <w:tr>
        <w:trPr>
          <w:trHeight w:val="153"/>
        </w:trPr>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Balance as of December 31, 2020</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41,569</w:t>
            </w:r>
          </w:p>
        </w:tc>
        <w:tc>
          <w:tcPr>
            <w:tcW w:w="1300" w:type="dxa"/>
            <w:vAlign w:val="bottom"/>
            <w:gridSpan w:val="2"/>
          </w:tcPr>
          <w:p>
            <w:pPr>
              <w:jc w:val="right"/>
              <w:ind w:right="922"/>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4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518,756</w:t>
            </w:r>
          </w:p>
        </w:tc>
        <w:tc>
          <w:tcPr>
            <w:tcW w:w="580" w:type="dxa"/>
            <w:vAlign w:val="bottom"/>
            <w:gridSpan w:val="2"/>
          </w:tcPr>
          <w:p>
            <w:pPr>
              <w:jc w:val="right"/>
              <w:ind w:right="188"/>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(264,416)</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254,344</w:t>
            </w:r>
          </w:p>
        </w:tc>
        <w:tc>
          <w:tcPr>
            <w:tcW w:w="120" w:type="dxa"/>
            <w:vAlign w:val="bottom"/>
          </w:tcPr>
          <w:p>
            <w:pPr>
              <w:spacing w:after="0"/>
              <w:rPr>
                <w:sz w:val="13"/>
                <w:szCs w:val="13"/>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14,494</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14,494</w:t>
            </w:r>
          </w:p>
        </w:tc>
        <w:tc>
          <w:tcPr>
            <w:tcW w:w="120" w:type="dxa"/>
            <w:vAlign w:val="bottom"/>
            <w:shd w:val="clear" w:color="auto" w:fill="CFF0FC"/>
          </w:tcPr>
          <w:p>
            <w:pPr>
              <w:spacing w:after="0"/>
              <w:rPr>
                <w:sz w:val="12"/>
                <w:szCs w:val="12"/>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tcPr>
          <w:p>
            <w:pPr>
              <w:jc w:val="right"/>
              <w:spacing w:after="0"/>
              <w:rPr>
                <w:sz w:val="20"/>
                <w:szCs w:val="20"/>
                <w:color w:val="auto"/>
              </w:rPr>
            </w:pPr>
            <w:r>
              <w:rPr>
                <w:rFonts w:ascii="Arial" w:cs="Arial" w:eastAsia="Arial" w:hAnsi="Arial"/>
                <w:sz w:val="13"/>
                <w:szCs w:val="13"/>
                <w:color w:val="auto"/>
              </w:rPr>
              <w:t>206</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872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872</w:t>
            </w:r>
          </w:p>
        </w:tc>
        <w:tc>
          <w:tcPr>
            <w:tcW w:w="120" w:type="dxa"/>
            <w:vAlign w:val="bottom"/>
          </w:tcPr>
          <w:p>
            <w:pPr>
              <w:spacing w:after="0"/>
              <w:rPr>
                <w:sz w:val="12"/>
                <w:szCs w:val="12"/>
                <w:color w:val="auto"/>
              </w:rPr>
            </w:pP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ATM facility, net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of offering costs of $67</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1,829</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14,550</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14,550</w:t>
            </w:r>
          </w:p>
        </w:tc>
        <w:tc>
          <w:tcPr>
            <w:tcW w:w="120" w:type="dxa"/>
            <w:vAlign w:val="bottom"/>
            <w:shd w:val="clear" w:color="auto" w:fill="CFF0FC"/>
          </w:tcPr>
          <w:p>
            <w:pPr>
              <w:spacing w:after="0"/>
              <w:rPr>
                <w:sz w:val="12"/>
                <w:szCs w:val="12"/>
                <w:color w:val="auto"/>
              </w:rPr>
            </w:pPr>
          </w:p>
        </w:tc>
      </w:tr>
      <w:tr>
        <w:trPr>
          <w:trHeight w:val="134"/>
        </w:trPr>
        <w:tc>
          <w:tcPr>
            <w:tcW w:w="396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Issuance of common stock under the 2018</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3"/>
                <w:szCs w:val="13"/>
                <w:color w:val="auto"/>
              </w:rPr>
              <w:t>28</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(90,899)</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(90,899)</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September 30, 2021</w:t>
            </w:r>
          </w:p>
        </w:tc>
        <w:tc>
          <w:tcPr>
            <w:tcW w:w="9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43,632</w:t>
            </w:r>
          </w:p>
        </w:tc>
        <w:tc>
          <w:tcPr>
            <w:tcW w:w="2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922"/>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548,880</w:t>
            </w:r>
          </w:p>
        </w:tc>
        <w:tc>
          <w:tcPr>
            <w:tcW w:w="2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(355,315)</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193,569</w:t>
            </w:r>
          </w:p>
        </w:tc>
        <w:tc>
          <w:tcPr>
            <w:tcW w:w="12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(90,899)</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(91,581)</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(2,729)</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5,566</w:t>
            </w:r>
          </w:p>
        </w:tc>
        <w:tc>
          <w:tcPr>
            <w:tcW w:w="3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(72,128)</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(68,315)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(1,611)</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public offering,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net of offering costs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shares under ATM facility, net of offering costs paid</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ESPP shares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15,426</w:t>
            </w:r>
          </w:p>
        </w:tc>
        <w:tc>
          <w:tcPr>
            <w:tcW w:w="3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101,914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(58,313)</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260,174</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187,535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201,861</w:t>
            </w: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220,038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8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160" w:type="dxa"/>
            <w:vAlign w:val="bottom"/>
          </w:tcPr>
          <w:p>
            <w:pPr>
              <w:spacing w:after="0"/>
              <w:rPr>
                <w:sz w:val="20"/>
                <w:szCs w:val="20"/>
                <w:color w:val="auto"/>
              </w:rPr>
            </w:pPr>
            <w:r>
              <w:rPr>
                <w:rFonts w:ascii="Arial" w:cs="Arial" w:eastAsia="Arial" w:hAnsi="Arial"/>
                <w:sz w:val="18"/>
                <w:szCs w:val="18"/>
                <w:b w:val="1"/>
                <w:bCs w:val="1"/>
                <w:color w:val="auto"/>
                <w:w w:val="91"/>
              </w:rPr>
              <w:t>Reconciliation of cash, cash equivalents and restricted cash reported within the condensed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201,369</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219,546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201,861</w:t>
            </w: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220,038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60" w:firstLine="510"/>
        <w:spacing w:after="0" w:line="258" w:lineRule="auto"/>
        <w:rPr>
          <w:sz w:val="20"/>
          <w:szCs w:val="20"/>
          <w:color w:val="auto"/>
        </w:rPr>
      </w:pPr>
      <w:r>
        <w:rPr>
          <w:rFonts w:ascii="Arial" w:cs="Arial" w:eastAsia="Arial" w:hAnsi="Arial"/>
          <w:sz w:val="18"/>
          <w:szCs w:val="18"/>
          <w:color w:val="auto"/>
        </w:rPr>
        <w:t>The Company is subject to risks and uncertainties common to clinical-stage companies in the biotechnology industry, including but not limited to, risks associated with completing preclinical studies and clinical trials, developing and scaling a clinical and commercial supply chain,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18" w:lineRule="exact"/>
        <w:rPr>
          <w:sz w:val="20"/>
          <w:szCs w:val="20"/>
          <w:color w:val="auto"/>
        </w:rPr>
      </w:pPr>
    </w:p>
    <w:p>
      <w:pPr>
        <w:ind w:firstLine="510"/>
        <w:spacing w:after="0" w:line="274" w:lineRule="auto"/>
        <w:rPr>
          <w:sz w:val="20"/>
          <w:szCs w:val="20"/>
          <w:color w:val="auto"/>
        </w:rPr>
      </w:pPr>
      <w:r>
        <w:rPr>
          <w:rFonts w:ascii="Arial" w:cs="Arial" w:eastAsia="Arial" w:hAnsi="Arial"/>
          <w:sz w:val="17"/>
          <w:szCs w:val="17"/>
          <w:color w:val="auto"/>
        </w:rPr>
        <w:t>The Company has incurred recurring losses since its inception, including net losses of $90,899 and $91,581 for the nine months ended September 30, 2021 and 2020, respectively. In addition, as of September 30, 2021, the Company had an accumulated deficit of $355,315. The Company has primarily funded these losses through the proceeds from sales of common and preferred stock. Although the Company has incurred recurring losses and expects to continue to incur losses for the foreseeable future, the Company expects that its existing cash and cash equivalents on hand as of September 30, 2021 of $201,369 will be sufficient to fund current planned operations and capital expenditure requirements for at least the next twelve months from the filing date of this Quarterly Report on Form 10-Q with the Securities and Exchange Commission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7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unaudited condensed consolidated financial statements have been prepared on the same basis as the audited annual consolidated financial statements as of and for the year ended December 31, 2020, and, in the opinion of management, reflect all adjustments, consisting of normal recurring adjustments, necessary for the fair presentation of the Company’s financial position as of September 30, 2021, and the results of its operations for the three and nine months ended September 30, 2021 and 2020, its statements of stockholders’ equity for the three and nine months ended September 30, 2021 and 2020 and its statement of cash flows for the nine months ended September 30, 2021 and 2020.</w:t>
      </w:r>
    </w:p>
    <w:p>
      <w:pPr>
        <w:spacing w:after="0" w:line="1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results for the three and nine months ended September 30, 2021 are not necessarily indicative of the results to be expected for the year ending December 31, 2021, any other interim periods, or any future year or period. These interim financial statements should be read in conjunction with the audited financial statements as of and for the year ended December 31, 2020, and the notes thereto, which are included in the Company’s Annual Report on Form 10-K for the year ended December 31, 2020, filed with the SEC on March 18, 2021.</w:t>
      </w:r>
    </w:p>
    <w:p>
      <w:pPr>
        <w:spacing w:after="0" w:line="18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The unaudited condensed consolidated financial statements reflect the application of certain significant accounting policies as described below and elsewhere in these notes to the unaudited condensed consolidated financial statements. As of September 30, 2021, there have been no changes to the Company’s significant accounting policies as described in the Company’s Annual Report on Form 10-K for the fiscal year ended December 31, 2020.</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16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the fair value of share-based awards issued and the estimation of accrued research and development expenses.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6"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 xml:space="preserve">Prior to the adoption of Accounting Standards Update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the measurement date for non-employee awards was generally the date the services are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6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Given the absence of an active market for the Company’s common stock prior to its initial public offering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likelihood of achieving a liquidity event for the common stock underlying the stock-based awards, such as an IPO or sale of the Company, given prevailing market conditions.</w:t>
      </w:r>
    </w:p>
    <w:p>
      <w:pPr>
        <w:spacing w:after="0" w:line="21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2020, the Company determined the volatility for awards granted up through December 31, 2020 based on an analysis of reported data for a group of guideline companies that issued options with substantially similar terms. Beginning with options granted in 2021, the Company estimates its expected stock volatility using a weighted-average calculation based on the historical volatility of the Company and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w:t>
      </w:r>
      <w:r>
        <w:rPr>
          <w:rFonts w:ascii="Arial" w:cs="Arial" w:eastAsia="Arial" w:hAnsi="Arial"/>
          <w:sz w:val="16"/>
          <w:szCs w:val="16"/>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9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November 2019, the FASB issued ASU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or ASU 2019-11. ASU 2019-11 is an accounting pronouncement that amends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The amendments update guidance on reporting credit losses for financial assets. These amendments affect loans,</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non-EGCs for fiscal years beginning after December 15, 2020 and interim periods within those fiscal years and will be effective for the Company for fiscal years beginning after December 15, 2021 and interim periods beginning after December 15, 2022, assuming the Company remains an EGC. Early adoption is permitted. The Company is currently evaluating the effects the adoption of ASU 2019-12 may have on its financial statements.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The next anticipated payment milestones under the MPSII License Agreement include $2,000, which would become due following the date of regulatory approval of the clinical trial application for the investigator-sponsored Phase 1/2 clinical trial sponsored by UoM, and $4,000, upon the dosing of the first patient in the investigator-sponsored Phase 1/2 clinical trial sponsored by UoM.</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440" w:firstLine="510"/>
        <w:spacing w:after="0" w:line="269" w:lineRule="auto"/>
        <w:rPr>
          <w:sz w:val="20"/>
          <w:szCs w:val="20"/>
          <w:color w:val="auto"/>
        </w:rPr>
      </w:pPr>
      <w:r>
        <w:rPr>
          <w:rFonts w:ascii="Arial" w:cs="Arial" w:eastAsia="Arial" w:hAnsi="Arial"/>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expected to equal approximately £9,275 in the aggregate.</w:t>
      </w:r>
    </w:p>
    <w:p>
      <w:pPr>
        <w:spacing w:after="0" w:line="179"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For the three months ended September 30, 2021 and 2020, the Company incurred $1.0 million and $0, respectively, related to the CRFA. For the nine months ended September 30, 2021 and 2020, the Company incurred $1.8 million and $0, respectively, related to the CRFA.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University Health Network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For the three months ended September 30, 2021 and 2020, the Company recorded research and development expense related to this agreement with UHN of $102 and $65, respectively, which consists of reimbursable funded study trial costs. For the nine months ended September 30, 2021 and 2020, the Company recorded research and development expense related to this agreement with UHN of $175 and $174, respectively, which consists of reimbursable funded study trial costs. No milestone or maintenance fees were incurred related to this agreement in the three or nine months ended September 30, 2021 and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certain patent rights for the commercial development, manufacture, distribution and use of any products or processes resulting from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patent rights related to Interleukin 12. Upon execution of this agreement, the Company paid an upfront license fee of CAD $264. In addition, as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consideration for the license, the Company issued to UHN 1,161,665 shares of the Company’s common stock and agreed to pay UHN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upon the closing of an IPO if certain criteria are met. The fair value of the shares issued to UHN of $480 and the upfront fee was expensed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execution of the agreement. Upon the closing of the IPO in 2018, as the criteria were met, the Company paid UHN $2,000. The Company is also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pay UHN future annual license maintenance fees of CAD $50 on each anniversary of the effective date of the license agreement prior to expiration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potential future milestone payments of up to CAD $19,275 upon the achievement of specified clinical and regulatory milestones.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also agreed to pay UHN royalties of a low single-digit percentage of net sales of licensed products sold by the Company. If the Company grants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sublicense rights under the license agreement, the Company has agreed to pay UHN a low double-digit royalty percentage of any sublicense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by the Company.</w:t>
      </w:r>
    </w:p>
    <w:p>
      <w:pPr>
        <w:spacing w:after="0" w:line="21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For the three months ended September 30, 2021 and 2020, the Company did not record research and development expense related to this agreement with UHN. For the nine months ended September 30, 2021 and 2020, the Company recorded research and development expense related to this agreement with UHN of $39 and $38, respectively, which consists of license maintenance fees. No milestone fees were incurred related to this agreement in the three and nine months ended September 30, 2021 and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the license for the three and nine months ended September 30, 2021 and 2020.</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recognized no expenses related to this agreement for the three and nine months ended September 30, 2021 and 2020.</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recognized no expenses related to this agreement for the three and nine months ended September 30, 2021 and 2020.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September 30, 2021 and December 31,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2021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7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Cash equivalents — money market funds</w:t>
            </w:r>
          </w:p>
        </w:tc>
        <w:tc>
          <w:tcPr>
            <w:tcW w:w="1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200,433</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200,433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7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Cash equivalents — money market funds</w:t>
            </w:r>
          </w:p>
        </w:tc>
        <w:tc>
          <w:tcPr>
            <w:tcW w:w="1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0" w:type="dxa"/>
            <w:vAlign w:val="bottom"/>
          </w:tcPr>
          <w:p>
            <w:pPr>
              <w:spacing w:after="0"/>
              <w:rPr>
                <w:sz w:val="24"/>
                <w:szCs w:val="24"/>
                <w:color w:val="auto"/>
              </w:rPr>
            </w:pPr>
          </w:p>
        </w:tc>
        <w:tc>
          <w:tcPr>
            <w:tcW w:w="408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cash equivalents was determined through quoted prices by third-party pricing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2021, there were no transfers between levels.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Prepaid research and development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Prepaid compensation benefits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(2,421)</w:t>
            </w:r>
          </w:p>
        </w:tc>
      </w:tr>
      <w:tr>
        <w:trPr>
          <w:trHeight w:val="223"/>
        </w:trPr>
        <w:tc>
          <w:tcPr>
            <w:tcW w:w="53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0"/>
        <w:spacing w:after="0" w:line="341" w:lineRule="auto"/>
        <w:rPr>
          <w:sz w:val="20"/>
          <w:szCs w:val="20"/>
          <w:color w:val="auto"/>
        </w:rPr>
      </w:pPr>
      <w:r>
        <w:rPr>
          <w:rFonts w:ascii="Arial" w:cs="Arial" w:eastAsia="Arial" w:hAnsi="Arial"/>
          <w:sz w:val="17"/>
          <w:szCs w:val="17"/>
          <w:color w:val="auto"/>
        </w:rPr>
        <w:t>Depreciation and amortization expense was $374 and $301, respectively, for the three months ended September 30, 2021 and 2020. Depreciation and amortization expense was $963 and $898 , respectively, for the nine months ended September 30, 2021 and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As of September 30, 2021 and December 31, 2020, the Company had restricted cash of $492, which consists of cash used to secure letters of credit for the benefit of the landlord in connection with the Company’s lease agreements. The cash will be restricted until the termination or modification of the lease arrangement.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CFF0FC"/>
            </w:tcBorders>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36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3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FF0FC"/>
          </w:tcPr>
          <w:p>
            <w:pPr>
              <w:spacing w:after="0"/>
              <w:rPr>
                <w:sz w:val="20"/>
                <w:szCs w:val="20"/>
                <w:color w:val="auto"/>
              </w:rPr>
            </w:pPr>
          </w:p>
        </w:tc>
        <w:tc>
          <w:tcPr>
            <w:tcW w:w="38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3640" w:type="dxa"/>
            <w:vAlign w:val="bottom"/>
            <w:tcBorders>
              <w:top w:val="single" w:sz="8" w:color="CFF0FC"/>
              <w:bottom w:val="single" w:sz="8" w:color="CFF0FC"/>
            </w:tcBorders>
            <w:vMerge w:val="restart"/>
          </w:tcPr>
          <w:p>
            <w:pPr>
              <w:jc w:val="right"/>
              <w:ind w:right="191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nine months ended September 30, 2021 and 2020 and to the best of the Company’s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 xml:space="preserve">The Company is also party to various agreements, principally relating to licensed technology, that require future payments relating to milestones not met at September 30, 2021 and December 31, 2020, or royalties on future sales. No milestone or royalty payments under these agreements are expected to be payable in the immediate future, except as disclosed in Note 3 </w:t>
      </w:r>
      <w:r>
        <w:rPr>
          <w:rFonts w:ascii="Arial" w:cs="Arial" w:eastAsia="Arial" w:hAnsi="Arial"/>
          <w:sz w:val="18"/>
          <w:szCs w:val="18"/>
          <w:i w:val="1"/>
          <w:iCs w:val="1"/>
          <w:color w:val="auto"/>
        </w:rPr>
        <w:t>“License Agreements.”</w:t>
      </w:r>
    </w:p>
    <w:p>
      <w:pPr>
        <w:spacing w:after="0" w:line="184"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September 30, 2021.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ommon Stock</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As of September 30, 2021 and December 31, 2020, the authorized capital stock of the Company included 150,000,000 shares of common stock, $0.0001 par value and 10,000,000 shares of undesignated preferred stock. As of September 30, 2021 and December 31, 2020, no undesignated preferred stock was outstanding.</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no cash dividends have been declared or 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2021 and December 31, 2020, the Company has reserved the following shares of common stock for future issuance: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3200" w:type="dxa"/>
            <w:vAlign w:val="bottom"/>
            <w:tcBorders>
              <w:bottom w:val="single" w:sz="8" w:color="CFF0FC"/>
            </w:tcBorders>
          </w:tcPr>
          <w:p>
            <w:pPr>
              <w:spacing w:after="0"/>
              <w:rPr>
                <w:sz w:val="14"/>
                <w:szCs w:val="14"/>
                <w:color w:val="auto"/>
              </w:rPr>
            </w:pPr>
          </w:p>
        </w:tc>
        <w:tc>
          <w:tcPr>
            <w:tcW w:w="31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7,999,382</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10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709,025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issuance under the 2018</w:t>
            </w:r>
          </w:p>
        </w:tc>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and Grant Plan</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2,147,631</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3,877,478</w:t>
            </w:r>
          </w:p>
        </w:tc>
        <w:tc>
          <w:tcPr>
            <w:tcW w:w="10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88"/>
              </w:rPr>
              <w:t>Shares reserved for issuance under the 2018</w:t>
            </w:r>
          </w:p>
        </w:tc>
        <w:tc>
          <w:tcPr>
            <w:tcW w:w="31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1,151,010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762,900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issuance under the 2019</w:t>
            </w:r>
          </w:p>
        </w:tc>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Inducement Plan</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414,280</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365,050</w:t>
            </w:r>
          </w:p>
        </w:tc>
        <w:tc>
          <w:tcPr>
            <w:tcW w:w="10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8"/>
              </w:rPr>
              <w:t>Shares reserved for issuance under the 2020</w:t>
            </w:r>
          </w:p>
        </w:tc>
        <w:tc>
          <w:tcPr>
            <w:tcW w:w="31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Inducement Plan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1,637,000</w:t>
            </w:r>
          </w:p>
        </w:tc>
        <w:tc>
          <w:tcPr>
            <w:tcW w:w="2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1,700,000</w:t>
            </w:r>
          </w:p>
        </w:tc>
        <w:tc>
          <w:tcPr>
            <w:tcW w:w="100" w:type="dxa"/>
            <w:vAlign w:val="bottom"/>
            <w:tcBorders>
              <w:bottom w:val="single" w:sz="8" w:color="CFF0FC"/>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14,058,328</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12,266,171</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120" w:type="dxa"/>
            <w:vAlign w:val="bottom"/>
            <w:vMerge w:val="restart"/>
          </w:tcPr>
          <w:p>
            <w:pPr>
              <w:ind w:left="130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of directors were as follows, presented on a weighted-average basis:</w:t>
      </w:r>
    </w:p>
    <w:p>
      <w:pPr>
        <w:spacing w:after="0" w:line="364"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r>
      <w:tr>
        <w:trPr>
          <w:trHeight w:val="229"/>
        </w:trPr>
        <w:tc>
          <w:tcPr>
            <w:tcW w:w="86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0.84%</w:t>
            </w:r>
          </w:p>
        </w:tc>
      </w:tr>
      <w:tr>
        <w:trPr>
          <w:trHeight w:val="229"/>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81.25%</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75.85%</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nine months ended September 30,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3,916,982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(205,972)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(1,271,173)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7,999,382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2021</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2,812,685</w:t>
            </w: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intrinsic value of options exercised during the nine months ended September 30, 2021 and 2020 was $1,760 and $595, respectively.</w:t>
      </w:r>
    </w:p>
    <w:p>
      <w:pPr>
        <w:spacing w:after="0" w:line="24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nine months ended September 30, 2021 and 2020 was $9.12 and $12.98,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units for the nine months ended September 30, 2021:</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771,600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(63,342)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September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709,025</w:t>
            </w:r>
          </w:p>
        </w:tc>
        <w:tc>
          <w:tcPr>
            <w:tcW w:w="14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total fair value of restricted stock units vested during the nine months ended September 30, 2021 and 2020 was $7 thousand and $44 thousand,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36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w:t>
            </w:r>
          </w:p>
        </w:tc>
        <w:tc>
          <w:tcPr>
            <w:tcW w:w="120" w:type="dxa"/>
            <w:vAlign w:val="bottom"/>
            <w:shd w:val="clear" w:color="auto" w:fill="CFF0FC"/>
          </w:tcPr>
          <w:p>
            <w:pPr>
              <w:spacing w:after="0"/>
              <w:rPr>
                <w:sz w:val="19"/>
                <w:szCs w:val="19"/>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3,204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5,169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of September 30, 2021, total unrecognized compensation cost related to the unvested stock-based awards was $52,327, which is expected to be recognized over a weighted-average period of 2.91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2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spacing w:after="0" w:line="16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for the periods indicated:</w:t>
      </w:r>
    </w:p>
    <w:p>
      <w:pPr>
        <w:spacing w:after="0" w:line="256"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6350</wp:posOffset>
            </wp:positionV>
            <wp:extent cx="21513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7,999,382</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5,658,890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709,025</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0"/>
                <w:szCs w:val="20"/>
                <w:color w:val="auto"/>
              </w:rPr>
            </w:pPr>
          </w:p>
        </w:tc>
      </w:tr>
    </w:tbl>
    <w:p>
      <w:pPr>
        <w:spacing w:after="0" w:line="305"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22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For the three months ended September 30, 2021 and 2020, the Company recognized $102 and $65, respectively, of research and development expense related to the license agreements with UHN. For the nine months ended September 30, 2021 and 2020, the Company recognized $215 and $212, respectively, of research and development expense related to the license agreements with UHN. Refer to Note 3 “</w:t>
      </w:r>
      <w:r>
        <w:rPr>
          <w:rFonts w:ascii="Arial" w:cs="Arial" w:eastAsia="Arial" w:hAnsi="Arial"/>
          <w:sz w:val="18"/>
          <w:szCs w:val="18"/>
          <w:i w:val="1"/>
          <w:iCs w:val="1"/>
          <w:color w:val="auto"/>
        </w:rPr>
        <w:t>License Agreements</w:t>
      </w:r>
      <w:r>
        <w:rPr>
          <w:rFonts w:ascii="Arial" w:cs="Arial" w:eastAsia="Arial" w:hAnsi="Arial"/>
          <w:sz w:val="18"/>
          <w:szCs w:val="18"/>
          <w:color w:val="auto"/>
        </w:rPr>
        <w:t>” for additional information regarding the UHN license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For the three months ended September 30, 2021 and 2020, the Company recorded expenses of $228 and $355, respectively, related to a sublease to rent lab space, provided by an entity affiliated with a member of the Company’s board of directors. For the nine months ended September 30, 2021 and 2020, the Company recorded expenses of $1,278 and $1,081, respectively, related to a sublease to rent lab space, provided by an entity affiliated with a member of the Company’s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360" w:firstLine="578"/>
        <w:spacing w:after="0" w:line="263" w:lineRule="auto"/>
        <w:rPr>
          <w:sz w:val="20"/>
          <w:szCs w:val="20"/>
          <w:color w:val="auto"/>
        </w:rPr>
      </w:pPr>
      <w:r>
        <w:rPr>
          <w:rFonts w:ascii="Arial" w:cs="Arial" w:eastAsia="Arial" w:hAnsi="Arial"/>
          <w:sz w:val="18"/>
          <w:szCs w:val="18"/>
          <w:color w:val="auto"/>
        </w:rPr>
        <w:t>On November 2, 2021 (the “Closing Date”), the Company entered into a term loan facility for up to $65.0 million (the “Term Loan”) with the lenders party thereto and Silicon Valley Bank (“SVB”) as administrative agent and collateral agent. The Company expects to use the proceeds from the Term Loan for working capital or to fund its general business purpose.</w:t>
      </w:r>
    </w:p>
    <w:p>
      <w:pPr>
        <w:spacing w:after="0" w:line="103" w:lineRule="exact"/>
        <w:rPr>
          <w:sz w:val="20"/>
          <w:szCs w:val="20"/>
          <w:color w:val="auto"/>
        </w:rPr>
      </w:pPr>
    </w:p>
    <w:p>
      <w:pPr>
        <w:ind w:right="80" w:firstLine="849"/>
        <w:spacing w:after="0" w:line="257" w:lineRule="auto"/>
        <w:rPr>
          <w:sz w:val="20"/>
          <w:szCs w:val="20"/>
          <w:color w:val="auto"/>
        </w:rPr>
      </w:pPr>
      <w:r>
        <w:rPr>
          <w:rFonts w:ascii="Arial" w:cs="Arial" w:eastAsia="Arial" w:hAnsi="Arial"/>
          <w:sz w:val="18"/>
          <w:szCs w:val="18"/>
          <w:color w:val="auto"/>
        </w:rPr>
        <w:t>The Term Loan is governed by a loan and security agreement, dated November 2, 2021 (the “Loan and Security Agreement”). The Term Loan Agreement provides for (i) on the Closing Date, $30.0 million aggregate principal amount of term loans available through October 31, 2023; (ii) an additional $10.0 million term loan facility available through October 31, 2023 upon the achievement of certain regulatory milestones prior to the time of draw; (iii) an additional $10.0 million term loan facility available through October 31, 2023 upon the achievement of certain regulatory and/or clinical milestones prior to the time of draw; and (iv) 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auto"/>
        </w:rPr>
        <w:t>additional discretionary $15.0 million term loan facility available upon the Company’s request and approval by SVB and the lenders. The Company drew $15.0 million in term loans on the Closing Date.</w:t>
      </w:r>
    </w:p>
    <w:p>
      <w:pPr>
        <w:spacing w:after="0" w:line="144" w:lineRule="exact"/>
        <w:rPr>
          <w:sz w:val="20"/>
          <w:szCs w:val="20"/>
          <w:color w:val="auto"/>
        </w:rPr>
      </w:pPr>
    </w:p>
    <w:p>
      <w:pPr>
        <w:ind w:firstLine="578"/>
        <w:spacing w:after="0" w:line="300" w:lineRule="auto"/>
        <w:rPr>
          <w:sz w:val="20"/>
          <w:szCs w:val="20"/>
          <w:color w:val="auto"/>
        </w:rPr>
      </w:pPr>
      <w:r>
        <w:rPr>
          <w:rFonts w:ascii="Arial" w:cs="Arial" w:eastAsia="Arial" w:hAnsi="Arial"/>
          <w:sz w:val="16"/>
          <w:szCs w:val="16"/>
          <w:color w:val="auto"/>
        </w:rPr>
        <w:t>The Term Loan will mature on October 1, 2026. Each advance under the Term Loan accrues interest at a floating rate per annum equal to the greater of (i) 8.10% and (ii) the Prime Rate plus 4.85%. The Term Loan payments are interest only from the Closing Date through November 1, 2024, after which the Company is required to pay equal monthly installments of principal and accrued interest through October 1, 2026. The Term Loans may be prepaid in full through November 2, 2022 with payment of a 1.50% prepayment premium, after which they may be prepaid in full through November 2, 2023 with payment of a 1.00% prepayment premium, after which they may be prepaid in full with no prepayment premium. An additional final payment of 9.00% of the amount of Terms Loans advanced by the lenders will be due upon prepayment or repayment of the Term Loans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2020 included in our Annual Report on Form 10-K for the year ended December 31, 2020. Some of the information contained in this discussion and analysis or set forth elsewhere in this Quarterly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2020, as supplemented by our subsequent filings with the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$4.8 billion in worldwide net sales in 2020.</w:t>
      </w:r>
    </w:p>
    <w:p>
      <w:pPr>
        <w:spacing w:after="0" w:line="178"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Our initial pipeline is comprised of six lentiviral-based gene therapy programs: AVR-RD-01 for the treatment of Fabry disease; AVR-RD-04 for the treatment of cystinosis; AVR-RD-02 for the treatment of Gaucher disease type 1; AVR-RD-06 for the treatment of Gaucher disease type 3; AVR-RD-05 for the treatment of Hunter syndrome; and AVR-RD-03 for the treatment of Pompe disease.</w:t>
      </w:r>
    </w:p>
    <w:p>
      <w:pPr>
        <w:spacing w:after="0" w:line="184"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AVR-RD-01 is currently being evaluated for the treatment of Fabry disease in an investigator-sponsored Phase 1 clinical trial and a Company-sponsored Phase 2 clinical trial. Five patients have been dosed in the investigator-sponsored Phase 1 clinical trial of AVR-RD-01, and enrollment is complete. Nine patients have been dosed in our Company-sponsored Phase 2 clinical trial of AVR-RD-01, which we refer to as the FAB-GT clinical trial, and we are actively recruiting additional potential patients for our currently active sites. We recently amended the FAB-GT clinical trial protocol in the United States to include female participants, eliminate the antibody-status exclusion and collect additional CNS and cardiovascular data, and we plan to submit such amendment in other jurisdictions where we have active clinical sites. In September 2021 we received feedback from the Food and Drug Administration, or FDA, on chemistry, manufacturing and controls, or CMC, requirements for our planned registration trial of AVR-RD-01. Additionally, we plan to engage the FDA in the first quarter of 2022 to obtain feedback on our revised clinical trial design. We are currently aiming to initiate a registration trial in mid-2022, subject to implementing certain modifications to our CMC plans and subject to feedback from the FDA on our proposed trial design.</w:t>
      </w:r>
    </w:p>
    <w:p>
      <w:pPr>
        <w:spacing w:after="0" w:line="19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AVR-RD-04 is currently being studied for the treatment of cystinosis by our collaborators at the University of California, San Diego, or UCSD, in a Phase 1/2 investigator-sponsored clinical trial, and three patients have been dosed. Subject to regulatory clearance we are planning to initiate a Company-sponsored clinical trial of AVR-RD-04 in the second half of 2022.</w:t>
      </w:r>
    </w:p>
    <w:p>
      <w:pPr>
        <w:spacing w:after="0" w:line="18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Two patients have been dosed in our Company-sponsored Phase 1/2 clinical trial of AVR-RD-02 for the treatment of Gaucher disease type 1, which we refer to as the Guard1 clinical trial, and we are actively recruiting additional potential patients for our currently active sites.</w:t>
      </w:r>
    </w:p>
    <w:p>
      <w:pPr>
        <w:spacing w:after="0" w:line="17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AVR-RD-06 is our program for the treatment of Gaucher disease type 3, for which we are planning to initiate a potential registration trial in the second half of 2022, subject to regulatory clearance.</w:t>
      </w:r>
    </w:p>
    <w:p>
      <w:pPr>
        <w:spacing w:after="0" w:line="170"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color w:val="auto"/>
        </w:rPr>
        <w:t>AVR-RD-05 is being studied for the treatment of Hunter syndrome by our collaborators at The University of Manchester, and a Phase 1/2 investigator-sponsored clinical trial is expected to commence in the second half of 2022.</w:t>
      </w:r>
    </w:p>
    <w:p>
      <w:pPr>
        <w:spacing w:after="0" w:line="170"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Our AVR-RD-03 program for Pompe disease is currently in preclinical development, with IND-enabling proof-of-concept preclinical studies completed, toxicology studies expected to be completed in 2021 and a Company-sponsored clinical trial being planned for 2022, subject to regulatory clearance.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expect to have dosed an aggregate of 20 to 25 patients across our pipeline by the end of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180" w:firstLine="510"/>
        <w:spacing w:after="0" w:line="291"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September 30, 2021,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$23.5 million from sales of our common stock through our “at-the-market,” or ATM, facility.</w:t>
      </w:r>
    </w:p>
    <w:p>
      <w:pPr>
        <w:spacing w:after="0" w:line="166"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$90.9 million and $91.6 million for the nine months ended September 30, 2021 and 2020, respectively. As of September 30, 2021, we had an accumulated deficit of $355.3 million. We expect to continue to incur significant expenses for at least the next several years as we advance our current and future product candidates from discovery through preclinical development and clinical trials and seek regulatory approval of our product candidates. We have expanded the number of programs in our pipeline to a total of six investigational gene therapies, three of which are currently in clinical development. As a result,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ATM facility, as well as proceeds from our recently announced Loan and Security Agreement, or the Term Loan Agreement, with the lenders party thereto from time to time, or the Lenders, and Silicon Valley Bank, as administrative agent and collateral agent for the Lenders, or the Agent. We may also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As of September 30, 2021, we had cash and cash equivalents of $201.4 million. We believe that our existing cash and cash equivalents as of September 30, 2021, together with the $15.0 million drawn at close from our Term Loan Agreement, will enable us to fund our operating expenses and capital expenditure requirements into the fourth quarter of 2023.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31" w:lineRule="exact"/>
        <w:rPr>
          <w:sz w:val="20"/>
          <w:szCs w:val="20"/>
          <w:color w:val="auto"/>
        </w:rPr>
      </w:pPr>
    </w:p>
    <w:p>
      <w:pPr>
        <w:ind w:right="160" w:firstLine="749"/>
        <w:spacing w:after="0" w:line="289" w:lineRule="auto"/>
        <w:rPr>
          <w:sz w:val="20"/>
          <w:szCs w:val="20"/>
          <w:color w:val="auto"/>
        </w:rPr>
      </w:pPr>
      <w:r>
        <w:rPr>
          <w:rFonts w:ascii="Arial" w:cs="Arial" w:eastAsia="Arial" w:hAnsi="Arial"/>
          <w:sz w:val="16"/>
          <w:szCs w:val="16"/>
          <w:color w:val="auto"/>
        </w:rPr>
        <w:t>As the global healthcare community responded to the COVID-19 pandemic, in 2020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and cannot be accurately predicted, including new information that may emerge concerning COVID-19 and variants of the virus that causes the disease, the actions taken to contain it or treat its impact and the economic impact on local, regional, national and international markets. We have continued our work-from-home policy for most employees, excluding our laboratory staff and a limited number of non-laboratory employees. For those employees, we have implemented safety measures designed to comply with applicable federal, state and local guidelines in response to the ongoing COVID-19 pandemic. We may be required to take additional actions that impact our operations as required by applicable laws or regulations, or which we determine to be in the best interests of our employees.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jc w:val="both"/>
        <w:ind w:right="200" w:firstLine="510"/>
        <w:spacing w:after="0" w:line="342" w:lineRule="auto"/>
        <w:rPr>
          <w:sz w:val="20"/>
          <w:szCs w:val="20"/>
          <w:color w:val="auto"/>
        </w:rPr>
      </w:pPr>
      <w:r>
        <w:rPr>
          <w:rFonts w:ascii="Arial" w:cs="Arial" w:eastAsia="Arial" w:hAnsi="Arial"/>
          <w:sz w:val="16"/>
          <w:szCs w:val="16"/>
          <w:color w:val="auto"/>
        </w:rPr>
        <w:t>We continue to closely monitor this rapidly evolving situation and the potential impact on our Company. For additional information regarding the impact of the ongoing COVID-19 pandemic on our business, please see the section titled “Risk Factors” in Part II, Section 1.A of this Quarterly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Updates</w:t>
      </w:r>
    </w:p>
    <w:p>
      <w:pPr>
        <w:spacing w:after="0" w:line="225"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In October 2021, we reported new interim safety data from our FAB-GT clinical trial of AVR-RD-01 for the treatment of Fabry disease and our Guard1 clinical trial of AVR-RD-02 for the treatment of Gaucher disease type 1 at the virtual 28th Annual Congress of the European Society of Gene &amp; Cell Therapy. In addition, we debuted our new approach to safety monitoring involving high-resolution molecular biology follow-up that is designed to enable the collection and monitoring of integration sites for individual cell types and at different stages of cell maturation.</w:t>
      </w:r>
    </w:p>
    <w:p>
      <w:pPr>
        <w:spacing w:after="0" w:line="171"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We recently announced the appointment of Essra Ridha, M.D., MRCP, FFPM, as the Company’s new Chief Medical Officer. Dr. Ridha’s employment with us commenced in October 2021.</w:t>
      </w:r>
    </w:p>
    <w:p>
      <w:pPr>
        <w:spacing w:after="0" w:line="170"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In October 2021, the FDA granted rare pediatric disease designation (RPDD) for AVR-RD-05 for the treatment of Hunter syndrome. Under this program, if AVR-RD-05 is approved by the FDA then the Company may qualify for a voucher that can be redeemed to receive a priority review of a subsequent marketing application for a different product candidate.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44" w:lineRule="exact"/>
        <w:rPr>
          <w:rFonts w:ascii="Arial" w:cs="Arial" w:eastAsia="Arial" w:hAnsi="Arial"/>
          <w:sz w:val="18"/>
          <w:szCs w:val="18"/>
          <w:color w:val="auto"/>
        </w:rPr>
      </w:pPr>
    </w:p>
    <w:p>
      <w:pPr>
        <w:ind w:left="88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880" w:right="4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880" w:hanging="373"/>
        <w:spacing w:after="0" w:line="207" w:lineRule="exact"/>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w:t>
      </w:r>
    </w:p>
    <w:p>
      <w:pPr>
        <w:spacing w:after="0" w:line="144"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5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280" w:firstLine="510"/>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The table below summarizes our research and development expenses related to our product candidates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506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15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Gaucher</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5,887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19"/>
                <w:szCs w:val="19"/>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1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FF0FC"/>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Cystinosis</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Hunter</w:t>
            </w:r>
          </w:p>
        </w:tc>
        <w:tc>
          <w:tcPr>
            <w:tcW w:w="1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FF0FC"/>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Other research activities</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569</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1"/>
                <w:szCs w:val="21"/>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15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12,810</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13,312</w:t>
            </w:r>
          </w:p>
        </w:tc>
        <w:tc>
          <w:tcPr>
            <w:tcW w:w="4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41,413</w:t>
            </w:r>
          </w:p>
        </w:tc>
        <w:tc>
          <w:tcPr>
            <w:tcW w:w="3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35,023</w:t>
            </w:r>
          </w:p>
        </w:tc>
        <w:tc>
          <w:tcPr>
            <w:tcW w:w="100" w:type="dxa"/>
            <w:vAlign w:val="bottom"/>
            <w:shd w:val="clear" w:color="auto" w:fill="CFF0FC"/>
          </w:tcPr>
          <w:p>
            <w:pPr>
              <w:spacing w:after="0"/>
              <w:rPr>
                <w:sz w:val="21"/>
                <w:szCs w:val="21"/>
                <w:color w:val="auto"/>
              </w:rPr>
            </w:pPr>
          </w:p>
        </w:tc>
      </w:tr>
      <w:tr>
        <w:trPr>
          <w:trHeight w:val="236"/>
        </w:trPr>
        <w:tc>
          <w:tcPr>
            <w:tcW w:w="506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23,043</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28,509</w:t>
            </w:r>
          </w:p>
        </w:tc>
        <w:tc>
          <w:tcPr>
            <w:tcW w:w="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64,114</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67,649</w:t>
            </w:r>
          </w:p>
        </w:tc>
        <w:tc>
          <w:tcPr>
            <w:tcW w:w="100" w:type="dxa"/>
            <w:vAlign w:val="bottom"/>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67" w:lineRule="exact"/>
        <w:rPr>
          <w:rFonts w:ascii="Arial" w:cs="Arial" w:eastAsia="Arial" w:hAnsi="Arial"/>
          <w:sz w:val="16"/>
          <w:szCs w:val="16"/>
          <w:color w:val="auto"/>
        </w:rPr>
      </w:pPr>
    </w:p>
    <w:p>
      <w:pPr>
        <w:ind w:left="880" w:right="26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preclinical development activities, clinical trials and other research and development activities;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5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including as a result of the ongoing COVID-19 pandemic, we could be required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100"/>
        <w:spacing w:after="0" w:line="259" w:lineRule="auto"/>
        <w:rPr>
          <w:sz w:val="20"/>
          <w:szCs w:val="20"/>
          <w:color w:val="auto"/>
        </w:rPr>
      </w:pPr>
      <w:r>
        <w:rPr>
          <w:rFonts w:ascii="Arial" w:cs="Arial" w:eastAsia="Arial" w:hAnsi="Arial"/>
          <w:sz w:val="18"/>
          <w:szCs w:val="18"/>
          <w:color w:val="auto"/>
        </w:rPr>
        <w:t>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(expense) income, net primarily consists of interest income earned on our cash and cash equivalents and changes in foreign currency.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23,043</w:t>
            </w:r>
          </w:p>
        </w:tc>
        <w:tc>
          <w:tcPr>
            <w:tcW w:w="16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28,509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(expense) income:</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Research and development expenses decreased by approximately $5.5 million to $23.0 million for the three months ended September 30, 2021, from $28.5 million for the three months ended September 30, 2020. This decrease was driven by the $8.0 million upfront license fee paid for the Hunter program during the three months ended September 30, 2020, offset by a $2.5 million increase in program development activities related to the advancement of our pipeline programs during the three months ended September 30, 2021. The $2.5 million increase in program development activities included a $0.4 million increase in personnel-related costs, a $1.8 million increase in clinical costs, and a $3.8 million increase in manufacturing costs. These increases were offset by a $2.9 million decrease in preclinical costs and a $0.7 million decrease in non-cash stock-based compensation.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General and administrative expenses were $9.6 million for the three months ended September 30, 2021, compared to $8.2 million for the three months ended September 30, 2020. The increase of $1.4 million was attributable to an increase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300"/>
        <w:spacing w:after="0" w:line="277" w:lineRule="auto"/>
        <w:rPr>
          <w:sz w:val="20"/>
          <w:szCs w:val="20"/>
          <w:color w:val="auto"/>
        </w:rPr>
      </w:pPr>
      <w:r>
        <w:rPr>
          <w:rFonts w:ascii="Arial" w:cs="Arial" w:eastAsia="Arial" w:hAnsi="Arial"/>
          <w:sz w:val="18"/>
          <w:szCs w:val="18"/>
          <w:color w:val="auto"/>
        </w:rPr>
        <w:t>$0.8 million in personnel-related costs and a $1.1 million increase in non-cash stock-based compensation, offset in part by a decrease in other expenses, primarily related to facilities costs, professional fees and legal fees, of $0.5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Other (expense), net, was less than $0.1 million for the three months ended September 30, 2021 and 2020, and primarily consisted of interest income and foreign currency gains recognized during the period.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Nine Months Ended September 30,</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64,114</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67,649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(expense) income:</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Other expenses</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Research and development expenses decreased by approximately $3.5 million to $64.1 million for the nine months ended September 30, 2021, from $67.6 million for the nine months ended September 30, 2020. This decrease was driven by the $8.0 million upfront license fee we paid for our Hunter program during the nine months ended September 30, 2020, offset by a $4.5 million increase in program development activities related to the advancement of our pipeline programs during the nine months ended September 30, 2021. The $4.5 million increase in program development activities included a $6.1 million increase in personnel-related costs, a $3.7 million increase in clinical costs, and a $2.5 million increase in manufacturing costs. These increases were partially offset by a $7.6 million decrease in preclinical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General and administrative expenses were $26.8 million for the nine months ended September 30, 2021, compared to $24.5 million for the nine months ended September 30, 2020. The increase of $2.3 million was attributable to an increase of $1.8 million in personnel-related costs and a $3.1 million increase in non-cash stock-based compensation, offset in part by a decrease of $1.3 million in consulting costs and a decrease in other expenses, primarily related to facilities costs, professional fees and legal fees, of $1.3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420" w:firstLine="749"/>
        <w:spacing w:after="0" w:line="308" w:lineRule="auto"/>
        <w:rPr>
          <w:sz w:val="20"/>
          <w:szCs w:val="20"/>
          <w:color w:val="auto"/>
        </w:rPr>
      </w:pPr>
      <w:r>
        <w:rPr>
          <w:rFonts w:ascii="Arial" w:cs="Arial" w:eastAsia="Arial" w:hAnsi="Arial"/>
          <w:sz w:val="18"/>
          <w:szCs w:val="18"/>
          <w:color w:val="auto"/>
        </w:rPr>
        <w:t>Other (expense), net, was less than $0.1 million for the nine months ended September 30, 2021, and primarily consisted of foreign currency losses recognized during the period .</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95"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ATM facility. Through September 30, 2021, we had received gross cash proceeds of $87.5 million from sales of our preferred stock; gross cash proceeds, before deducting underwriting discounts and commissions and expenses, of</w:t>
      </w:r>
    </w:p>
    <w:p>
      <w:pPr>
        <w:spacing w:after="0" w:line="1"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$428.1 million from sales of our common stock through our initial public offering and follow-on offerings; and gross cash proceeds, before deducting commissions and expenses, of $23.5 million from sales of our common stock under our ATM facility.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40" w:firstLine="510"/>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p>
    <w:p>
      <w:pPr>
        <w:spacing w:after="0" w:line="15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p>
    <w:p>
      <w:pPr>
        <w:spacing w:after="0" w:line="18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June 2020, we sold an aggregate of 384,140 shares of common stock under the ATM facility for net proceeds, after deducting commissions and other offering expenses payable by us, of $8.1 million.</w:t>
      </w:r>
    </w:p>
    <w:p>
      <w:pPr>
        <w:spacing w:after="0" w:line="170"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May 2021, we sold an aggregate of 1,829,268 shares of common stock under the ATM facility for net proceeds, after deducting commissions and other offering expenses payable by us, of $14.5 million. As of September 30, 2021, approximately $26.5 million of common stock remained available for future issuance under the ATM facility.</w:t>
      </w:r>
    </w:p>
    <w:p>
      <w:pPr>
        <w:spacing w:after="0" w:line="184"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On November 2, 2021, or the Closing Date, we entered into the Term Loan Agreement. The Term Loan Agreement provides for (i) on the Closing Date, $30.0 million aggregate principal amount of term loans available through October 31, 2023; (ii) an additional $10.0 million term loan facility available through October 31, 2023 upon the achievement of certain regulatory milestones prior to the time of draw; (iii) an additional $10.0 million term loan facility available through October 31, 2023 upon the achievement of certain regulatory or clinical milestones prior to the time of draw; and (iv) an additional discretionary $15.0 million term loan facility available upon our request and approval by the Agent and the Lenders, or, collectively, the Term Loans. We drew $15.0 million in term loans on the Closing Date. The loan repayment schedule provides for interest only payments until November 1, 2024, followed by consecutive monthly payments of principal and interest. All unpaid principal and accrued and unpaid interest with respect to each term loan is due and payable in full on October 1, 2026.</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of September 30, 2021, we had cash and cash equivalents of $201.4 million. Cash in excess of immediate requirements is invested primarily with a view to liquidity and capital preservation. We believe that our existing cash and cash equivalents as of September 30, 2021, together with the $15.0 million drawn at the closing of the Term Loan Agreement, will enable us to fund our operating expenses and capital expenditure requirements into the fourth quarter of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4780" w:type="dxa"/>
            <w:vAlign w:val="bottom"/>
            <w:tcBorders>
              <w:bottom w:val="single" w:sz="8" w:color="CFF0FC"/>
            </w:tcBorders>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9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(72,128)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(1,611)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9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Net (decrease) increase in cash and cash equivalents</w:t>
            </w:r>
          </w:p>
        </w:tc>
        <w:tc>
          <w:tcPr>
            <w:tcW w:w="29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(58,313)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40" w:type="dxa"/>
            <w:vAlign w:val="bottom"/>
            <w:vMerge w:val="restart"/>
          </w:tcPr>
          <w:p>
            <w:pPr>
              <w:jc w:val="right"/>
              <w:ind w:right="1910"/>
              <w:spacing w:after="0"/>
              <w:rPr>
                <w:sz w:val="20"/>
                <w:szCs w:val="20"/>
                <w:color w:val="auto"/>
              </w:rPr>
            </w:pPr>
            <w:r>
              <w:rPr>
                <w:rFonts w:ascii="Arial" w:cs="Arial" w:eastAsia="Arial" w:hAnsi="Arial"/>
                <w:sz w:val="18"/>
                <w:szCs w:val="18"/>
                <w:color w:val="auto"/>
              </w:rPr>
              <w:t>24</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160" w:firstLine="510"/>
        <w:spacing w:after="0" w:line="257" w:lineRule="auto"/>
        <w:rPr>
          <w:sz w:val="20"/>
          <w:szCs w:val="20"/>
          <w:color w:val="auto"/>
        </w:rPr>
      </w:pPr>
      <w:r>
        <w:rPr>
          <w:rFonts w:ascii="Arial" w:cs="Arial" w:eastAsia="Arial" w:hAnsi="Arial"/>
          <w:sz w:val="18"/>
          <w:szCs w:val="18"/>
          <w:color w:val="auto"/>
        </w:rPr>
        <w:t>During the nine months ended September 30, 2021, operating activities used $72.1 million of cash, cash equivalents and restricted cash, resulting from our net loss of $90.9 million offset by cash provided by changes in our operating assets and liabilities of $3.5 million and non-cash charges of $15.3 million. The net changes in our operating assets and liabilities were primarily due to an increase in accrued expenses and other liabilities of $5.6 million, offset by a $2.7 million increase in prepaids and other current assets. The non-cash charges primarily included $14.5 million of stock-based compensation expense and $1.0 million of depreciation and amortization expense.</w:t>
      </w:r>
    </w:p>
    <w:p>
      <w:pPr>
        <w:spacing w:after="0" w:line="80"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During the nine months ended September 30, 2020, operating activities used $68.3 million of cash, cash equivalents and restricted cash, resulting from our net loss of $91.6 million partially offset by cash provided by changes in our operating assets and liabilities of $11.0 million and non-cash charges of $12.3 million. The net changes in our operating assets and liabilities were primarily due to an increase in accrued expenses and other liabilities of $12.9 million due to ongoing preclinical, manufacturing, and clinical trial efforts, a decrease in other assets of $0.2 million, offset by a $0.8 million increase in prepaids and other current assets and a decrease of $1.3 million in accounts payable. The non-cash charges primarily included $11.5 million of stock-based compensation expense and $0.9 million of depreciation and amortization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Net cash used in investing activities was $1.6 million for the nine months ended September 30, 2021 compared to $1.1 million for the nine months ended September 30, 2020. The increase in cash used in investing activities was primarily due to an increase in purchases of property and equipment.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Net cash provided by financing activities was $15.4 million for the nine months ended September 30, 2021 compared to $101.9 million for the nine months ended September 30, 2020. The decrease in cash provided by financing activities was primarily due to the proceeds of $93.6 million raised from the February Follow-On Offering during the nine months ended September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Notwithstanding the impact of the evolving COVID-19 pandemic on our company and the global economy generally, we expect our expenses to increase substantially in connection with our ongoing activities, particularly as we advance the preclinical activities and clinical trials of our product candidates. Our expenses will also increase as we:</w:t>
      </w:r>
    </w:p>
    <w:p>
      <w:pPr>
        <w:spacing w:after="0" w:line="76" w:lineRule="exact"/>
        <w:rPr>
          <w:sz w:val="20"/>
          <w:szCs w:val="20"/>
          <w:color w:val="auto"/>
        </w:rPr>
      </w:pPr>
    </w:p>
    <w:p>
      <w:pPr>
        <w:ind w:left="880" w:right="34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and initiating additional clinical and preclinical studies for our current and future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encounter delays or interruptions in our preclinical studies, clinical trials, or supply chain as a result of the COVID-19 pandemic;</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44"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medical, manufacturing, quality, commercial and scientific personnel;</w:t>
      </w:r>
    </w:p>
    <w:p>
      <w:pPr>
        <w:spacing w:after="0" w:line="144"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52" w:lineRule="exact"/>
        <w:rPr>
          <w:sz w:val="20"/>
          <w:szCs w:val="20"/>
          <w:color w:val="auto"/>
        </w:rPr>
      </w:pPr>
    </w:p>
    <w:p>
      <w:pPr>
        <w:jc w:val="both"/>
        <w:ind w:right="200" w:firstLine="510"/>
        <w:spacing w:after="0" w:line="259" w:lineRule="auto"/>
        <w:rPr>
          <w:sz w:val="20"/>
          <w:szCs w:val="20"/>
          <w:color w:val="auto"/>
        </w:rPr>
      </w:pPr>
      <w:r>
        <w:rPr>
          <w:rFonts w:ascii="Arial" w:cs="Arial" w:eastAsia="Arial" w:hAnsi="Arial"/>
          <w:sz w:val="18"/>
          <w:szCs w:val="18"/>
          <w:color w:val="auto"/>
        </w:rPr>
        <w:t>We believe that our $201.4 million of existing cash and cash equivalents as of September 30, 2021, together with the $15.0 million drawn on the closing of the Term Loan Agreement, will enable us to fund our operating expenses and capital expenditure requirements into the fourth quarter of 2023. We have based these estimates on assumptions that may prove to be wrong, and we could utilize our available capital resources sooner than we expect. If we receive regulatory approval for any of our product candidates,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ind w:right="80"/>
        <w:spacing w:after="0" w:line="277" w:lineRule="auto"/>
        <w:rPr>
          <w:sz w:val="20"/>
          <w:szCs w:val="20"/>
          <w:color w:val="auto"/>
        </w:rPr>
      </w:pPr>
      <w:r>
        <w:rPr>
          <w:rFonts w:ascii="Arial" w:cs="Arial" w:eastAsia="Arial" w:hAnsi="Arial"/>
          <w:sz w:val="18"/>
          <w:szCs w:val="18"/>
          <w:color w:val="auto"/>
        </w:rPr>
        <w:t>expect to incur significant commercialization expenses related to product manufacturing, sales, marketing and distribution, depending on where we choose to commercialize.</w:t>
      </w:r>
    </w:p>
    <w:p>
      <w:pPr>
        <w:spacing w:after="0" w:line="170"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2020, filed with the SEC on March 18, 2021. There have been no significant changes to the table contained therein as of September 30, 2021.</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November 2, 2021, we entered into the Term Loan Agreement for up to $65.0 million. See “—Liquidity and Capital Resources.”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2021,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2020, which was filed with the SEC on March 18, 2021, and the notes to the consolidated financial statements included in Item 1, “</w:t>
      </w:r>
      <w:r>
        <w:rPr>
          <w:rFonts w:ascii="Arial" w:cs="Arial" w:eastAsia="Arial" w:hAnsi="Arial"/>
          <w:sz w:val="17"/>
          <w:szCs w:val="17"/>
          <w:i w:val="1"/>
          <w:iCs w:val="1"/>
          <w:color w:val="auto"/>
        </w:rPr>
        <w:t>Condensed Consolidated Unaudited Financial Statements</w:t>
      </w:r>
      <w:r>
        <w:rPr>
          <w:rFonts w:ascii="Arial" w:cs="Arial" w:eastAsia="Arial" w:hAnsi="Arial"/>
          <w:sz w:val="17"/>
          <w:szCs w:val="17"/>
          <w:color w:val="auto"/>
        </w:rPr>
        <w:t>,” of this Quarterly Report on Form 10-Q.</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w:t>
      </w:r>
    </w:p>
    <w:p>
      <w:pPr>
        <w:spacing w:after="0" w:line="6" w:lineRule="exact"/>
        <w:rPr>
          <w:sz w:val="20"/>
          <w:szCs w:val="20"/>
          <w:color w:val="auto"/>
        </w:rPr>
      </w:pPr>
    </w:p>
    <w:p>
      <w:pPr>
        <w:ind w:left="5540" w:right="4280" w:hanging="5532"/>
        <w:spacing w:after="0" w:line="511"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 we issue more than $1.0 billion of non-convertible debt securities over a three-year period.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As of September 30, 2021, we did not have any significant off-balance sheet arrangements, as defined in Item 303(a)(4)(ii) of Regulation S-K promulgated under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 xml:space="preserve">A description of recently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at the beginning of this Quarterly Report on Form 10-Q.</w:t>
      </w:r>
    </w:p>
    <w:p>
      <w:pPr>
        <w:spacing w:after="0" w:line="2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As of September 30, 2021, we had cash and cash equivalents of $201.4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September 30, 2021 and 2020, we recognized foreign currency transaction losses of $5 thousand and $74 thousand, respectively. During each of the nine months ended September 30, 2021 and 2020, we recognized foreign currency transaction losses of $41 thousand and $123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p>
    <w:p>
      <w:pPr>
        <w:spacing w:after="0" w:line="194"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3" w:name="page34"/>
    <w:bookmarkEnd w:id="33"/>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September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September 30, 2021, our Chief Executive Officer and Chief Financial Officer concluded that our disclosure controls and procedures were effective at the reasonable assurance level as of September 30,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September 30, 2021 that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September 30, 2021,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Since inception, we have incurred net losses. We incurred net losses of $119.7 million and $73.0 million for the years ended December 31, 2020 and 2019, respectively, and $90.9 million for the nine months ended September 30, 2021. We historically financed our operations primarily through private placements of our preferred stock and, more recently, our initial public offering and follow-on public offerings of our common stock, as well as sales of our common stock under our “at-the-market” facility. In addition, in November 2021 we entered into the Term Loan Agreement.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58" w:lineRule="exact"/>
        <w:rPr>
          <w:sz w:val="20"/>
          <w:szCs w:val="20"/>
          <w:color w:val="auto"/>
        </w:rPr>
      </w:pPr>
    </w:p>
    <w:p>
      <w:pPr>
        <w:ind w:left="880" w:right="2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experience delays or interruptions in preclinical studies, clinical trials, or our supply chain due to the ongoing COVID-19 pandemic;</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ind w:right="20"/>
        <w:spacing w:after="0" w:line="273" w:lineRule="auto"/>
        <w:rPr>
          <w:sz w:val="20"/>
          <w:szCs w:val="20"/>
          <w:color w:val="auto"/>
        </w:rPr>
      </w:pPr>
      <w:r>
        <w:rPr>
          <w:rFonts w:ascii="Arial" w:cs="Arial" w:eastAsia="Arial" w:hAnsi="Arial"/>
          <w:sz w:val="17"/>
          <w:szCs w:val="17"/>
          <w:color w:val="auto"/>
        </w:rPr>
        <w:t>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880" w:right="42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880" w:hanging="373"/>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As of September 30, 2021, we had cash and cash equivalents of $201.4 million. We believe that our existing cash and cash equivalents as of September 30, 2021, together with the $15.0 million drawn at the closing of our Term Loan Agreement, will enable us to fund our operating expenses and capital expenditure requirements into the fourth quarter of 2023.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76"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have expanded the number of programs in our pipeline to a total of six investigational gene therapies, three of which are in clinical development. As a result,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460"/>
        <w:spacing w:after="0" w:line="277" w:lineRule="auto"/>
        <w:rPr>
          <w:sz w:val="20"/>
          <w:szCs w:val="20"/>
          <w:color w:val="auto"/>
        </w:rPr>
      </w:pPr>
      <w:r>
        <w:rPr>
          <w:rFonts w:ascii="Arial" w:cs="Arial" w:eastAsia="Arial" w:hAnsi="Arial"/>
          <w:sz w:val="18"/>
          <w:szCs w:val="18"/>
          <w:color w:val="auto"/>
        </w:rPr>
        <w:t>unable to raise capital when needed or on reasonable terms, we would be forced to delay, reduce or eliminate certain of our research and development programs. Our future capital requirements will depend on many factors, including:</w:t>
      </w:r>
    </w:p>
    <w:p>
      <w:pPr>
        <w:spacing w:after="0" w:line="62" w:lineRule="exact"/>
        <w:rPr>
          <w:sz w:val="20"/>
          <w:szCs w:val="20"/>
          <w:color w:val="auto"/>
        </w:rPr>
      </w:pPr>
    </w:p>
    <w:p>
      <w:pPr>
        <w:ind w:left="880" w:right="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current and future product candidates, including the extent of any impacts from the COVID-19 pandemic on these activities;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3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Term Loan Agreement contains restrictions that potentially limit our flexibility in operating our business. In addition, we may be required to make a prepayment or repay our outstanding indebtedness earlier than we expect.</w:t>
      </w:r>
    </w:p>
    <w:p>
      <w:pPr>
        <w:spacing w:after="0" w:line="49" w:lineRule="exact"/>
        <w:rPr>
          <w:sz w:val="20"/>
          <w:szCs w:val="20"/>
          <w:color w:val="auto"/>
        </w:rPr>
      </w:pPr>
    </w:p>
    <w:p>
      <w:pPr>
        <w:jc w:val="both"/>
        <w:ind w:right="100" w:firstLine="576"/>
        <w:spacing w:after="0" w:line="263" w:lineRule="auto"/>
        <w:rPr>
          <w:sz w:val="20"/>
          <w:szCs w:val="20"/>
          <w:color w:val="auto"/>
        </w:rPr>
      </w:pPr>
      <w:r>
        <w:rPr>
          <w:rFonts w:ascii="Arial" w:cs="Arial" w:eastAsia="Arial" w:hAnsi="Arial"/>
          <w:sz w:val="18"/>
          <w:szCs w:val="18"/>
          <w:color w:val="auto"/>
        </w:rPr>
        <w:t>On November 2, 2021, we entered into the Term Loan Agreement, which provides for term loans of up to $65.0 million in the aggregate available in three tranches. The Term Loan Agreement contains various covenants that limit our ability to engage in specified types of transactions. These covenants limit our ability to, among other things:</w:t>
      </w:r>
    </w:p>
    <w:p>
      <w:pPr>
        <w:spacing w:after="0" w:line="76"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or consolidate or acquire all or substantially all of the capital stock or property of another entity;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our organizational structure or type;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 transfer, or dispose of certain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cash dividends;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104" w:lineRule="exact"/>
        <w:rPr>
          <w:sz w:val="20"/>
          <w:szCs w:val="20"/>
          <w:color w:val="auto"/>
        </w:rPr>
      </w:pPr>
    </w:p>
    <w:p>
      <w:pPr>
        <w:ind w:firstLine="576"/>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spacing w:after="0" w:line="60" w:lineRule="exact"/>
        <w:rPr>
          <w:sz w:val="20"/>
          <w:szCs w:val="20"/>
          <w:color w:val="auto"/>
        </w:rPr>
      </w:pPr>
    </w:p>
    <w:p>
      <w:pPr>
        <w:ind w:right="80" w:firstLine="576"/>
        <w:spacing w:after="0" w:line="259" w:lineRule="auto"/>
        <w:rPr>
          <w:sz w:val="20"/>
          <w:szCs w:val="20"/>
          <w:color w:val="auto"/>
        </w:rPr>
      </w:pPr>
      <w:r>
        <w:rPr>
          <w:rFonts w:ascii="Arial" w:cs="Arial" w:eastAsia="Arial" w:hAnsi="Arial"/>
          <w:sz w:val="18"/>
          <w:szCs w:val="18"/>
          <w:color w:val="auto"/>
        </w:rPr>
        <w:t>At closing, we drew $15.0 million of the $30.0 million available to us as part of the first tranche. The Term Loan Agreement also gives us the ability to access up to an additional $35.0 million, of which $20.0 million may be drawn in two additional tranches subject to the achievement of certain regulatory and clinical milestones and of which $15.0 million may be drawn in an additional tranche with the approval of the Agent and the Lenders. If we are unable to satisfy these or other required conditions, or if the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760"/>
        <w:spacing w:after="0" w:line="277" w:lineRule="auto"/>
        <w:rPr>
          <w:sz w:val="20"/>
          <w:szCs w:val="20"/>
          <w:color w:val="auto"/>
        </w:rPr>
      </w:pPr>
      <w:r>
        <w:rPr>
          <w:rFonts w:ascii="Arial" w:cs="Arial" w:eastAsia="Arial" w:hAnsi="Arial"/>
          <w:sz w:val="18"/>
          <w:szCs w:val="18"/>
          <w:color w:val="auto"/>
        </w:rPr>
        <w:t>and Lenders do not consent, as applicable, we would not be able to draw down the remaining tranches of financing and may not be able to obtain alternative financing on commercially reasonable terms or at all, which could adversely impact our business.</w:t>
      </w:r>
    </w:p>
    <w:p>
      <w:pPr>
        <w:spacing w:after="0" w:line="35" w:lineRule="exact"/>
        <w:rPr>
          <w:sz w:val="20"/>
          <w:szCs w:val="20"/>
          <w:color w:val="auto"/>
        </w:rPr>
      </w:pPr>
    </w:p>
    <w:p>
      <w:pPr>
        <w:ind w:right="40" w:firstLine="576"/>
        <w:spacing w:after="0" w:line="259" w:lineRule="auto"/>
        <w:rPr>
          <w:sz w:val="20"/>
          <w:szCs w:val="20"/>
          <w:color w:val="auto"/>
        </w:rPr>
      </w:pPr>
      <w:r>
        <w:rPr>
          <w:rFonts w:ascii="Arial" w:cs="Arial" w:eastAsia="Arial" w:hAnsi="Arial"/>
          <w:sz w:val="18"/>
          <w:szCs w:val="18"/>
          <w:color w:val="auto"/>
        </w:rPr>
        <w:t>We may not have enough available cash to repay or refinance our indebtedness at the time any such repayment is required. In such an event, we may be required to delay, limit, reduce, or terminate our preclinical and clinical product development or grant others rights to develop and market product candidates that we would otherwise prefer to develop and market ourselves. Our business, financial condition, and results of operations could be materially adversely affected as a result.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520" w:right="500"/>
        <w:spacing w:after="0" w:line="342" w:lineRule="auto"/>
        <w:rPr>
          <w:sz w:val="20"/>
          <w:szCs w:val="20"/>
          <w:color w:val="auto"/>
        </w:rPr>
      </w:pPr>
      <w:r>
        <w:rPr>
          <w:rFonts w:ascii="Arial" w:cs="Arial" w:eastAsia="Arial" w:hAnsi="Arial"/>
          <w:sz w:val="16"/>
          <w:szCs w:val="16"/>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16"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Public health crises such as pandemics or similar outbreaks could adversely impact our business. The ongoing COVID-19 pandemic has continued to disrupt normal business operations both in and outside of affected areas and has had significant negative impacts on businesses and financial markets worldwide. We continue to monitor our operations and applicable government recommendations and have continued our work-from-home policy for most employees, excluding our laboratory staff and a limited number of non-laboratory employees. Notwithstanding these measures, the evolving COVID-19 pandemic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20" w:firstLine="510"/>
        <w:spacing w:after="0" w:line="270" w:lineRule="auto"/>
        <w:rPr>
          <w:sz w:val="20"/>
          <w:szCs w:val="20"/>
          <w:color w:val="auto"/>
        </w:rPr>
      </w:pPr>
      <w:r>
        <w:rPr>
          <w:rFonts w:ascii="Arial" w:cs="Arial" w:eastAsia="Arial" w:hAnsi="Arial"/>
          <w:sz w:val="17"/>
          <w:szCs w:val="17"/>
          <w:color w:val="auto"/>
        </w:rPr>
        <w:t>In addition, clinical trial activities, including patient enrollment and data collection, are dependent upon global clinical trial sites which have been and continue to be adversely affected by the ongoing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dosing of new patients began to resume in the first half of 2021,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has been delayed and additional delays could result from COVID-19-related interruptions, particularly as new variants of the virus are identified and continue to spread. We are currently conducting clinical trials for our product candidates in the United States, Canada and Australia, and plan to expand to other geographies that have been affected by COVID-19.</w:t>
      </w:r>
    </w:p>
    <w:p>
      <w:pPr>
        <w:spacing w:after="0" w:line="18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Additional factors from the ongoing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880" w:right="140" w:hanging="373"/>
        <w:spacing w:after="0" w:line="26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880" w:right="40" w:hanging="373"/>
        <w:spacing w:after="0" w:line="279"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880" w:right="4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880" w:right="40" w:hanging="373"/>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84" w:lineRule="exact"/>
        <w:rPr>
          <w:rFonts w:ascii="Arial" w:cs="Arial" w:eastAsia="Arial" w:hAnsi="Arial"/>
          <w:sz w:val="18"/>
          <w:szCs w:val="18"/>
          <w:color w:val="auto"/>
        </w:rPr>
      </w:pPr>
    </w:p>
    <w:p>
      <w:pPr>
        <w:ind w:left="880" w:right="100" w:hanging="373"/>
        <w:spacing w:after="0" w:line="342"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880" w:right="2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Since the beginning of the COVID-19 pandemic, three vaccines for COVID-19 have received Emergency Use Authorization by the FDA and one of those later received marketing approval. Additional vaccines may be authorized or approved in the future.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5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These and other factors arising from the ongoing COVID-19 pandemic could worsen and further adversely impact our ability to conduct clinical trials and our business generally, and could have a material adverse impact on our operations and financial condition and results. The extent to which the ongoing COVID-19 pandemic impacts our operations or those of our third party partners will depend on future developments, which are highly uncertain and cannot be predicted with confidence, including the duration of the pandemic, the efficacy and safety of vaccines, including against emerging variants, the ability of third parties to manufacture and distribute vaccines and the public’s willingness to receive such vaccines, and new information that may emerge concerning mutations of the coronavirus that causes COVID-19, among others.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9" w:name="page40"/>
    <w:bookmarkEnd w:id="39"/>
    <w:p>
      <w:pPr>
        <w:ind w:left="520" w:right="28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ongoing COVID-19 pandemic, especially if a resurgence of cases occurs. In addition, the implementation of our plato platform and upgrades, including our transition to Target Concentration Intervention, or TCI, conditioning using busulfan for our single-agent conditioning regimen,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the date of this Quarterly Report we have only dosed eight patients using our plato platform, which we plan to utilize for the majority of patients in our ongoing FAB-GT clinical trial for AVR-RD-01 and all patients in the Guard1 clinical trial of AVR-RD-02.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lentiviral gene therapy.</w:t>
      </w:r>
    </w:p>
    <w:p>
      <w:pPr>
        <w:spacing w:after="0" w:line="174"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Europe, Japan or other major markets or how long it will take to commercialize our product candidates, if any are approved. Approvals by foreign regulatory authorities may not be indicative of what the FDA may require for approval, and vice versa.</w:t>
      </w:r>
    </w:p>
    <w:p>
      <w:pPr>
        <w:spacing w:after="0" w:line="166" w:lineRule="exact"/>
        <w:rPr>
          <w:sz w:val="20"/>
          <w:szCs w:val="20"/>
          <w:color w:val="auto"/>
        </w:rPr>
      </w:pPr>
    </w:p>
    <w:p>
      <w:pPr>
        <w:jc w:val="both"/>
        <w:ind w:right="40" w:firstLine="510"/>
        <w:spacing w:after="0" w:line="287"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If we were to engage an NIH-funded institution to conduct a clinical trial, that institution’s IBC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5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0" w:name="page41"/>
    <w:bookmarkEnd w:id="40"/>
    <w:p>
      <w:pPr>
        <w:ind w:right="120"/>
        <w:spacing w:after="0" w:line="259" w:lineRule="auto"/>
        <w:rPr>
          <w:sz w:val="20"/>
          <w:szCs w:val="20"/>
          <w:color w:val="auto"/>
        </w:rPr>
      </w:pPr>
      <w:r>
        <w:rPr>
          <w:rFonts w:ascii="Arial" w:cs="Arial" w:eastAsia="Arial" w:hAnsi="Arial"/>
          <w:sz w:val="18"/>
          <w:szCs w:val="18"/>
          <w:color w:val="auto"/>
        </w:rPr>
        <w:t>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87"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p>
    <w:p>
      <w:pPr>
        <w:spacing w:after="0" w:line="285" w:lineRule="exact"/>
        <w:rPr>
          <w:sz w:val="20"/>
          <w:szCs w:val="20"/>
          <w:color w:val="auto"/>
        </w:rPr>
      </w:pPr>
    </w:p>
    <w:p>
      <w:pPr>
        <w:jc w:val="both"/>
        <w:ind w:left="520" w:right="20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may lead to discovery of undesirable side effects that could have adverse effects on the development programs for current and future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68"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oncogenesis by the vectors, leading to malignant transformation of transduced cells. As more patients are dosed with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gene therapies and higher VCNs are achieved, it is expected that very rare cases of insertional oncogenesis may occur. In addition, persistent dominant clonal expansion due to vector integration has been observed in third-party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gene therapy clinical trials, including one case of thalassemia and three cases of cerebral adrenoleukodystrophy, or C-ALD. Each of the C-ALD patients developed persistent dominant clonal expansions within a year of gene therapy infusion, and two patients were subsequently diagnosed with myelodysplastic syndrome with single lineage dysplasia. While our lentiviral gene therapy approach is designed to avoid immunogenicity against the drug product after administration, there can be no assurance that patients would not create antibodies that may impair treatment. In addition, although we are investigating a plan to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p>
    <w:p>
      <w:pPr>
        <w:spacing w:after="0" w:line="16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adverse side effects and transiently compromises the patient’s immune system, known as neutropenia, and ability to form blood clots, known as thrombocytopenia.</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1" w:name="page42"/>
    <w:bookmarkEnd w:id="41"/>
    <w:p>
      <w:pPr>
        <w:ind w:right="20" w:firstLine="510"/>
        <w:spacing w:after="0" w:line="268" w:lineRule="auto"/>
        <w:rPr>
          <w:sz w:val="20"/>
          <w:szCs w:val="20"/>
          <w:color w:val="auto"/>
        </w:rPr>
      </w:pPr>
      <w:r>
        <w:rPr>
          <w:rFonts w:ascii="Arial" w:cs="Arial" w:eastAsia="Arial" w:hAnsi="Arial"/>
          <w:sz w:val="17"/>
          <w:szCs w:val="17"/>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TCI, to achieve a balance between the removal of a sufficient amount of bone marrow cells from a patient against potential risks such as toxicity or graft failure. While we believe that the conditioning regimen could be performed during a limited hospital stay, we cannot guarantee that the conditioning will not require a lengthier hospitalization. Our conditioning regimens may not be successful or may nevertheless result in adverse side effects. For example, in each of our ongoing clinical trials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we are investigating a plan to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p>
    <w:p>
      <w:pPr>
        <w:spacing w:after="0" w:line="182" w:lineRule="exact"/>
        <w:rPr>
          <w:sz w:val="20"/>
          <w:szCs w:val="20"/>
          <w:color w:val="auto"/>
        </w:rPr>
      </w:pPr>
    </w:p>
    <w:p>
      <w:pPr>
        <w:jc w:val="both"/>
        <w:ind w:right="380" w:firstLine="510"/>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80"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lead to a decline in our stock price, and significantly harm our business, prospects, financial condition and results of operations.</w:t>
      </w:r>
    </w:p>
    <w:p>
      <w:pPr>
        <w:spacing w:after="0" w:line="278"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b w:val="1"/>
          <w:bCs w:val="1"/>
          <w:i w:val="1"/>
          <w:iCs w:val="1"/>
          <w:color w:val="auto"/>
        </w:rPr>
        <w:t>Our regulatory approach for AVR-RD-01 for the treatment of Fabry disease recently changed, and there can be no assurance that our new, proposed regulatory pathway will be accepted by regulatory agencies.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On March 11, 2021, approximately three weeks before our End-of-Phase 1 meeting for AVR-RD-01 held on March 31, 2021, the FDA granted full (also referred to as traditional) approval of Fabrazyme</w:t>
      </w:r>
      <w:r>
        <w:rPr>
          <w:rFonts w:ascii="Arial" w:cs="Arial" w:eastAsia="Arial" w:hAnsi="Arial"/>
          <w:sz w:val="14"/>
          <w:szCs w:val="14"/>
          <w:color w:val="auto"/>
        </w:rPr>
        <w:t>®</w:t>
      </w:r>
      <w:r>
        <w:rPr>
          <w:rFonts w:ascii="Arial" w:cs="Arial" w:eastAsia="Arial" w:hAnsi="Arial"/>
          <w:sz w:val="17"/>
          <w:szCs w:val="17"/>
          <w:color w:val="auto"/>
        </w:rPr>
        <w:t xml:space="preserve"> (agalsidase beta) more than 18 years after the ERT received accelerated approval on the basis of a surrogate endpoint: reduction of GL-3 (also referred to as Gb3) inclusions in biopsied PTCs. The conversion to full approval limits the accelerated approval pathways available for new therapies to treat Fabry disease, which must now show clinical benefit over Fabrazyme on a surrogate endpoint. Reduction of GL-3 in PTCs is the only surrogate endpoint that has been accepted as a basis for approval for Fabry ERTs at this time. As a result of the Fabrazyme full approval, together with the FDA’s feedback on our original proposed trial design, we intend to pursue full approval for AVR-RD-01 based on the same surrogate endpoint that served as the basis for Fabrazyme’s full approval.</w:t>
      </w:r>
    </w:p>
    <w:p>
      <w:pPr>
        <w:spacing w:after="0" w:line="69"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In September 2021 we received feedback from the FDA on CMC requirements for our planned registration trial, and we expect to engage with the FDA in the first quarter of 2022 to discuss and obtain feedback on our revised clinical trial design. We are currently aiming to initiate a registration trial in mid-2022, subject to implementing certain modifications to our CMC plans and subject to feedback from the FDA on the proposed trial design. However, our planned regulatory pathway is subject to numerous risks, including the following:</w:t>
      </w:r>
    </w:p>
    <w:p>
      <w:pPr>
        <w:spacing w:after="0" w:line="92" w:lineRule="exact"/>
        <w:rPr>
          <w:sz w:val="20"/>
          <w:szCs w:val="20"/>
          <w:color w:val="auto"/>
        </w:rPr>
      </w:pPr>
    </w:p>
    <w:p>
      <w:pPr>
        <w:ind w:left="760" w:hanging="388"/>
        <w:spacing w:after="0" w:line="25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guidance provides that the acceptability of surrogate endpoints is determined on a case-by-case basis, and a particular surrogate endpoint that may be appropriate for use in a particular drug or biologic clinical development program should not be assumed to be appropriate for use in a different program that is in a different clinical setting. Although we believe the recent full approval of Fabrazyme on the basis of a surrogate endpoint of complete/near complete reduction of GL-3 inclusions in biopsied renal PTCs may potentially support use of this endpoint in a registration trial of AVR-RD-01, we have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left="760" w:right="280"/>
        <w:spacing w:after="0" w:line="279" w:lineRule="auto"/>
        <w:rPr>
          <w:sz w:val="20"/>
          <w:szCs w:val="20"/>
          <w:color w:val="auto"/>
        </w:rPr>
      </w:pPr>
      <w:r>
        <w:rPr>
          <w:rFonts w:ascii="Arial" w:cs="Arial" w:eastAsia="Arial" w:hAnsi="Arial"/>
          <w:sz w:val="17"/>
          <w:szCs w:val="17"/>
          <w:color w:val="auto"/>
        </w:rPr>
        <w:t>not discussed this proposed surrogate endpoint with the FDA and there can be no assurance that the FDA will agree with our approach. Moreover, the FDA could require longer clinical or follow-up study requirements for patients, specify patient inclusion criteria that limits our ability to successfully and timely recruit and enroll patients, or require other study design details that will require additional clinical work or render our earlier clinical data of limited utility in support of an application for marketing authorization.</w:t>
      </w:r>
    </w:p>
    <w:p>
      <w:pPr>
        <w:spacing w:after="0" w:line="77" w:lineRule="exact"/>
        <w:rPr>
          <w:sz w:val="20"/>
          <w:szCs w:val="20"/>
          <w:color w:val="auto"/>
        </w:rPr>
      </w:pPr>
    </w:p>
    <w:p>
      <w:pPr>
        <w:ind w:left="760" w:hanging="388"/>
        <w:spacing w:after="0" w:line="273"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Even if we obtain alignment with the FDA on our proposed regulatory pathway, without undertaking the special protocol assessment process to obtain FDA agreement on the details of the trial design, including the measurement methodology, number of trial participants and study duration, there is a risk that the FDA may disagree with the final details of our trial design. In addition, although we would propose to the FDA that the registration trial would enroll a number of patients comparable to other orphan disease gene therapy trials, the FDA could require us to enroll more patients than we expect. We have previously encountered delays in patient enrollment and recruitment, and any similar delays in the future could affect our ability to successfully complete a registration trial.</w:t>
      </w:r>
    </w:p>
    <w:p>
      <w:pPr>
        <w:spacing w:after="0" w:line="83" w:lineRule="exact"/>
        <w:rPr>
          <w:rFonts w:ascii="Arial" w:cs="Arial" w:eastAsia="Arial" w:hAnsi="Arial"/>
          <w:sz w:val="17"/>
          <w:szCs w:val="17"/>
          <w:color w:val="auto"/>
        </w:rPr>
      </w:pPr>
    </w:p>
    <w:p>
      <w:pPr>
        <w:ind w:left="740" w:right="40" w:hanging="368"/>
        <w:spacing w:after="0" w:line="268"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our new proposed regulatory pathway is uncertain. Although we intend to engage with the FDA in the first quarter of 2022 to discuss our proposed trial design, we have not yet requested such meeting and there can be no assurances that the FDA will be available to meet with us in a timely manner, particularly given the agency’s workload during the ongoing COVID-19 pandemic. Additionally, we will need to make certain modifications to our CMC plans in response to the feedback we received from the FDA in September 2021, and we expect to discuss these modifications at our planned FDA meeting in the first quarter of 2022. Although we believe that we’ll be able to successfully implement any required CMC modifications without material delay on the expected timing of our clinical trial initiation, there can be no assurances that the FDA will agree with our proposed CMC plans or that we will be able to implement such plans in a timely manner. Even if we obtain alignment with the FDA on our proposed trial design and CMC readiness, we will need to submit a registration study protocol before we can commence a clinical trial, the timing of which will depend in part upon our interactions with the FDA. Our planned engagement with the FDA and submission of the protocol could be delayed, and as a result we may not be able to initiate a clinical trial in mid-2022, if at all. Furthermore, although the kidney biopsy endpoint in our FAB-GT trial has a 48-week follow-up period, even if the FDA agrees to a kidney biopsy surrogate endpoint in our proposed registration trial design, the FDA could require the follow-up period to be longer than 48-weeks, which would increase the length of the trial and delay any submission of a BLA.</w:t>
      </w:r>
    </w:p>
    <w:p>
      <w:pPr>
        <w:spacing w:after="0" w:line="18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Clinical testing is expensive, time-consuming and uncertain as to outcome. We cannot guarantee that any clinical studies, including our proposed registration trial of AVR-RD-01, will be conducted as planned or completed on schedule, if at all. Even if we are able to complete a registration trial for AVR-RD-01 and receive marketing approval, such approval may be for indications or patient populations that are not as broad as intended or desired, which could limit the potential commercial viability of the approved product. Any inability to successfully conduct our proposed registration trial of AVR-RD-01 using a kidney biopsy surrogate endpoint or other inability to successfully complete our clinical development of AVR-RD-01 could result in additional costs to us and impair our ability to generate revenues.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have never completed a pivotal or registration clinical trial, and may be unable to do so for any product candidates we may develop.</w:t>
      </w:r>
    </w:p>
    <w:p>
      <w:pPr>
        <w:spacing w:after="0" w:line="140"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are at an early stage of development for all of our product candidates. As of the date of this Quarterly Report, we have dosed only 19 patients across four ongoing clinical trials. These ongoing clinical trials, as well as potentially additional pivotal clinical trials (also referred to as registration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w:t>
      </w:r>
    </w:p>
    <w:p>
      <w:pPr>
        <w:spacing w:after="0" w:line="15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which we refer to as the FAB-GT clinical trial, is the change, from baseline to one year post-treatment with AVR-RD-01, in the average number of Gb3 inclusions per PTC, as measured in a patient kidney biopsy. The second patient in the FAB-GT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FAB-GT clinical trial, including kidney and skin biopsies. Nonetheless, there may be other important insights derived from data collected from this patient in the FAB-GT clinical trial. In addition, although a kidney biopsy was performed on the third patient in the FAB-GT clinical trial, as a result of human error in processing the biopsy sample at the external laboratory vendor, the kidney Gb3 inclusions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80"/>
        <w:spacing w:after="0" w:line="277" w:lineRule="auto"/>
        <w:rPr>
          <w:sz w:val="20"/>
          <w:szCs w:val="20"/>
          <w:color w:val="auto"/>
        </w:rPr>
      </w:pPr>
      <w:r>
        <w:rPr>
          <w:rFonts w:ascii="Arial" w:cs="Arial" w:eastAsia="Arial" w:hAnsi="Arial"/>
          <w:sz w:val="18"/>
          <w:szCs w:val="18"/>
          <w:color w:val="auto"/>
        </w:rPr>
        <w:t>could not be evaluated and will not be available. However, we expect to continue collecting other data from the third patient, including measures of kidney function such as estimated glomerular filtration rate and measured glomerular filtration rate.</w:t>
      </w:r>
    </w:p>
    <w:p>
      <w:pPr>
        <w:spacing w:after="0" w:line="17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addition, across our company-sponsored clinical trials we have dosed only one patient in the United States, and our interactions with the FDA have generally been limited. We cannot be certain how many additional clinical trials of AVR-RD-01,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AVR-RD-01 and AVR-RD-02, and the sponsor of the investigator-led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7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and the ongoing Phase 1/2 clinical trial of AVR-RD-04 is also an investigator-sponsored clinical trial, which is being conducted by our collaborators at the University of California, San Diego. In addition, the planned Phase 1/2 clinical trial of AVR-RD-05 will be an investigator-sponsored trial conducted by our collaborators at The University of Manchester.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p>
    <w:p>
      <w:pPr>
        <w:spacing w:after="0" w:line="185"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49"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20"/>
        <w:spacing w:after="0" w:line="273" w:lineRule="auto"/>
        <w:rPr>
          <w:sz w:val="20"/>
          <w:szCs w:val="20"/>
          <w:color w:val="auto"/>
        </w:rPr>
      </w:pPr>
      <w:r>
        <w:rPr>
          <w:rFonts w:ascii="Arial" w:cs="Arial" w:eastAsia="Arial" w:hAnsi="Arial"/>
          <w:sz w:val="17"/>
          <w:szCs w:val="17"/>
          <w:color w:val="auto"/>
        </w:rPr>
        <w:t>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until the database is locked at the end of the study.</w:t>
      </w:r>
    </w:p>
    <w:p>
      <w:pPr>
        <w:spacing w:after="0" w:line="286"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Although we expect to have dosed an aggregate of 20 to 25 patients across all our clinical programs by the end of 2021, there can be no assurance we will achieve that goal. 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begun to resume, there could be additional pauses in the future as a result of the COVID-19 pandemic or other factors.</w:t>
      </w:r>
    </w:p>
    <w:p>
      <w:pPr>
        <w:spacing w:after="0" w:line="17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which we refer to as the Guard1 clinical trial. While a number of patients had been identified for the Guard1 clinical trial, we encountered patient pre-screening failures that impacted the commencement of enrollment. Additionally, as a result of the COVID-19 pandemic, in 2020 we encountered protracted timelines with our Guard1 investigational site startup activities, which also impacted patient enrollment.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180" w:firstLine="510"/>
        <w:spacing w:after="0" w:line="253" w:lineRule="auto"/>
        <w:rPr>
          <w:sz w:val="20"/>
          <w:szCs w:val="20"/>
          <w:color w:val="auto"/>
        </w:rPr>
      </w:pPr>
      <w:r>
        <w:rPr>
          <w:rFonts w:ascii="Arial" w:cs="Arial" w:eastAsia="Arial" w:hAnsi="Arial"/>
          <w:sz w:val="18"/>
          <w:szCs w:val="18"/>
          <w:color w:val="auto"/>
        </w:rPr>
        <w:t>We have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19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contract research organizations, or CROs, clinical study sites and physicians;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jc w:val="both"/>
        <w:ind w:right="420" w:firstLine="51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6" w:name="page47"/>
    <w:bookmarkEnd w:id="46"/>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for our FAB-GT clinical trial of AVR-RD-01,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FAB-GT clinical study of AVR-RD-01 for Fabry disease in the United States, which was cleared by the FDA in April 2019, included data to demonstrate comparability between LV1 and LV2 and a transition to an automated manufacturing platform. In addition, our CTA (including amendments) and IND for our Guard1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Additionally, the study drug for the planned investigator-sponsored clinical study of AVR-RD-05 for Hunter syndrome will not be manufactured using our plato platform, and neither the automated, closed manufacturing system nor LV2 will be used in connection with this clinical trial.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left="520" w:right="92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89"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b w:val="1"/>
          <w:bCs w:val="1"/>
          <w:i w:val="1"/>
          <w:iCs w:val="1"/>
          <w:color w:val="auto"/>
        </w:rPr>
        <w:t>Only certain of our clinical trials, including the Phase 2 FAB-GT clinical trial of AVR-RD-01 for Fabry disease and the Phase 1/2 Guard1 clinical trial of AVR-RD-02 for Gaucher disease type 1, utilize our commercial-scale plato platform.</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While we have submitted and intend to continue to submit comparability studies to the FDA and other regulatory agencies, as needed, with respect to our implementation of our commercial-scale plato platform in these and future clinical trials sponsored by us,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commercial-scale plato platform, including heightened vector efficiency, our closed, automated manufacturing system and utilization of a TCI conditioning regimen with busulfan,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94" w:lineRule="exact"/>
        <w:rPr>
          <w:sz w:val="20"/>
          <w:szCs w:val="20"/>
          <w:color w:val="auto"/>
        </w:rPr>
      </w:pPr>
    </w:p>
    <w:p>
      <w:pPr>
        <w:ind w:left="520" w:right="80"/>
        <w:spacing w:after="0" w:line="311"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4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In March 2021, Fabrazyme, marketed by Sanofi Genzyme, received full (also referred to as traditional) approval more than 18 years after the ERT received accelerated approval on the basis of a surrogate endpoint. Amicus has secured regulatory approval in the United States and Europe for Migalastat, its oral chaperone therapy for Fabry disease. In addition, Protalix BioTherapeutics, together with Chiesi Global Rare Diseases, is developing pegunigalsidase alfa, their investigational product candidate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and Shire markets an enzyme replacement therapy for Hunter syndrome. Cystinosis is currently treated by therapies marketed by Horizon Orphan, Mylan, Chiesi, Recordati and Sigma Tau Pharmaceuticals, and Eloxx Pharmaceuticals has been advancing a new treatment in clinical trials. In addition, we may compete with other gene therapy companies in our industry such as bluebird bio and Spark Therapeutics (which was acquired by Roche in 2019). In particular, 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right="600"/>
        <w:spacing w:after="0" w:line="277" w:lineRule="auto"/>
        <w:rPr>
          <w:sz w:val="20"/>
          <w:szCs w:val="20"/>
          <w:color w:val="auto"/>
        </w:rPr>
      </w:pPr>
      <w:r>
        <w:rPr>
          <w:rFonts w:ascii="Arial" w:cs="Arial" w:eastAsia="Arial" w:hAnsi="Arial"/>
          <w:sz w:val="18"/>
          <w:szCs w:val="18"/>
          <w:color w:val="auto"/>
        </w:rPr>
        <w:t>number of gene therapy companies have announced preclinical or clinical non-viral and adeno-associated viral based gene therapy programs that, if successful in obtaining regulatory approval, could compete with our gene therapies.</w:t>
      </w:r>
    </w:p>
    <w:p>
      <w:pPr>
        <w:spacing w:after="0" w:line="170"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5"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9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60"/>
        <w:spacing w:after="0" w:line="287" w:lineRule="auto"/>
        <w:rPr>
          <w:sz w:val="20"/>
          <w:szCs w:val="20"/>
          <w:color w:val="auto"/>
        </w:rPr>
      </w:pPr>
      <w:r>
        <w:rPr>
          <w:rFonts w:ascii="Arial" w:cs="Arial" w:eastAsia="Arial" w:hAnsi="Arial"/>
          <w:sz w:val="16"/>
          <w:szCs w:val="16"/>
          <w:color w:val="auto"/>
        </w:rPr>
        <w:t>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6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FAB-GT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0" w:lineRule="exact"/>
        <w:rPr>
          <w:sz w:val="20"/>
          <w:szCs w:val="20"/>
          <w:color w:val="auto"/>
        </w:rPr>
      </w:pPr>
    </w:p>
    <w:p>
      <w:pPr>
        <w:ind w:left="520" w:right="10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December 2018, October 2019 and March 2020, the FDA granted our requests for orphan drug designation for AVR-RD-01 for the treatment of Fabry disease, AVR-RD-02 for the treatment of Gaucher disease and AVR-RD-04 for the treatment of cystinosis, respectively. In September 2020, October 2020 and March 2021 we announced that the European Commission granted our request for orphan drug designation for AVR-RD-02 for the treatment of Gaucher disease, AVR-RD-01 for the treatment of Fabry disease, and AVR-RD-04 for the treatment of cystinosis, respectively.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nine years if a product no longer meets the criteria for orphan drug designation or if the product is sufficiently profitable so that market exclusivity is no longer justified. Orphan drug exclusivity may be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right="240"/>
        <w:spacing w:after="0" w:line="277" w:lineRule="auto"/>
        <w:rPr>
          <w:sz w:val="20"/>
          <w:szCs w:val="20"/>
          <w:color w:val="auto"/>
        </w:rPr>
      </w:pPr>
      <w:r>
        <w:rPr>
          <w:rFonts w:ascii="Arial" w:cs="Arial" w:eastAsia="Arial" w:hAnsi="Arial"/>
          <w:sz w:val="18"/>
          <w:szCs w:val="18"/>
          <w:color w:val="auto"/>
        </w:rPr>
        <w:t>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880" w:right="6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ind w:right="10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520" w:right="82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4"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2" w:name="page53"/>
    <w:bookmarkEnd w:id="52"/>
    <w:p>
      <w:pPr>
        <w:ind w:firstLine="510"/>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20" w:right="5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have moved our cell processing to an automated, closed system with a single third-party supplier.</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Any of these third parties may terminate their engagements with us or renegotiate the terms of our agreements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7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will not be available. Although our quality assurance personnel have worked closely with the external vendor to identify the cause of the vendor error and to identify additional protocols for implementation by the vendor that are designed to prevent similar errors in the future, there can be no assurances that such protocols will be successfully implemented by the vendor.</w:t>
      </w:r>
    </w:p>
    <w:p>
      <w:pPr>
        <w:spacing w:after="0" w:line="174"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62"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880" w:right="54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53" w:name="page54"/>
    <w:bookmarkEnd w:id="53"/>
    <w:p>
      <w:pPr>
        <w:ind w:left="52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left="520" w:right="56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ongoing COVID-19 pandemic, the FDA may issue a complete response letter or defer action on our applications, and approval of the products may be delayed or may not be granted.</w:t>
      </w:r>
    </w:p>
    <w:p>
      <w:pPr>
        <w:spacing w:after="0" w:line="18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right="200" w:firstLine="51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9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would adversely affect our business, financial condition, results of operations and prospects.</w:t>
      </w:r>
    </w:p>
    <w:p>
      <w:pPr>
        <w:spacing w:after="0" w:line="303"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0"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880" w:right="440" w:hanging="373"/>
        <w:spacing w:after="0" w:line="308"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7" w:name="page58"/>
    <w:bookmarkEnd w:id="57"/>
    <w:p>
      <w:pPr>
        <w:ind w:right="320"/>
        <w:spacing w:after="0" w:line="277" w:lineRule="auto"/>
        <w:rPr>
          <w:sz w:val="20"/>
          <w:szCs w:val="20"/>
          <w:color w:val="auto"/>
        </w:rPr>
      </w:pPr>
      <w:r>
        <w:rPr>
          <w:rFonts w:ascii="Arial" w:cs="Arial" w:eastAsia="Arial" w:hAnsi="Arial"/>
          <w:sz w:val="18"/>
          <w:szCs w:val="18"/>
          <w:color w:val="auto"/>
        </w:rPr>
        <w:t>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77"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left="520" w:right="4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4"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2010, the Patient Protection and Affordable Care Act,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72"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Members of Congress have introduced several pieces of legislation aimed at significantly revising or repealing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2030 unless additional Congressional action is taken; however, pursuant to the Coronavirus Aid, Relief, and Economic Security Act, also known as the CARES Act, these reductions have been suspended from May 1, 2020 through December 31, 2020 due to the COVID-19 pandemic. The Consolidated Appropriations Act of 2021, extended the suspension period to March 31, 2021. An Act to Prevent Across-the-Board Direct Spending Cuts, and for Other Purposes, signed into law on April 14, 2021, has extended the suspension period to December 31, 2021. In January 2013, the American Taxpayer Relief Act of 2012, was signed into law, which, among other things, further reduced Medicare payments to several providers, including hospitals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right="340"/>
        <w:spacing w:after="0" w:line="277" w:lineRule="auto"/>
        <w:rPr>
          <w:sz w:val="20"/>
          <w:szCs w:val="20"/>
          <w:color w:val="auto"/>
        </w:rPr>
      </w:pPr>
      <w:r>
        <w:rPr>
          <w:rFonts w:ascii="Arial" w:cs="Arial" w:eastAsia="Arial" w:hAnsi="Arial"/>
          <w:sz w:val="18"/>
          <w:szCs w:val="18"/>
          <w:color w:val="auto"/>
        </w:rPr>
        <w:t>and cancer treatment centers, and increased the statute of limitations period for the government to recover overpayments to providers from three to five years.</w:t>
      </w:r>
    </w:p>
    <w:p>
      <w:pPr>
        <w:spacing w:after="0" w:line="170"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directs the FDA to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Additionally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The MFN is currently subject to ongoing litigation.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18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220" w:firstLine="51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8" w:lineRule="exact"/>
        <w:rPr>
          <w:sz w:val="20"/>
          <w:szCs w:val="20"/>
          <w:color w:val="auto"/>
        </w:rPr>
      </w:pPr>
    </w:p>
    <w:p>
      <w:pPr>
        <w:ind w:left="5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As of May 2021, certain inspections, such as foreign preapproval, surveillance, and for-cause inspections that are not deemed mission-critical, remain temporarily postponed.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 Additionally, 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In 2020 and 2021,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83" w:lineRule="exact"/>
        <w:rPr>
          <w:sz w:val="20"/>
          <w:szCs w:val="20"/>
          <w:color w:val="auto"/>
        </w:rPr>
      </w:pPr>
    </w:p>
    <w:p>
      <w:pPr>
        <w:ind w:left="520" w:right="120"/>
        <w:spacing w:after="0" w:line="375"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 w:lineRule="exact"/>
        <w:rPr>
          <w:sz w:val="20"/>
          <w:szCs w:val="20"/>
          <w:color w:val="auto"/>
        </w:rPr>
      </w:pPr>
    </w:p>
    <w:p>
      <w:pPr>
        <w:jc w:val="both"/>
        <w:ind w:right="160" w:firstLine="510"/>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520" w:right="16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lentiviral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7"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our ability to recruit and retain qualified personnel could be impacted by other factors, such as remote or hybrid working arrangements, including those resulting from the ongoing COVID-19 pandemic, which could impact employees’ productivity and morale, as well as any failure to succeed in preclinical or clinical trials. The inability to recruit or the loss of the services of any executive, key employee, consultant or advisor may impede the progress of our research, development and commercialization objectives.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As we mature, we expect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2" w:name="page63"/>
    <w:bookmarkEnd w:id="62"/>
    <w:p>
      <w:pPr>
        <w:ind w:right="300"/>
        <w:spacing w:after="0" w:line="259" w:lineRule="auto"/>
        <w:rPr>
          <w:sz w:val="20"/>
          <w:szCs w:val="20"/>
          <w:color w:val="auto"/>
        </w:rPr>
      </w:pPr>
      <w:r>
        <w:rPr>
          <w:rFonts w:ascii="Arial" w:cs="Arial" w:eastAsia="Arial" w:hAnsi="Arial"/>
          <w:sz w:val="18"/>
          <w:szCs w:val="18"/>
          <w:color w:val="auto"/>
        </w:rPr>
        <w:t>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95"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left="520" w:right="10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4" w:lineRule="exact"/>
        <w:rPr>
          <w:sz w:val="20"/>
          <w:szCs w:val="20"/>
          <w:color w:val="auto"/>
        </w:rPr>
      </w:pPr>
    </w:p>
    <w:p>
      <w:pPr>
        <w:ind w:left="880" w:right="80" w:hanging="373"/>
        <w:spacing w:after="0" w:line="272"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left="880"/>
        <w:spacing w:after="0" w:line="269" w:lineRule="auto"/>
        <w:rPr>
          <w:sz w:val="20"/>
          <w:szCs w:val="20"/>
          <w:color w:val="auto"/>
        </w:rPr>
      </w:pPr>
      <w:r>
        <w:rPr>
          <w:rFonts w:ascii="Arial" w:cs="Arial" w:eastAsia="Arial" w:hAnsi="Arial"/>
          <w:sz w:val="17"/>
          <w:szCs w:val="17"/>
          <w:color w:val="auto"/>
        </w:rPr>
        <w:t>pharmaceutical manufacturers on the one hand and prescribers, purchasers, and formulary managers on the other. There are a number of statutory exceptions and regulatory safe harbors protecting some common activities from prosecution.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w:t>
      </w:r>
    </w:p>
    <w:p>
      <w:pPr>
        <w:spacing w:after="0" w:line="77" w:lineRule="exact"/>
        <w:rPr>
          <w:sz w:val="20"/>
          <w:szCs w:val="20"/>
          <w:color w:val="auto"/>
        </w:rPr>
      </w:pPr>
    </w:p>
    <w:p>
      <w:pPr>
        <w:ind w:left="880" w:right="40" w:hanging="373"/>
        <w:spacing w:after="0" w:line="271"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880" w:right="60" w:hanging="373"/>
        <w:spacing w:after="0" w:line="259"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880" w:right="20" w:hanging="373"/>
        <w:spacing w:after="0" w:line="291"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880" w:right="80" w:hanging="373"/>
        <w:spacing w:after="0" w:line="279"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880" w:right="80" w:hanging="373"/>
        <w:spacing w:after="0" w:line="293"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physician assistants, nurse practitioners, clinical nurse specialists, certified registered nurse anesthetists and teaching hospitals, as well as ownership and investment interests held by the physicians described above and their immediate family members.</w:t>
      </w:r>
    </w:p>
    <w:p>
      <w:pPr>
        <w:spacing w:after="0" w:line="56" w:lineRule="exact"/>
        <w:rPr>
          <w:rFonts w:ascii="Arial" w:cs="Arial" w:eastAsia="Arial" w:hAnsi="Arial"/>
          <w:sz w:val="16"/>
          <w:szCs w:val="16"/>
          <w:color w:val="auto"/>
        </w:rPr>
      </w:pPr>
    </w:p>
    <w:p>
      <w:pPr>
        <w:ind w:left="880" w:right="8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4" w:name="page65"/>
    <w:bookmarkEnd w:id="64"/>
    <w:p>
      <w:pPr>
        <w:ind w:right="40"/>
        <w:spacing w:after="0" w:line="259" w:lineRule="auto"/>
        <w:rPr>
          <w:sz w:val="20"/>
          <w:szCs w:val="20"/>
          <w:color w:val="auto"/>
        </w:rPr>
      </w:pPr>
      <w:r>
        <w:rPr>
          <w:rFonts w:ascii="Arial" w:cs="Arial" w:eastAsia="Arial" w:hAnsi="Arial"/>
          <w:sz w:val="18"/>
          <w:szCs w:val="18"/>
          <w:color w:val="auto"/>
        </w:rPr>
        <w:t>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jc w:val="both"/>
        <w:ind w:right="120"/>
        <w:spacing w:after="0" w:line="311" w:lineRule="auto"/>
        <w:rPr>
          <w:sz w:val="20"/>
          <w:szCs w:val="20"/>
          <w:color w:val="auto"/>
        </w:rPr>
      </w:pPr>
      <w:r>
        <w:rPr>
          <w:rFonts w:ascii="Arial" w:cs="Arial" w:eastAsia="Arial" w:hAnsi="Arial"/>
          <w:sz w:val="16"/>
          <w:szCs w:val="16"/>
          <w:color w:val="auto"/>
        </w:rPr>
        <w:t>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currently plan to conduct clinical trials in the European Union, or EU, and the United Kingdom, or UK, and as a result will be subject to additional privacy restrictions. The collection, use, disclosure, transfer or other processing of personal health data in the EU is governed by the provisions of the General Data Protection Regulation, or GDPR.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European Economic Area by expanding the definition of personal data to include coded data and requiring changes to informed consent practices and more detailed notices for clinical trial subjects and investigators. In addition, the GDPR imposes strict rules on the transfer of personal data out of the European Union, including to the United States, and as a result increases scrutiny that such rules may apply to transfers of personal data from any clinical trial sites located in the EU and the UK to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72"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76"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Further, the UK exited the EU effective January 31, 2020, subject to a transition period that ended December 31, 2020. Following the UK’s withdrawal from the EU on January 31, 2020, pursuant to the transitional arrangements agreed to between the UK and EU, the GDPR continued to have effect under law in the UK, and continued to do so until December 31, 2020 as if the UK remained a member state of the EU for such purposes. Following December 31, 2020, and the expiry of those transitional arrangements, the data protection obligations of the GDPR continue to apply to UK-related processing of personal data in substantially unvaried form and fashion under the so-called “UK GDPR” (i.e., the GDPR as it continues to form part of UK law by virtue of section 3 of the European Union (Withdrawal) Act 2018, as amended (including by the various Data Protection, Privacy and Electronic Communications (Amendments etc.) (EU Exit) Regulations)).</w:t>
      </w:r>
    </w:p>
    <w:p>
      <w:pPr>
        <w:spacing w:after="0" w:line="303" w:lineRule="exact"/>
        <w:rPr>
          <w:sz w:val="20"/>
          <w:szCs w:val="20"/>
          <w:color w:val="auto"/>
        </w:rPr>
      </w:pPr>
    </w:p>
    <w:p>
      <w:pPr>
        <w:jc w:val="both"/>
        <w:ind w:left="520" w:right="4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carry master product liability insurance of $5.0 million per occurrence and $5.0 million in the aggregate in the United States. For studies conducted in Australia and Canada,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7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ind w:left="520" w:right="9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As of December 31, 2020, we had federal and state net operating loss carryforwards of $214.0 million and $201.6 million, respectively, and federal and state research and development tax credit carryforwards of approximately $3.7 million and $0.7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right="120"/>
        <w:spacing w:after="0" w:line="296" w:lineRule="auto"/>
        <w:rPr>
          <w:sz w:val="20"/>
          <w:szCs w:val="20"/>
          <w:color w:val="auto"/>
        </w:rPr>
      </w:pPr>
      <w:r>
        <w:rPr>
          <w:rFonts w:ascii="Arial" w:cs="Arial" w:eastAsia="Arial" w:hAnsi="Arial"/>
          <w:sz w:val="16"/>
          <w:szCs w:val="16"/>
          <w:color w:val="auto"/>
        </w:rPr>
        <w:t>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80"/>
        <w:spacing w:after="0" w:line="255" w:lineRule="auto"/>
        <w:rPr>
          <w:sz w:val="20"/>
          <w:szCs w:val="20"/>
          <w:color w:val="auto"/>
        </w:rPr>
      </w:pPr>
      <w:r>
        <w:rPr>
          <w:rFonts w:ascii="Arial" w:cs="Arial" w:eastAsia="Arial" w:hAnsi="Arial"/>
          <w:sz w:val="18"/>
          <w:szCs w:val="18"/>
          <w:color w:val="auto"/>
        </w:rPr>
        <w:t>Network (relevant to AVR-RD-01 and our Fabry program) and affiliates of Lund University (relevant to AVR-RD-02 and our Gaucher type 1 program). In addition, we have in-licensed patents and patent applications from BioMarin Pharmaceutical Inc., or BioMarin (relevant to AVR-RD-03 and our Pompe program), GenStem Therapeutics, Inc., or GenStem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9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right="60"/>
        <w:spacing w:after="0" w:line="257" w:lineRule="auto"/>
        <w:rPr>
          <w:sz w:val="20"/>
          <w:szCs w:val="20"/>
          <w:color w:val="auto"/>
        </w:rPr>
      </w:pPr>
      <w:r>
        <w:rPr>
          <w:rFonts w:ascii="Arial" w:cs="Arial" w:eastAsia="Arial" w:hAnsi="Arial"/>
          <w:sz w:val="18"/>
          <w:szCs w:val="18"/>
          <w:color w:val="auto"/>
        </w:rPr>
        <w:t>candidates. While we have in-licensed patents and patent applications relevant to AVR-RD-03, we currently have no owned or in-licensed patents or patent applications covering AVR-RD-01, AVR-RD-02 or AVR-RD-06, and the patent applications that we in-licensed related to AVR-RD-04 and AVR-RD-05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2"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86"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right="20"/>
        <w:spacing w:after="0" w:line="286" w:lineRule="auto"/>
        <w:rPr>
          <w:sz w:val="20"/>
          <w:szCs w:val="20"/>
          <w:color w:val="auto"/>
        </w:rPr>
      </w:pPr>
      <w:r>
        <w:rPr>
          <w:rFonts w:ascii="Arial" w:cs="Arial" w:eastAsia="Arial" w:hAnsi="Arial"/>
          <w:sz w:val="17"/>
          <w:szCs w:val="17"/>
          <w:color w:val="auto"/>
        </w:rPr>
        <w:t>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3"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3" w:lineRule="exact"/>
        <w:rPr>
          <w:sz w:val="20"/>
          <w:szCs w:val="20"/>
          <w:color w:val="auto"/>
        </w:rPr>
      </w:pPr>
    </w:p>
    <w:p>
      <w:pPr>
        <w:ind w:left="520" w:right="10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have licensed from GenStem.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60"/>
        <w:spacing w:after="0" w:line="288" w:lineRule="auto"/>
        <w:rPr>
          <w:sz w:val="20"/>
          <w:szCs w:val="20"/>
          <w:color w:val="auto"/>
        </w:rPr>
      </w:pPr>
      <w:r>
        <w:rPr>
          <w:rFonts w:ascii="Arial" w:cs="Arial" w:eastAsia="Arial" w:hAnsi="Arial"/>
          <w:sz w:val="16"/>
          <w:szCs w:val="16"/>
          <w:color w:val="auto"/>
        </w:rPr>
        <w:t>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6"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80"/>
        <w:spacing w:after="0" w:line="263" w:lineRule="auto"/>
        <w:rPr>
          <w:sz w:val="20"/>
          <w:szCs w:val="20"/>
          <w:color w:val="auto"/>
        </w:rPr>
      </w:pPr>
      <w:r>
        <w:rPr>
          <w:rFonts w:ascii="Arial" w:cs="Arial" w:eastAsia="Arial" w:hAnsi="Arial"/>
          <w:sz w:val="18"/>
          <w:szCs w:val="18"/>
          <w:color w:val="auto"/>
        </w:rPr>
        <w:t>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84"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registered the marks “AVROBIO” and “plato” with the USPTO but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right="5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left="880" w:right="38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or license in the future will not lead to issued patents;</w:t>
      </w:r>
    </w:p>
    <w:p>
      <w:pPr>
        <w:spacing w:after="0" w:line="128" w:lineRule="exact"/>
        <w:rPr>
          <w:rFonts w:ascii="Arial" w:cs="Arial" w:eastAsia="Arial" w:hAnsi="Arial"/>
          <w:sz w:val="17"/>
          <w:szCs w:val="17"/>
          <w:color w:val="auto"/>
        </w:rPr>
      </w:pPr>
    </w:p>
    <w:p>
      <w:pPr>
        <w:ind w:left="880" w:right="44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880" w:right="860" w:hanging="373"/>
        <w:spacing w:after="0" w:line="308"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880" w:right="82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October 29, 2021, the trading price of our common stock has ranged from $5.23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results or delays in ongoing or planned preclinical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comply with the terms of our Term Loan Agreement;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4"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Based on shares outstanding as of October 29, 2021, our executive officers, directors, five percent stockholders and their affiliates beneficially owned approximately 45%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53" w:lineRule="auto"/>
        <w:tabs>
          <w:tab w:leader="none" w:pos="3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84" w:lineRule="exact"/>
        <w:rPr>
          <w:rFonts w:ascii="Arial" w:cs="Arial" w:eastAsia="Arial" w:hAnsi="Arial"/>
          <w:sz w:val="18"/>
          <w:szCs w:val="18"/>
          <w:color w:val="auto"/>
        </w:rPr>
      </w:pPr>
    </w:p>
    <w:p>
      <w:pPr>
        <w:ind w:left="880" w:hanging="373"/>
        <w:spacing w:after="0"/>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880" w:right="580" w:hanging="373"/>
        <w:spacing w:after="0" w:line="263" w:lineRule="auto"/>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right="240" w:hanging="373"/>
        <w:spacing w:after="0" w:line="342" w:lineRule="auto"/>
        <w:tabs>
          <w:tab w:leader="none" w:pos="8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not included in this Annual Report, and do not intend to include in our 2021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92"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ind w:right="20" w:firstLine="510"/>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20" w:right="4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b w:val="1"/>
          <w:bCs w:val="1"/>
          <w:i w:val="1"/>
          <w:iCs w:val="1"/>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2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If we are unable to successfully remediate any future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7" w:name="page78"/>
    <w:bookmarkEnd w:id="77"/>
    <w:p>
      <w:pPr>
        <w:ind w:right="60"/>
        <w:spacing w:after="0" w:line="277" w:lineRule="auto"/>
        <w:rPr>
          <w:sz w:val="20"/>
          <w:szCs w:val="20"/>
          <w:color w:val="auto"/>
        </w:rPr>
      </w:pPr>
      <w:r>
        <w:rPr>
          <w:rFonts w:ascii="Arial" w:cs="Arial" w:eastAsia="Arial" w:hAnsi="Arial"/>
          <w:sz w:val="18"/>
          <w:szCs w:val="18"/>
          <w:color w:val="auto"/>
        </w:rPr>
        <w:t>Accordingly, because of the inherent limitations in our control system, misstatements or insufficient disclosures due to error or fraud may occur and not be detected.</w:t>
      </w:r>
    </w:p>
    <w:p>
      <w:pPr>
        <w:spacing w:after="0" w:line="278"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October 29, 2021,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Term Loan Agreement restricts our ability to pay certain kinds of dividends or to make certain kinds of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4"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880" w:hanging="373"/>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w:t>
      </w:r>
    </w:p>
    <w:p>
      <w:pPr>
        <w:spacing w:after="0" w:line="2" w:lineRule="exact"/>
        <w:rPr>
          <w:sz w:val="20"/>
          <w:szCs w:val="20"/>
          <w:color w:val="auto"/>
        </w:rPr>
      </w:pPr>
    </w:p>
    <w:p>
      <w:pPr>
        <w:ind w:right="20" w:firstLine="8"/>
        <w:spacing w:after="0" w:line="251"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The COVID-19 pandemic has caused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left="520" w:right="20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117" w:lineRule="exact"/>
        <w:rPr>
          <w:sz w:val="20"/>
          <w:szCs w:val="20"/>
          <w:color w:val="auto"/>
        </w:rPr>
      </w:pPr>
    </w:p>
    <w:p>
      <w:pPr>
        <w:ind w:firstLine="849"/>
        <w:spacing w:after="0" w:line="291" w:lineRule="auto"/>
        <w:rPr>
          <w:sz w:val="20"/>
          <w:szCs w:val="20"/>
          <w:color w:val="auto"/>
        </w:rPr>
      </w:pPr>
      <w:r>
        <w:rPr>
          <w:rFonts w:ascii="Arial" w:cs="Arial" w:eastAsia="Arial" w:hAnsi="Arial"/>
          <w:sz w:val="16"/>
          <w:szCs w:val="16"/>
          <w:color w:val="auto"/>
        </w:rPr>
        <w:t>On November 2, 2021, or the Closing Date, we entered into a Loan and Security Agreement, or the Term Loan Agreement, by and among the Company, the lenders party thereto from time to time, or the Lenders, and Silicon Valley Bank, as administrative agent and collateral agent for the Lenders, or the Agent. The Term Loan Agreement provides for (i) on the Closing Date, $30.0 million aggregate principal amount of term loans available through October 31, 2023; (ii) an additional $10.0 million term loan facility available through October 31, 2023 upon the achievement of certain regulatory milestones prior to the time of draw; (iii) an additional $10.0 million term loan facility available through October 31, 2023 upon the achievement of certain regulatory and/or clinical milestones prior to the time of draw; and (iv) an additional discretionary $15.0 million term loan facility available upon our request and approval by the Agent and the Lenders, or, collectively, the Term Loans. The Company drew $15.0 million in term loans on the Closing Date.</w:t>
      </w:r>
    </w:p>
    <w:p>
      <w:pPr>
        <w:spacing w:after="0" w:line="58" w:lineRule="exact"/>
        <w:rPr>
          <w:sz w:val="20"/>
          <w:szCs w:val="20"/>
          <w:color w:val="auto"/>
        </w:rPr>
      </w:pPr>
    </w:p>
    <w:p>
      <w:pPr>
        <w:ind w:right="740" w:firstLine="849"/>
        <w:spacing w:after="0" w:line="277" w:lineRule="auto"/>
        <w:rPr>
          <w:sz w:val="20"/>
          <w:szCs w:val="20"/>
          <w:color w:val="auto"/>
        </w:rPr>
      </w:pPr>
      <w:r>
        <w:rPr>
          <w:rFonts w:ascii="Arial" w:cs="Arial" w:eastAsia="Arial" w:hAnsi="Arial"/>
          <w:sz w:val="18"/>
          <w:szCs w:val="18"/>
          <w:color w:val="auto"/>
        </w:rPr>
        <w:t>The obligations under the Term Loan Agreement are secured by a perfected security interest in all of the Company’s assets except for intellectual property pursuant to the terms of the Term Loan Agreement.</w:t>
      </w:r>
    </w:p>
    <w:p>
      <w:pPr>
        <w:spacing w:after="0" w:line="62" w:lineRule="exact"/>
        <w:rPr>
          <w:sz w:val="20"/>
          <w:szCs w:val="20"/>
          <w:color w:val="auto"/>
        </w:rPr>
      </w:pPr>
    </w:p>
    <w:p>
      <w:pPr>
        <w:ind w:firstLine="849"/>
        <w:spacing w:after="0" w:line="263" w:lineRule="auto"/>
        <w:rPr>
          <w:sz w:val="20"/>
          <w:szCs w:val="20"/>
          <w:color w:val="auto"/>
        </w:rPr>
      </w:pPr>
      <w:r>
        <w:rPr>
          <w:rFonts w:ascii="Arial" w:cs="Arial" w:eastAsia="Arial" w:hAnsi="Arial"/>
          <w:sz w:val="18"/>
          <w:szCs w:val="18"/>
          <w:color w:val="auto"/>
        </w:rPr>
        <w:t>The interest rate applicable to the Term Loans is the greater of (a) the WSJ Prime Rate plus 4.85% or (b) 8.10% per annum. The Term Loans are interest only from the Closing Date through November 1, 2024, after which the Company is required to pay equal monthly installments of principal and accrued interest through October 1, 2026, the maturity date.</w:t>
      </w:r>
    </w:p>
    <w:p>
      <w:pPr>
        <w:spacing w:after="0" w:line="76" w:lineRule="exact"/>
        <w:rPr>
          <w:sz w:val="20"/>
          <w:szCs w:val="20"/>
          <w:color w:val="auto"/>
        </w:rPr>
      </w:pPr>
    </w:p>
    <w:p>
      <w:pPr>
        <w:ind w:right="60" w:firstLine="849"/>
        <w:spacing w:after="0" w:line="259" w:lineRule="auto"/>
        <w:rPr>
          <w:sz w:val="20"/>
          <w:szCs w:val="20"/>
          <w:color w:val="auto"/>
        </w:rPr>
      </w:pPr>
      <w:r>
        <w:rPr>
          <w:rFonts w:ascii="Arial" w:cs="Arial" w:eastAsia="Arial" w:hAnsi="Arial"/>
          <w:sz w:val="18"/>
          <w:szCs w:val="18"/>
          <w:color w:val="auto"/>
        </w:rPr>
        <w:t>The Term Loans may be prepaid in full through November 2, 2022 with payment of a 1.50% prepayment premium, after which they may be prepaid in full through November 2, 2023 with payment of a 1.00% prepayment premium, after which they may be prepaid in full with no prepayment premium. An additional final payment of 9.00% of the amount of Terms Loans advanced by the Lenders will be due upon prepayment or repayment of the Term Loans in full.</w:t>
      </w:r>
    </w:p>
    <w:p>
      <w:pPr>
        <w:spacing w:after="0" w:line="79" w:lineRule="exact"/>
        <w:rPr>
          <w:sz w:val="20"/>
          <w:szCs w:val="20"/>
          <w:color w:val="auto"/>
        </w:rPr>
      </w:pPr>
    </w:p>
    <w:p>
      <w:pPr>
        <w:ind w:right="240" w:firstLine="849"/>
        <w:spacing w:after="0" w:line="263" w:lineRule="auto"/>
        <w:rPr>
          <w:sz w:val="20"/>
          <w:szCs w:val="20"/>
          <w:color w:val="auto"/>
        </w:rPr>
      </w:pPr>
      <w:r>
        <w:rPr>
          <w:rFonts w:ascii="Arial" w:cs="Arial" w:eastAsia="Arial" w:hAnsi="Arial"/>
          <w:sz w:val="18"/>
          <w:szCs w:val="18"/>
          <w:color w:val="auto"/>
        </w:rPr>
        <w:t>The Term Loan Agreement contains customary representations and warranties and customary affirmative and negative covenants, including, among other things, restrictions on indebtedness, liens, investments, mergers, dispositions, prepayment of other indebtedness and dividends and other distributions.</w:t>
      </w:r>
    </w:p>
    <w:p>
      <w:pPr>
        <w:spacing w:after="0" w:line="76" w:lineRule="exact"/>
        <w:rPr>
          <w:sz w:val="20"/>
          <w:szCs w:val="20"/>
          <w:color w:val="auto"/>
        </w:rPr>
      </w:pPr>
    </w:p>
    <w:p>
      <w:pPr>
        <w:ind w:right="20" w:firstLine="849"/>
        <w:spacing w:after="0" w:line="291" w:lineRule="auto"/>
        <w:rPr>
          <w:sz w:val="20"/>
          <w:szCs w:val="20"/>
          <w:color w:val="auto"/>
        </w:rPr>
      </w:pPr>
      <w:r>
        <w:rPr>
          <w:rFonts w:ascii="Arial" w:cs="Arial" w:eastAsia="Arial" w:hAnsi="Arial"/>
          <w:sz w:val="16"/>
          <w:szCs w:val="16"/>
          <w:color w:val="auto"/>
        </w:rPr>
        <w:t>The Term Loan Agreement also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undischarged judgments, material invalidity of guarantees or grant of security interest, material adverse change, involuntary delisting from Nasdaq and change of control, in certain cases subject to certain thresholds and grace periods. If one or more events of default occurs and continues beyond any applicable cure period, the Agent may, with the consent of the Lenders holding a majority of the loans and commitments under the facilities, or will, at the request of such Lenders, terminate the commitments of the Lenders to make further loans and declare all of the obligations of the Company under the Term Loan Agreement to be immediately due and payable.</w:t>
      </w:r>
    </w:p>
    <w:p>
      <w:pPr>
        <w:spacing w:after="0" w:line="58" w:lineRule="exact"/>
        <w:rPr>
          <w:sz w:val="20"/>
          <w:szCs w:val="20"/>
          <w:color w:val="auto"/>
        </w:rPr>
      </w:pPr>
    </w:p>
    <w:p>
      <w:pPr>
        <w:ind w:right="160" w:firstLine="849"/>
        <w:spacing w:after="0" w:line="277" w:lineRule="auto"/>
        <w:rPr>
          <w:sz w:val="20"/>
          <w:szCs w:val="20"/>
          <w:color w:val="auto"/>
        </w:rPr>
      </w:pPr>
      <w:r>
        <w:rPr>
          <w:rFonts w:ascii="Arial" w:cs="Arial" w:eastAsia="Arial" w:hAnsi="Arial"/>
          <w:sz w:val="18"/>
          <w:szCs w:val="18"/>
          <w:color w:val="auto"/>
        </w:rPr>
        <w:t>The foregoing description of the Term Loan Agreement is not intended to be complete and is qualified in its entirety by reference to the Term Loan Agreement, a copy of which is filed as Exhibit 10.1 to this Quarterly Report on Form 10-Q.</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w w:val="91"/>
              </w:rPr>
              <w:t>Item 6.</w:t>
            </w:r>
          </w:p>
        </w:tc>
        <w:tc>
          <w:tcPr>
            <w:tcW w:w="1010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5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gridSpan w:val="2"/>
          </w:tcPr>
          <w:p>
            <w:pPr>
              <w:jc w:val="right"/>
              <w:ind w:right="528"/>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9900" w:type="dxa"/>
            <w:vAlign w:val="bottom"/>
            <w:tcBorders>
              <w:bottom w:val="single" w:sz="8" w:color="0000EE"/>
            </w:tcBorders>
            <w:gridSpan w:val="2"/>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Fourth Amended and Restated Certificate of Incorporation of the Registrant (filed as Exhibit 3.1 to our Current Report on Form 8-K filed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40" w:type="dxa"/>
            <w:vAlign w:val="bottom"/>
            <w:gridSpan w:val="3"/>
          </w:tcPr>
          <w:p>
            <w:pPr>
              <w:spacing w:after="0" w:line="223" w:lineRule="exact"/>
              <w:rPr>
                <w:rFonts w:ascii="Arial" w:cs="Arial" w:eastAsia="Arial" w:hAnsi="Arial"/>
                <w:sz w:val="18"/>
                <w:szCs w:val="18"/>
                <w:color w:val="0000EE"/>
              </w:rPr>
            </w:pPr>
            <w:hyperlink r:id="rId104">
              <w:r>
                <w:rPr>
                  <w:rFonts w:ascii="Arial" w:cs="Arial" w:eastAsia="Arial" w:hAnsi="Arial"/>
                  <w:sz w:val="18"/>
                  <w:szCs w:val="18"/>
                  <w:color w:val="0000EE"/>
                </w:rPr>
                <w:t>on J</w:t>
              </w:r>
              <w:r>
                <w:rPr>
                  <w:rFonts w:ascii="Arial" w:cs="Arial" w:eastAsia="Arial" w:hAnsi="Arial"/>
                  <w:sz w:val="21"/>
                  <w:szCs w:val="21"/>
                  <w:color w:val="0000EE"/>
                </w:rPr>
                <w:t>une</w:t>
              </w:r>
              <w:r>
                <w:rPr>
                  <w:rFonts w:ascii="Arial" w:cs="Arial" w:eastAsia="Arial" w:hAnsi="Arial"/>
                  <w:sz w:val="18"/>
                  <w:szCs w:val="18"/>
                  <w:color w:val="0000EE"/>
                </w:rPr>
                <w:t xml:space="preserve"> 25, 2018 and incorporated herein by reference).</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140"/>
          </w:cols>
          <w:pgMar w:left="320" w:top="337" w:right="439" w:bottom="1440" w:gutter="0" w:footer="0" w:header="0"/>
        </w:sectPr>
      </w:pP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w:t>
      </w:r>
    </w:p>
    <w:p>
      <w:pPr>
        <w:spacing w:after="0" w:line="34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10.1</w:t>
      </w:r>
    </w:p>
    <w:p>
      <w:pPr>
        <w:spacing w:after="0" w:line="38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31.1</w:t>
      </w:r>
    </w:p>
    <w:p>
      <w:pPr>
        <w:spacing w:after="0" w:line="20" w:lineRule="exact"/>
        <w:rPr>
          <w:sz w:val="20"/>
          <w:szCs w:val="20"/>
          <w:color w:val="auto"/>
        </w:rPr>
      </w:pPr>
      <w:r>
        <w:rPr>
          <w:sz w:val="20"/>
          <w:szCs w:val="20"/>
          <w:color w:val="auto"/>
        </w:rPr>
        <w:br w:type="column"/>
      </w:r>
    </w:p>
    <w:p>
      <w:pPr>
        <w:ind w:right="400"/>
        <w:spacing w:after="0" w:line="277" w:lineRule="auto"/>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Certificate of Change of Registered Agent and/or Registered Office of the Registrant (filed as Exhibit 3.2 to our Quarterly Report on</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Form 10-Q filed on November 5, 2020 (File No. 001-38537) and incorporated herein by reference).</w:t>
        </w:r>
      </w:hyperlink>
    </w:p>
    <w:p>
      <w:pPr>
        <w:spacing w:after="0" w:line="76" w:lineRule="exact"/>
        <w:rPr>
          <w:sz w:val="20"/>
          <w:szCs w:val="20"/>
          <w:color w:val="auto"/>
        </w:rPr>
      </w:pPr>
    </w:p>
    <w:p>
      <w:pPr>
        <w:ind w:right="360"/>
        <w:spacing w:after="0" w:line="277" w:lineRule="auto"/>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Amended and Restated By-laws of the Registrant (filed as Exhibit 3.2 to our Current Report on Form 8-K filed on June 25, 2018 and</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incorporated herein by reference).</w:t>
        </w:r>
      </w:hyperlink>
    </w:p>
    <w:p>
      <w:pPr>
        <w:spacing w:after="0" w:line="76" w:lineRule="exact"/>
        <w:rPr>
          <w:sz w:val="20"/>
          <w:szCs w:val="20"/>
          <w:color w:val="auto"/>
        </w:rPr>
      </w:pPr>
    </w:p>
    <w:p>
      <w:pPr>
        <w:ind w:right="300"/>
        <w:spacing w:after="0" w:line="277" w:lineRule="auto"/>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Loan and Security Agreement, dated November 2, 2021, by and among the Registrant, the lenders party thereto from time to time and</w:t>
        </w:r>
      </w:hyperlink>
      <w:r>
        <w:rPr>
          <w:rFonts w:ascii="Arial" w:cs="Arial" w:eastAsia="Arial" w:hAnsi="Arial"/>
          <w:sz w:val="18"/>
          <w:szCs w:val="18"/>
          <w:u w:val="single" w:color="auto"/>
          <w:color w:val="0000EE"/>
        </w:rPr>
        <w:t xml:space="preserve"> </w:t>
      </w:r>
      <w:hyperlink w:anchor="page84">
        <w:r>
          <w:rPr>
            <w:rFonts w:ascii="Arial" w:cs="Arial" w:eastAsia="Arial" w:hAnsi="Arial"/>
            <w:sz w:val="18"/>
            <w:szCs w:val="18"/>
            <w:u w:val="single" w:color="auto"/>
            <w:color w:val="0000EE"/>
          </w:rPr>
          <w:t>Silicon Valley Bank, as administrative agent and collateral agent.</w:t>
        </w:r>
      </w:hyperlink>
    </w:p>
    <w:p>
      <w:pPr>
        <w:spacing w:after="0" w:line="76" w:lineRule="exact"/>
        <w:rPr>
          <w:sz w:val="20"/>
          <w:szCs w:val="20"/>
          <w:color w:val="auto"/>
        </w:rPr>
      </w:pPr>
    </w:p>
    <w:p>
      <w:pPr>
        <w:ind w:right="320"/>
        <w:spacing w:after="0" w:line="277" w:lineRule="auto"/>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Certification of Principal Executive Officer Pursuant to Rules 13a-14(a) and 15d-14(a) under the Securities Exchange Act of 1934, as</w:t>
        </w:r>
      </w:hyperlink>
      <w:r>
        <w:rPr>
          <w:rFonts w:ascii="Arial" w:cs="Arial" w:eastAsia="Arial" w:hAnsi="Arial"/>
          <w:sz w:val="18"/>
          <w:szCs w:val="18"/>
          <w:u w:val="single" w:color="auto"/>
          <w:color w:val="0000EE"/>
        </w:rPr>
        <w:t xml:space="preserve"> </w:t>
      </w:r>
      <w:hyperlink w:anchor="page141">
        <w:r>
          <w:rPr>
            <w:rFonts w:ascii="Arial" w:cs="Arial" w:eastAsia="Arial" w:hAnsi="Arial"/>
            <w:sz w:val="18"/>
            <w:szCs w:val="18"/>
            <w:u w:val="single" w:color="auto"/>
            <w:color w:val="0000EE"/>
          </w:rPr>
          <w:t>Adopted Pursuant to Section 302 of the Sarbanes-Oxley Act of 2002.</w:t>
        </w:r>
      </w:hyperlink>
    </w:p>
    <w:p>
      <w:pPr>
        <w:spacing w:after="0" w:line="59" w:lineRule="exact"/>
        <w:rPr>
          <w:sz w:val="20"/>
          <w:szCs w:val="20"/>
          <w:color w:val="auto"/>
        </w:rPr>
      </w:pPr>
    </w:p>
    <w:p>
      <w:pPr>
        <w:sectPr>
          <w:pgSz w:w="11900" w:h="16838" w:orient="portrait"/>
          <w:cols w:equalWidth="0" w:num="2">
            <w:col w:w="520" w:space="680"/>
            <w:col w:w="9940"/>
          </w:cols>
          <w:pgMar w:left="320" w:top="337"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9780" w:type="dxa"/>
            <w:vAlign w:val="bottom"/>
            <w:gridSpan w:val="4"/>
          </w:tcPr>
          <w:p>
            <w:pPr>
              <w:spacing w:after="0"/>
              <w:rPr>
                <w:rFonts w:ascii="Arial" w:cs="Arial" w:eastAsia="Arial" w:hAnsi="Arial"/>
                <w:sz w:val="18"/>
                <w:szCs w:val="18"/>
                <w:color w:val="0000EE"/>
                <w:w w:val="93"/>
              </w:rPr>
            </w:pPr>
            <w:hyperlink w:anchor="page142">
              <w:r>
                <w:rPr>
                  <w:rFonts w:ascii="Arial" w:cs="Arial" w:eastAsia="Arial" w:hAnsi="Arial"/>
                  <w:sz w:val="18"/>
                  <w:szCs w:val="18"/>
                  <w:color w:val="0000EE"/>
                  <w:w w:val="93"/>
                </w:rPr>
                <w:t>Certification of Principal Financial Officer Pursuant to Rules 13a-14(a) and 15d-14(a) under the Securities Exchange Act of 1934, as</w:t>
              </w:r>
            </w:hyperlink>
          </w:p>
        </w:tc>
      </w:tr>
      <w:tr>
        <w:trPr>
          <w:trHeight w:val="196"/>
        </w:trPr>
        <w:tc>
          <w:tcPr>
            <w:tcW w:w="1080" w:type="dxa"/>
            <w:vAlign w:val="bottom"/>
          </w:tcPr>
          <w:p>
            <w:pPr>
              <w:spacing w:after="0"/>
              <w:rPr>
                <w:sz w:val="17"/>
                <w:szCs w:val="17"/>
                <w:color w:val="auto"/>
              </w:rPr>
            </w:pPr>
          </w:p>
        </w:tc>
        <w:tc>
          <w:tcPr>
            <w:tcW w:w="95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Adopted Pursuant to Section 302 of the Sarbanes-Oxley Act of 2002.</w:t>
              </w:r>
            </w:hyperlink>
          </w:p>
        </w:tc>
        <w:tc>
          <w:tcPr>
            <w:tcW w:w="2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r>
      <w:tr>
        <w:trPr>
          <w:trHeight w:val="196"/>
        </w:trPr>
        <w:tc>
          <w:tcPr>
            <w:tcW w:w="1080" w:type="dxa"/>
            <w:vAlign w:val="bottom"/>
          </w:tcPr>
          <w:p>
            <w:pPr>
              <w:spacing w:after="0"/>
              <w:rPr>
                <w:sz w:val="17"/>
                <w:szCs w:val="17"/>
                <w:color w:val="auto"/>
              </w:rPr>
            </w:pPr>
          </w:p>
        </w:tc>
        <w:tc>
          <w:tcPr>
            <w:tcW w:w="9780" w:type="dxa"/>
            <w:vAlign w:val="bottom"/>
            <w:gridSpan w:val="4"/>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4"/>
          </w:tcPr>
          <w:p>
            <w:pPr>
              <w:spacing w:after="0"/>
              <w:rPr>
                <w:sz w:val="20"/>
                <w:szCs w:val="20"/>
                <w:color w:val="auto"/>
              </w:rPr>
            </w:pPr>
            <w:r>
              <w:rPr>
                <w:rFonts w:ascii="Arial" w:cs="Arial" w:eastAsia="Arial" w:hAnsi="Arial"/>
                <w:sz w:val="18"/>
                <w:szCs w:val="18"/>
                <w:color w:val="auto"/>
                <w:w w:val="94"/>
              </w:rPr>
              <w:t>Interactive Data Files pursuant to Rule 405 of Regulation S-T formatted in Inline Extensible Business Reporting Language (“Inline</w:t>
            </w:r>
          </w:p>
        </w:tc>
      </w:tr>
      <w:tr>
        <w:trPr>
          <w:trHeight w:val="230"/>
        </w:trPr>
        <w:tc>
          <w:tcPr>
            <w:tcW w:w="1080" w:type="dxa"/>
            <w:vAlign w:val="bottom"/>
          </w:tcPr>
          <w:p>
            <w:pPr>
              <w:spacing w:after="0"/>
              <w:rPr>
                <w:sz w:val="20"/>
                <w:szCs w:val="20"/>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rPr>
              <w:t>XBRL”).</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200" w:right="480" w:hanging="1077"/>
        <w:spacing w:after="0" w:line="277" w:lineRule="auto"/>
        <w:tabs>
          <w:tab w:leader="none" w:pos="1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the exhibit is being furnished, not 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6769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type w:val="continuous"/>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22"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320" w:top="553" w:right="3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dated as of the Effective Date among (a)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SVB</w:t>
      </w:r>
      <w:r>
        <w:rPr>
          <w:rFonts w:ascii="Arial" w:cs="Arial" w:eastAsia="Arial" w:hAnsi="Arial"/>
          <w:sz w:val="18"/>
          <w:szCs w:val="18"/>
          <w:color w:val="auto"/>
        </w:rPr>
        <w:t>”), in its capacity as administrative agent and collateral agent (“</w:t>
      </w:r>
      <w:r>
        <w:rPr>
          <w:rFonts w:ascii="Arial" w:cs="Arial" w:eastAsia="Arial" w:hAnsi="Arial"/>
          <w:sz w:val="18"/>
          <w:szCs w:val="18"/>
          <w:b w:val="1"/>
          <w:bCs w:val="1"/>
          <w:color w:val="auto"/>
        </w:rPr>
        <w:t>Agent</w:t>
      </w:r>
      <w:r>
        <w:rPr>
          <w:rFonts w:ascii="Arial" w:cs="Arial" w:eastAsia="Arial" w:hAnsi="Arial"/>
          <w:sz w:val="18"/>
          <w:szCs w:val="18"/>
          <w:color w:val="auto"/>
        </w:rPr>
        <w:t xml:space="preserve">”), (b) SVB, as a lender, (c) </w:t>
      </w:r>
      <w:r>
        <w:rPr>
          <w:rFonts w:ascii="Arial" w:cs="Arial" w:eastAsia="Arial" w:hAnsi="Arial"/>
          <w:sz w:val="18"/>
          <w:szCs w:val="18"/>
          <w:b w:val="1"/>
          <w:bCs w:val="1"/>
          <w:color w:val="auto"/>
        </w:rPr>
        <w:t>SVB INNOVATION</w:t>
      </w:r>
      <w:r>
        <w:rPr>
          <w:rFonts w:ascii="Arial" w:cs="Arial" w:eastAsia="Arial" w:hAnsi="Arial"/>
          <w:sz w:val="18"/>
          <w:szCs w:val="18"/>
          <w:color w:val="auto"/>
        </w:rPr>
        <w:t xml:space="preserve"> </w:t>
      </w:r>
      <w:r>
        <w:rPr>
          <w:rFonts w:ascii="Arial" w:cs="Arial" w:eastAsia="Arial" w:hAnsi="Arial"/>
          <w:sz w:val="18"/>
          <w:szCs w:val="18"/>
          <w:b w:val="1"/>
          <w:bCs w:val="1"/>
          <w:color w:val="auto"/>
        </w:rPr>
        <w:t>CREDIT FUND VIII,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SVB Capital</w:t>
      </w:r>
      <w:r>
        <w:rPr>
          <w:rFonts w:ascii="Arial" w:cs="Arial" w:eastAsia="Arial" w:hAnsi="Arial"/>
          <w:sz w:val="18"/>
          <w:szCs w:val="18"/>
          <w:color w:val="auto"/>
        </w:rPr>
        <w:t>”), as a lender (SVB and SVB Capital and each of the other “Lenders”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 party hereto are referred to herein collectively as the “</w:t>
      </w:r>
      <w:r>
        <w:rPr>
          <w:rFonts w:ascii="Arial" w:cs="Arial" w:eastAsia="Arial" w:hAnsi="Arial"/>
          <w:sz w:val="18"/>
          <w:szCs w:val="18"/>
          <w:b w:val="1"/>
          <w:bCs w:val="1"/>
          <w:color w:val="auto"/>
        </w:rPr>
        <w:t>Lenders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Lender</w:t>
      </w:r>
      <w:r>
        <w:rPr>
          <w:rFonts w:ascii="Arial" w:cs="Arial" w:eastAsia="Arial" w:hAnsi="Arial"/>
          <w:sz w:val="18"/>
          <w:szCs w:val="18"/>
          <w:color w:val="auto"/>
        </w:rPr>
        <w:t>”), and (d) the borrower listed on Schedule I hereto (“</w:t>
      </w:r>
      <w:r>
        <w:rPr>
          <w:rFonts w:ascii="Arial" w:cs="Arial" w:eastAsia="Arial" w:hAnsi="Arial"/>
          <w:sz w:val="18"/>
          <w:szCs w:val="18"/>
          <w:b w:val="1"/>
          <w:bCs w:val="1"/>
          <w:color w:val="auto"/>
        </w:rPr>
        <w:t>Borrower</w:t>
      </w:r>
      <w:r>
        <w:rPr>
          <w:rFonts w:ascii="Arial" w:cs="Arial" w:eastAsia="Arial" w:hAnsi="Arial"/>
          <w:sz w:val="18"/>
          <w:szCs w:val="18"/>
          <w:color w:val="auto"/>
        </w:rPr>
        <w:t>”). The parties agree as follows:</w:t>
      </w:r>
    </w:p>
    <w:p>
      <w:pPr>
        <w:spacing w:after="0" w:line="183" w:lineRule="exact"/>
        <w:rPr>
          <w:sz w:val="20"/>
          <w:szCs w:val="20"/>
          <w:color w:val="auto"/>
        </w:rPr>
      </w:pPr>
    </w:p>
    <w:p>
      <w:pPr>
        <w:ind w:left="1600" w:hanging="728"/>
        <w:spacing w:after="0"/>
        <w:tabs>
          <w:tab w:leader="none" w:pos="16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Term Loan Advances</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85" w:lineRule="auto"/>
        <w:tabs>
          <w:tab w:leader="none" w:pos="257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upon Borrower’s request, Lenders agree to make term loan advances available to Borrower from time to time in three (3) tranches: “</w:t>
      </w:r>
      <w:r>
        <w:rPr>
          <w:rFonts w:ascii="Arial" w:cs="Arial" w:eastAsia="Arial" w:hAnsi="Arial"/>
          <w:sz w:val="16"/>
          <w:szCs w:val="16"/>
          <w:b w:val="1"/>
          <w:bCs w:val="1"/>
          <w:color w:val="auto"/>
        </w:rPr>
        <w:t>Tranche A</w:t>
      </w:r>
      <w:r>
        <w:rPr>
          <w:rFonts w:ascii="Arial" w:cs="Arial" w:eastAsia="Arial" w:hAnsi="Arial"/>
          <w:sz w:val="16"/>
          <w:szCs w:val="16"/>
          <w:color w:val="auto"/>
        </w:rPr>
        <w:t>”, “</w:t>
      </w:r>
      <w:r>
        <w:rPr>
          <w:rFonts w:ascii="Arial" w:cs="Arial" w:eastAsia="Arial" w:hAnsi="Arial"/>
          <w:sz w:val="16"/>
          <w:szCs w:val="16"/>
          <w:b w:val="1"/>
          <w:bCs w:val="1"/>
          <w:color w:val="auto"/>
        </w:rPr>
        <w:t>Tranche B</w:t>
      </w:r>
      <w:r>
        <w:rPr>
          <w:rFonts w:ascii="Arial" w:cs="Arial" w:eastAsia="Arial" w:hAnsi="Arial"/>
          <w:sz w:val="16"/>
          <w:szCs w:val="16"/>
          <w:color w:val="auto"/>
        </w:rPr>
        <w:t>”, and “</w:t>
      </w:r>
      <w:r>
        <w:rPr>
          <w:rFonts w:ascii="Arial" w:cs="Arial" w:eastAsia="Arial" w:hAnsi="Arial"/>
          <w:sz w:val="16"/>
          <w:szCs w:val="16"/>
          <w:b w:val="1"/>
          <w:bCs w:val="1"/>
          <w:color w:val="auto"/>
        </w:rPr>
        <w:t>Tranche C</w:t>
      </w:r>
      <w:r>
        <w:rPr>
          <w:rFonts w:ascii="Arial" w:cs="Arial" w:eastAsia="Arial" w:hAnsi="Arial"/>
          <w:sz w:val="16"/>
          <w:szCs w:val="16"/>
          <w:color w:val="auto"/>
        </w:rPr>
        <w:t>”. Subject to the terms and conditions of this Agreement, on or about the Effective Date, the Lenders, severally and not jointly, shall make one (1) term loan advance to Borrower in an original principal amount equal to Fifteen Million Dollars ($15,000,000) according to each Lender’s Initial Tranche A Term Loan Advance Commitment as set forth on Schedule II hereto (the “</w:t>
      </w:r>
      <w:r>
        <w:rPr>
          <w:rFonts w:ascii="Arial" w:cs="Arial" w:eastAsia="Arial" w:hAnsi="Arial"/>
          <w:sz w:val="16"/>
          <w:szCs w:val="16"/>
          <w:b w:val="1"/>
          <w:bCs w:val="1"/>
          <w:color w:val="auto"/>
        </w:rPr>
        <w:t>Initial Tranche A Term Loan Advance</w:t>
      </w:r>
      <w:r>
        <w:rPr>
          <w:rFonts w:ascii="Arial" w:cs="Arial" w:eastAsia="Arial" w:hAnsi="Arial"/>
          <w:sz w:val="16"/>
          <w:szCs w:val="16"/>
          <w:color w:val="auto"/>
        </w:rPr>
        <w:t>”). Thereafter, subject to the terms and conditions of this Agreement, upon Borrower’s request, during the Tranche A Draw Period, the Lenders, severally and not jointly, shall make one (1) additional term loan advance to Borrower in an original principal amount of Fifteen Million Dollars ($15,000,000) according to each Lender’s Subsequent Tranche A Term Loan Advance Commitment as set forth on Schedule II hereto (the “</w:t>
      </w:r>
      <w:r>
        <w:rPr>
          <w:rFonts w:ascii="Arial" w:cs="Arial" w:eastAsia="Arial" w:hAnsi="Arial"/>
          <w:sz w:val="16"/>
          <w:szCs w:val="16"/>
          <w:b w:val="1"/>
          <w:bCs w:val="1"/>
          <w:color w:val="auto"/>
        </w:rPr>
        <w:t>Subsequent Tranche A Term Loan Advance</w:t>
      </w:r>
      <w:r>
        <w:rPr>
          <w:rFonts w:ascii="Arial" w:cs="Arial" w:eastAsia="Arial" w:hAnsi="Arial"/>
          <w:sz w:val="16"/>
          <w:szCs w:val="16"/>
          <w:color w:val="auto"/>
        </w:rPr>
        <w:t>” and together with the Initial Tranche A Term Loan Advance, the “</w:t>
      </w:r>
      <w:r>
        <w:rPr>
          <w:rFonts w:ascii="Arial" w:cs="Arial" w:eastAsia="Arial" w:hAnsi="Arial"/>
          <w:sz w:val="16"/>
          <w:szCs w:val="16"/>
          <w:b w:val="1"/>
          <w:bCs w:val="1"/>
          <w:color w:val="auto"/>
        </w:rPr>
        <w:t>Tranche A Term Loan Advances</w:t>
      </w:r>
      <w:r>
        <w:rPr>
          <w:rFonts w:ascii="Arial" w:cs="Arial" w:eastAsia="Arial" w:hAnsi="Arial"/>
          <w:sz w:val="16"/>
          <w:szCs w:val="16"/>
          <w:color w:val="auto"/>
        </w:rPr>
        <w:t>”). Subject to the terms and conditions of this Agreement, upon Borrower’s request, during the Tranche B Draw Period, if Borrower can satisfy the Tranche B Draw Condition on the date of its request for a term loan advance (and the applicable Funding Date), the Lenders, severally and not jointly, shall make one (1) term loan advance to Borrower in an original principal amount of Ten Million Dollars ($10,000,000) according to each Lender’s Tranche B Term Loan Advance Commitment as set forth on Schedule II hereto (the “</w:t>
      </w:r>
      <w:r>
        <w:rPr>
          <w:rFonts w:ascii="Arial" w:cs="Arial" w:eastAsia="Arial" w:hAnsi="Arial"/>
          <w:sz w:val="16"/>
          <w:szCs w:val="16"/>
          <w:b w:val="1"/>
          <w:bCs w:val="1"/>
          <w:color w:val="auto"/>
        </w:rPr>
        <w:t>Tranche B 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Advance</w:t>
      </w:r>
      <w:r>
        <w:rPr>
          <w:rFonts w:ascii="Arial" w:cs="Arial" w:eastAsia="Arial" w:hAnsi="Arial"/>
          <w:sz w:val="16"/>
          <w:szCs w:val="16"/>
          <w:color w:val="auto"/>
        </w:rPr>
        <w:t>”). Subject to the terms and conditions of this Agreement, upon Borrower’s request, during the Tranche C Draw Period, if Borrower can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Tranche C Draw Conditions on the date of its request for a term loan advance (and the applicable Funding Date), the Lenders, severally and not jointly, shall make one (1) term loan advance to Borrower in an original principal amount of Ten Million Dollars ($10,000,000) according to each Lender’s Tranche C Term Loan Advance Commitment as set forth on Schedule II hereto (the “</w:t>
      </w:r>
      <w:r>
        <w:rPr>
          <w:rFonts w:ascii="Arial" w:cs="Arial" w:eastAsia="Arial" w:hAnsi="Arial"/>
          <w:sz w:val="16"/>
          <w:szCs w:val="16"/>
          <w:b w:val="1"/>
          <w:bCs w:val="1"/>
          <w:color w:val="auto"/>
        </w:rPr>
        <w:t>Tranche C Term Loan Advance</w:t>
      </w:r>
      <w:r>
        <w:rPr>
          <w:rFonts w:ascii="Arial" w:cs="Arial" w:eastAsia="Arial" w:hAnsi="Arial"/>
          <w:sz w:val="16"/>
          <w:szCs w:val="16"/>
          <w:color w:val="auto"/>
        </w:rPr>
        <w:t>”). The Tranche A Term Loan Advances, Tranche B Term Loan Advance, and Tranche C Term Loan Advance are hereinafter referred to singly as a “</w:t>
      </w:r>
      <w:r>
        <w:rPr>
          <w:rFonts w:ascii="Arial" w:cs="Arial" w:eastAsia="Arial" w:hAnsi="Arial"/>
          <w:sz w:val="16"/>
          <w:szCs w:val="16"/>
          <w:b w:val="1"/>
          <w:bCs w:val="1"/>
          <w:color w:val="auto"/>
        </w:rPr>
        <w:t>Term Loan Advance</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Loan Advances</w:t>
      </w:r>
      <w:r>
        <w:rPr>
          <w:rFonts w:ascii="Arial" w:cs="Arial" w:eastAsia="Arial" w:hAnsi="Arial"/>
          <w:sz w:val="16"/>
          <w:szCs w:val="16"/>
          <w:color w:val="auto"/>
        </w:rPr>
        <w:t>”. Borrower may request Term Loan Advances as set forth on Schedule I hereto. The aggregate principal amount of the Term Loan Advances made by the Lenders to Borrower shall not, at any time, exceed the Term Loan Availability Amount. After repayment, no Term Loan Advance (or any portion thereof) may be reborrowed.</w:t>
      </w:r>
    </w:p>
    <w:p>
      <w:pPr>
        <w:spacing w:after="0" w:line="38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Additionally, at any time during the term of this Agreement, Borrower may request that the Lenders make additional term loan advances available to Borrower in an aggregate original principal amount not to exceed Fifteen Million Dollars ($15,000,000) (the “</w:t>
      </w:r>
      <w:r>
        <w:rPr>
          <w:rFonts w:ascii="Arial" w:cs="Arial" w:eastAsia="Arial" w:hAnsi="Arial"/>
          <w:sz w:val="18"/>
          <w:szCs w:val="18"/>
          <w:b w:val="1"/>
          <w:bCs w:val="1"/>
          <w:color w:val="auto"/>
        </w:rPr>
        <w:t>Uncommitted</w:t>
      </w:r>
      <w:r>
        <w:rPr>
          <w:rFonts w:ascii="Arial" w:cs="Arial" w:eastAsia="Arial" w:hAnsi="Arial"/>
          <w:sz w:val="18"/>
          <w:szCs w:val="18"/>
          <w:color w:val="auto"/>
        </w:rPr>
        <w:t xml:space="preserve"> </w:t>
      </w:r>
      <w:r>
        <w:rPr>
          <w:rFonts w:ascii="Arial" w:cs="Arial" w:eastAsia="Arial" w:hAnsi="Arial"/>
          <w:sz w:val="18"/>
          <w:szCs w:val="18"/>
          <w:b w:val="1"/>
          <w:bCs w:val="1"/>
          <w:color w:val="auto"/>
        </w:rPr>
        <w:t>Accordion</w:t>
      </w:r>
      <w:r>
        <w:rPr>
          <w:rFonts w:ascii="Arial" w:cs="Arial" w:eastAsia="Arial" w:hAnsi="Arial"/>
          <w:sz w:val="18"/>
          <w:szCs w:val="18"/>
          <w:color w:val="auto"/>
        </w:rPr>
        <w:t>”). Lenders, in their sole and absolute discretion, may grant or deny any such request from Borrower for a term loan advance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Uncommitted Accordion. If, and only if, the Lenders, in their sole discretion, agree to provide any additional term loan advance(s) to Borrower under the Uncommitted Accordion, (i) the Lenders shall make such term loan advance to Borrower according to each Lender’s Uncommitted Accordion Commitment as set forth on Schedule II hereto, and (ii) the term loan advances shall each be considered a “</w:t>
      </w:r>
      <w:r>
        <w:rPr>
          <w:rFonts w:ascii="Arial" w:cs="Arial" w:eastAsia="Arial" w:hAnsi="Arial"/>
          <w:sz w:val="18"/>
          <w:szCs w:val="18"/>
          <w:b w:val="1"/>
          <w:bCs w:val="1"/>
          <w:color w:val="auto"/>
        </w:rPr>
        <w:t>Term Loan Advance</w:t>
      </w:r>
      <w:r>
        <w:rPr>
          <w:rFonts w:ascii="Arial" w:cs="Arial" w:eastAsia="Arial" w:hAnsi="Arial"/>
          <w:sz w:val="18"/>
          <w:szCs w:val="18"/>
          <w:color w:val="auto"/>
        </w:rPr>
        <w:t>” hereunder and added to the definition thereof; provided that the terms of the making of any advance under the Uncommitted Accordion shall be outlined in an amendment to this Agreement to be entered into by the parties hereto.</w:t>
      </w:r>
    </w:p>
    <w:p>
      <w:pPr>
        <w:spacing w:after="0" w:line="192" w:lineRule="exact"/>
        <w:rPr>
          <w:sz w:val="20"/>
          <w:szCs w:val="20"/>
          <w:color w:val="auto"/>
        </w:rPr>
      </w:pPr>
    </w:p>
    <w:p>
      <w:pPr>
        <w:jc w:val="both"/>
        <w:ind w:firstLine="1735"/>
        <w:spacing w:after="0" w:line="263" w:lineRule="auto"/>
        <w:tabs>
          <w:tab w:leader="none" w:pos="258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Borrower shall repay the aggregate outstanding Term Loan Advances as set forth on Schedule I hereto. All outstanding principal and accrued and unpaid interest with respect to the Term Loan Advances, the Final Payment, and all other outstanding Obligations under the Term Loan Advances, are due and payable in full on the Term Loan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both"/>
        <w:ind w:firstLine="1735"/>
        <w:spacing w:after="0" w:line="255" w:lineRule="auto"/>
        <w:tabs>
          <w:tab w:leader="none" w:pos="257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Permitted Prepayment</w:t>
      </w:r>
      <w:r>
        <w:rPr>
          <w:rFonts w:ascii="Arial" w:cs="Arial" w:eastAsia="Arial" w:hAnsi="Arial"/>
          <w:sz w:val="18"/>
          <w:szCs w:val="18"/>
          <w:color w:val="auto"/>
        </w:rPr>
        <w:t>. Borrower shall have the option to prepay all, but not less than all, of the Term Loan Advances advanced by the Lenders under this Agreement, provided Borrower (i) provides written notice to Agent of its election to prepay the Term Loan Advances at least five (5) Business Days prior to such prepayment, and (ii) pays to Agent, for the account of the Lenders in accordance with their respective Pro Rata Share, on the date of such prepayment (A) all outstanding principal plus accrued and unpaid interest, (B) the Prepayment Premium, (C) the Final Payment and (D) all other sums, if any, that shall have become due and payable hereunder, including Lenders’ Expenses and interest at the Default Rate with respect to any past due amounts.</w:t>
      </w:r>
    </w:p>
    <w:p>
      <w:pPr>
        <w:spacing w:after="0" w:line="192" w:lineRule="exact"/>
        <w:rPr>
          <w:rFonts w:ascii="Arial" w:cs="Arial" w:eastAsia="Arial" w:hAnsi="Arial"/>
          <w:sz w:val="18"/>
          <w:szCs w:val="18"/>
          <w:color w:val="auto"/>
        </w:rPr>
      </w:pPr>
    </w:p>
    <w:p>
      <w:pPr>
        <w:jc w:val="both"/>
        <w:ind w:firstLine="1735"/>
        <w:spacing w:after="0" w:line="275" w:lineRule="auto"/>
        <w:tabs>
          <w:tab w:leader="none" w:pos="258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Term Loan Advances are accelerated by Agent, following the occurrence and during the continuance of an Event of Default, Borrower shall immediately pay to Agent, for the account of the Lenders in accordance with their respective Pro Rata Share, an amount equal to the sum of (i) all outstanding principal plus accrued and unpaid interest with respect to the Term Loan Advances, (ii) the Prepayment Premium, (iii) the Final Payment and (iv) all other sums, if any, that shall have become due and payable hereunder, including Lenders’ Expenses and interest at the Default Rate with respect to any past due amounts.</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1.2</w:t>
            </w:r>
          </w:p>
        </w:tc>
        <w:tc>
          <w:tcPr>
            <w:tcW w:w="9820" w:type="dxa"/>
            <w:vAlign w:val="bottom"/>
            <w:gridSpan w:val="3"/>
          </w:tcPr>
          <w:p>
            <w:pPr>
              <w:ind w:left="320"/>
              <w:spacing w:after="0"/>
              <w:rPr>
                <w:sz w:val="20"/>
                <w:szCs w:val="20"/>
                <w:color w:val="auto"/>
              </w:rPr>
            </w:pPr>
            <w:r>
              <w:rPr>
                <w:rFonts w:ascii="Arial" w:cs="Arial" w:eastAsia="Arial" w:hAnsi="Arial"/>
                <w:sz w:val="18"/>
                <w:szCs w:val="18"/>
                <w:b w:val="1"/>
                <w:bCs w:val="1"/>
                <w:color w:val="auto"/>
              </w:rPr>
              <w:t>Payment of Interest on the Credit Extensions.</w:t>
            </w:r>
          </w:p>
        </w:tc>
      </w:tr>
      <w:tr>
        <w:trPr>
          <w:trHeight w:val="392"/>
        </w:trPr>
        <w:tc>
          <w:tcPr>
            <w:tcW w:w="540" w:type="dxa"/>
            <w:vAlign w:val="bottom"/>
          </w:tcPr>
          <w:p>
            <w:pPr>
              <w:spacing w:after="0"/>
              <w:rPr>
                <w:sz w:val="24"/>
                <w:szCs w:val="24"/>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rPr>
              <w:t>(a)</w:t>
            </w:r>
          </w:p>
        </w:tc>
        <w:tc>
          <w:tcPr>
            <w:tcW w:w="8660" w:type="dxa"/>
            <w:vAlign w:val="bottom"/>
            <w:gridSpan w:val="2"/>
          </w:tcPr>
          <w:p>
            <w:pPr>
              <w:spacing w:after="0"/>
              <w:rPr>
                <w:sz w:val="20"/>
                <w:szCs w:val="20"/>
                <w:color w:val="auto"/>
              </w:rPr>
            </w:pPr>
            <w:r>
              <w:rPr>
                <w:rFonts w:ascii="Arial" w:cs="Arial" w:eastAsia="Arial" w:hAnsi="Arial"/>
                <w:sz w:val="18"/>
                <w:szCs w:val="18"/>
                <w:color w:val="auto"/>
                <w:w w:val="92"/>
              </w:rPr>
              <w:t>Interest Payments. Interest on the principal amount of each Term Loan Advance is payable as set forth on Schedule I</w:t>
            </w:r>
          </w:p>
        </w:tc>
      </w:tr>
      <w:tr>
        <w:trPr>
          <w:trHeight w:val="20"/>
        </w:trPr>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25" w:lineRule="exact"/>
        <w:rPr>
          <w:sz w:val="20"/>
          <w:szCs w:val="20"/>
          <w:color w:val="auto"/>
        </w:rPr>
      </w:pPr>
    </w:p>
    <w:p>
      <w:pPr>
        <w:ind w:left="2600" w:hanging="865"/>
        <w:spacing w:after="0"/>
        <w:tabs>
          <w:tab w:leader="none" w:pos="26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600"/>
        <w:spacing w:after="0" w:line="277" w:lineRule="auto"/>
        <w:tabs>
          <w:tab w:leader="none" w:pos="341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 Loan Advances</w:t>
      </w:r>
      <w:r>
        <w:rPr>
          <w:rFonts w:ascii="Arial" w:cs="Arial" w:eastAsia="Arial" w:hAnsi="Arial"/>
          <w:sz w:val="18"/>
          <w:szCs w:val="18"/>
          <w:color w:val="auto"/>
        </w:rPr>
        <w:t>. Subject to Section 1.2(c), the outstanding principal amount of any Term Loan Advance shall accrue interest as set forth on Schedule I hereto.</w:t>
      </w:r>
    </w:p>
    <w:p>
      <w:pPr>
        <w:spacing w:after="0" w:line="170" w:lineRule="exact"/>
        <w:rPr>
          <w:rFonts w:ascii="Arial" w:cs="Arial" w:eastAsia="Arial" w:hAnsi="Arial"/>
          <w:sz w:val="18"/>
          <w:szCs w:val="18"/>
          <w:color w:val="auto"/>
        </w:rPr>
      </w:pPr>
    </w:p>
    <w:p>
      <w:pPr>
        <w:jc w:val="both"/>
        <w:ind w:firstLine="2600"/>
        <w:spacing w:after="0" w:line="263" w:lineRule="auto"/>
        <w:tabs>
          <w:tab w:leader="none" w:pos="346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All-In Rate</w:t>
      </w:r>
      <w:r>
        <w:rPr>
          <w:rFonts w:ascii="Arial" w:cs="Arial" w:eastAsia="Arial" w:hAnsi="Arial"/>
          <w:sz w:val="18"/>
          <w:szCs w:val="18"/>
          <w:color w:val="auto"/>
        </w:rPr>
        <w:t>. Notwithstanding any terms in this Agreement to the contrary, if at any time the interest rate applicable to any Obligations is less than zero percent (0.0%), such interest rate shall be deemed to be zero percent (0.0%) for all purposes of this Agreement.</w:t>
      </w:r>
    </w:p>
    <w:p>
      <w:pPr>
        <w:spacing w:after="0" w:line="183" w:lineRule="exact"/>
        <w:rPr>
          <w:rFonts w:ascii="Arial" w:cs="Arial" w:eastAsia="Arial" w:hAnsi="Arial"/>
          <w:sz w:val="18"/>
          <w:szCs w:val="18"/>
          <w:color w:val="auto"/>
        </w:rPr>
      </w:pPr>
    </w:p>
    <w:p>
      <w:pPr>
        <w:jc w:val="both"/>
        <w:ind w:firstLine="1735"/>
        <w:spacing w:after="0" w:line="293" w:lineRule="auto"/>
        <w:tabs>
          <w:tab w:leader="none" w:pos="257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the outstanding Obligations shall bear interest at a rate per annum which is five percent (5.0%) above the rate that is otherwise applicable thereto (the “</w:t>
      </w:r>
      <w:r>
        <w:rPr>
          <w:rFonts w:ascii="Arial" w:cs="Arial" w:eastAsia="Arial" w:hAnsi="Arial"/>
          <w:sz w:val="16"/>
          <w:szCs w:val="16"/>
          <w:b w:val="1"/>
          <w:bCs w:val="1"/>
          <w:color w:val="auto"/>
        </w:rPr>
        <w:t>Default Rate</w:t>
      </w:r>
      <w:r>
        <w:rPr>
          <w:rFonts w:ascii="Arial" w:cs="Arial" w:eastAsia="Arial" w:hAnsi="Arial"/>
          <w:sz w:val="16"/>
          <w:szCs w:val="16"/>
          <w:color w:val="auto"/>
        </w:rPr>
        <w:t>”) ”) unless Agent otherwise elects in its sole discretion to impose a smaller increase. Fees and expenses which are required to be paid by Borrower pursuant to the Loan Documents (including, without limitation, Lenders’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Agent or any Lender.</w:t>
      </w:r>
    </w:p>
    <w:p>
      <w:pPr>
        <w:spacing w:after="0" w:line="164" w:lineRule="exact"/>
        <w:rPr>
          <w:rFonts w:ascii="Arial" w:cs="Arial" w:eastAsia="Arial" w:hAnsi="Arial"/>
          <w:sz w:val="16"/>
          <w:szCs w:val="16"/>
          <w:color w:val="auto"/>
        </w:rPr>
      </w:pPr>
    </w:p>
    <w:p>
      <w:pPr>
        <w:ind w:firstLine="1735"/>
        <w:spacing w:after="0" w:line="342" w:lineRule="auto"/>
        <w:tabs>
          <w:tab w:leader="none" w:pos="258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Adjustment to Interest Rate</w:t>
      </w:r>
      <w:r>
        <w:rPr>
          <w:rFonts w:ascii="Arial" w:cs="Arial" w:eastAsia="Arial" w:hAnsi="Arial"/>
          <w:sz w:val="16"/>
          <w:szCs w:val="16"/>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23" w:lineRule="exact"/>
        <w:rPr>
          <w:rFonts w:ascii="Arial" w:cs="Arial" w:eastAsia="Arial" w:hAnsi="Arial"/>
          <w:sz w:val="16"/>
          <w:szCs w:val="16"/>
          <w:color w:val="auto"/>
        </w:rPr>
      </w:pPr>
    </w:p>
    <w:p>
      <w:pPr>
        <w:jc w:val="both"/>
        <w:ind w:firstLine="1735"/>
        <w:spacing w:after="0" w:line="263" w:lineRule="auto"/>
        <w:tabs>
          <w:tab w:leader="none" w:pos="257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Interest Computation</w:t>
      </w:r>
      <w:r>
        <w:rPr>
          <w:rFonts w:ascii="Arial" w:cs="Arial" w:eastAsia="Arial" w:hAnsi="Arial"/>
          <w:sz w:val="18"/>
          <w:szCs w:val="18"/>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Fees and Expenses. </w:t>
      </w:r>
      <w:r>
        <w:rPr>
          <w:rFonts w:ascii="Arial" w:cs="Arial" w:eastAsia="Arial" w:hAnsi="Arial"/>
          <w:sz w:val="16"/>
          <w:szCs w:val="16"/>
          <w:color w:val="auto"/>
        </w:rPr>
        <w:t>Borrower shall pay to Agent:</w:t>
      </w:r>
    </w:p>
    <w:p>
      <w:pPr>
        <w:spacing w:after="0" w:line="229" w:lineRule="exact"/>
        <w:rPr>
          <w:sz w:val="20"/>
          <w:szCs w:val="20"/>
          <w:color w:val="auto"/>
        </w:rPr>
      </w:pPr>
    </w:p>
    <w:p>
      <w:pPr>
        <w:ind w:right="20" w:firstLine="1735"/>
        <w:spacing w:after="0" w:line="277" w:lineRule="auto"/>
        <w:tabs>
          <w:tab w:leader="none" w:pos="257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to be shared between the Lenders pursuant to their respective Term Loan Commitment Percentages, which shall be fully earned and non-refundable as of such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ind w:right="20" w:firstLine="1735"/>
        <w:spacing w:after="0" w:line="277" w:lineRule="auto"/>
        <w:tabs>
          <w:tab w:leader="none" w:pos="25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 to be shared between the Lenders pursuant to their respective Term Loan Commitment Percentages, which shall be fully earned and non-refundable as of such date; and</w:t>
      </w:r>
    </w:p>
    <w:p>
      <w:pPr>
        <w:spacing w:after="0" w:line="170" w:lineRule="exact"/>
        <w:rPr>
          <w:rFonts w:ascii="Arial" w:cs="Arial" w:eastAsia="Arial" w:hAnsi="Arial"/>
          <w:sz w:val="18"/>
          <w:szCs w:val="18"/>
          <w:color w:val="auto"/>
        </w:rPr>
      </w:pPr>
    </w:p>
    <w:p>
      <w:pPr>
        <w:jc w:val="both"/>
        <w:ind w:firstLine="1735"/>
        <w:spacing w:after="0" w:line="279" w:lineRule="auto"/>
        <w:tabs>
          <w:tab w:leader="none" w:pos="257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Lenders’ Expenses</w:t>
      </w:r>
      <w:r>
        <w:rPr>
          <w:rFonts w:ascii="Arial" w:cs="Arial" w:eastAsia="Arial" w:hAnsi="Arial"/>
          <w:sz w:val="17"/>
          <w:szCs w:val="17"/>
          <w:color w:val="auto"/>
        </w:rPr>
        <w:t>. All Lenders’ Expenses (including reasonable attorneys’ fees and expenses for documentation and negotiation of this Agreement) incurred through and after the Effective Date, when due (or, if no stated due date, upon demand by Agent). Borrower has paid to Agent a good faith deposit of Seventy-Five Thousand Dollars ($75,000) (the “</w:t>
      </w:r>
      <w:r>
        <w:rPr>
          <w:rFonts w:ascii="Arial" w:cs="Arial" w:eastAsia="Arial" w:hAnsi="Arial"/>
          <w:sz w:val="17"/>
          <w:szCs w:val="17"/>
          <w:b w:val="1"/>
          <w:bCs w:val="1"/>
          <w:color w:val="auto"/>
        </w:rPr>
        <w:t>Good Faith Deposit</w:t>
      </w:r>
      <w:r>
        <w:rPr>
          <w:rFonts w:ascii="Arial" w:cs="Arial" w:eastAsia="Arial" w:hAnsi="Arial"/>
          <w:sz w:val="17"/>
          <w:szCs w:val="17"/>
          <w:color w:val="auto"/>
        </w:rPr>
        <w:t>”) to initiate Lenders’ due diligence review process. The Good Faith Deposit will be applied to Lenders’ Expenses incurred as of the Effective Date.</w:t>
      </w:r>
    </w:p>
    <w:p>
      <w:pPr>
        <w:spacing w:after="0" w:line="17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Unless otherwise provided in this Agreement or in a separate writing by Agent, Borrower shall not be entitled to any credit, rebate, or repayment of any fees earned by Agent or any Lender pursuant to this Agreement notwithstanding any termination of this Agreement or the suspension or termination of any Lender’s obligation to make loans and advances hereunder. Agent may deduct amounts owing by Borrower under the clauses of this Section 1.3 pursuant to the terms of Section 1.4(e). Agent shall provide Borrower written notice of deductions made pursuant to the terms of the clauses of this Section 1.3.</w:t>
      </w:r>
    </w:p>
    <w:p>
      <w:pPr>
        <w:spacing w:after="0" w:line="18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Payments; Pro Rata Treatment; Application of Payments; Debit of Accounts.</w:t>
      </w:r>
    </w:p>
    <w:p>
      <w:pPr>
        <w:spacing w:after="0" w:line="229" w:lineRule="exact"/>
        <w:rPr>
          <w:sz w:val="20"/>
          <w:szCs w:val="20"/>
          <w:color w:val="auto"/>
        </w:rPr>
      </w:pPr>
    </w:p>
    <w:p>
      <w:pPr>
        <w:jc w:val="both"/>
        <w:ind w:firstLine="1735"/>
        <w:spacing w:after="0" w:line="296" w:lineRule="auto"/>
        <w:tabs>
          <w:tab w:leader="none" w:pos="257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payments (including prepayments) to be made by Borrower under any Loan Document shall be made to Agent for the account of Lenders, in immediately available funds in Dollars, without setoff, counterclaim, or deduction, before 12:00 p.m. Eastern time on the date when due. Agent shall distribute such payments to Lenders in like funds as set forth in Section 1.5. Payments of principal and/or interest received after 12:00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61" w:lineRule="exact"/>
        <w:rPr>
          <w:rFonts w:ascii="Arial" w:cs="Arial" w:eastAsia="Arial" w:hAnsi="Arial"/>
          <w:sz w:val="16"/>
          <w:szCs w:val="16"/>
          <w:color w:val="auto"/>
        </w:rPr>
      </w:pPr>
    </w:p>
    <w:p>
      <w:pPr>
        <w:ind w:firstLine="1735"/>
        <w:spacing w:after="0" w:line="277" w:lineRule="auto"/>
        <w:tabs>
          <w:tab w:leader="none" w:pos="25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borrowing by Borrower from Lenders hereunder shall be made according to the respective Term Loan Commitment Percentages of the relevant Lenders.</w:t>
      </w:r>
    </w:p>
    <w:p>
      <w:pPr>
        <w:spacing w:after="0" w:line="170" w:lineRule="exact"/>
        <w:rPr>
          <w:rFonts w:ascii="Arial" w:cs="Arial" w:eastAsia="Arial" w:hAnsi="Arial"/>
          <w:sz w:val="18"/>
          <w:szCs w:val="18"/>
          <w:color w:val="auto"/>
        </w:rPr>
      </w:pPr>
    </w:p>
    <w:p>
      <w:pPr>
        <w:jc w:val="both"/>
        <w:ind w:firstLine="1735"/>
        <w:spacing w:after="0" w:line="259" w:lineRule="auto"/>
        <w:tabs>
          <w:tab w:leader="none" w:pos="25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provided herein, each payment (including each prepayment) by Borrower on account of principal or interest on the Term Loan Advances shall be applied according to each Lender’s Pro Rata Share of the outstanding principal amount of the Term Loan Advances. The amount of each principal prepayment of the Term Loan Advances shall be applied to reduce the then remaining installments of the Term Loan Advances based upon each Pro Rata Share of Term Loan Advances.</w:t>
      </w:r>
    </w:p>
    <w:p>
      <w:pPr>
        <w:spacing w:after="0" w:line="186" w:lineRule="exact"/>
        <w:rPr>
          <w:rFonts w:ascii="Arial" w:cs="Arial" w:eastAsia="Arial" w:hAnsi="Arial"/>
          <w:sz w:val="18"/>
          <w:szCs w:val="18"/>
          <w:color w:val="auto"/>
        </w:rPr>
      </w:pPr>
    </w:p>
    <w:p>
      <w:pPr>
        <w:jc w:val="both"/>
        <w:ind w:firstLine="1735"/>
        <w:spacing w:after="0" w:line="259" w:lineRule="auto"/>
        <w:tabs>
          <w:tab w:leader="none" w:pos="25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Agent has the exclusive right to determine the order and manner in which all payments with respect to the Obligations may be applied. Borrower shall have no right to specify the order or the accounts to which Agent shall allocate or apply any payments required to be made by Borrower to Agent or otherwise received by Agent or any Lender under this Agreement when any such allocation or application is not specified elsewhere in this Agreement.</w:t>
      </w:r>
    </w:p>
    <w:p>
      <w:pPr>
        <w:spacing w:after="0" w:line="186"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Agent may debit any of Borrower’s deposit accounts maintained with Agent, including the Designated Deposit Account, for principal and interest payments or any other amounts Borrower owes Agent or any Lender when due under the Loan Documents. These debits shall not constitute a set-off.</w:t>
      </w:r>
    </w:p>
    <w:p>
      <w:pPr>
        <w:spacing w:after="0" w:line="183" w:lineRule="exact"/>
        <w:rPr>
          <w:rFonts w:ascii="Arial" w:cs="Arial" w:eastAsia="Arial" w:hAnsi="Arial"/>
          <w:sz w:val="18"/>
          <w:szCs w:val="18"/>
          <w:color w:val="auto"/>
        </w:rPr>
      </w:pPr>
    </w:p>
    <w:p>
      <w:pPr>
        <w:jc w:val="both"/>
        <w:ind w:firstLine="1735"/>
        <w:spacing w:after="0" w:line="254" w:lineRule="auto"/>
        <w:tabs>
          <w:tab w:leader="none" w:pos="25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Unless Agent shall have been notified in writing by Borrower prior to the date of any payment due to be made by Borrower hereunder that Borrower will not make such payment to Agent, Agent may assume that Borrower is making such payment, and Agent may, but shall not be required to, in reliance upon such assumption, make available to Lenders their respective Pro Rata Share of a corresponding payment amount. If such payment is not made to Agent by Borrower within three (3) Business Days after such due date,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Agent or any Lender against Borrower.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1.5 Settlement Procedures. </w:t>
      </w:r>
      <w:r>
        <w:rPr>
          <w:rFonts w:ascii="Arial" w:cs="Arial" w:eastAsia="Arial" w:hAnsi="Arial"/>
          <w:sz w:val="18"/>
          <w:szCs w:val="18"/>
          <w:color w:val="auto"/>
        </w:rPr>
        <w:t>If Agent receives any payment for the account of Lenders on or prior to 12:00 p.m. (Eastern time) on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 Agent shall pay to each applicable Lender such Lender’s Pro Rata Share of such payment on such Business Day. If Agent receives any payment for the account of Lenders after 12:00 p.m. (Eastern time) on any Business Day, Agent shall pay to each applicable Lender such Lender’s Pro Rata Share of such payment on the next Business Day.</w:t>
      </w:r>
    </w:p>
    <w:p>
      <w:pPr>
        <w:spacing w:after="0" w:line="180"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b w:val="1"/>
          <w:bCs w:val="1"/>
          <w:color w:val="auto"/>
        </w:rPr>
        <w:t xml:space="preserve">1.6 Withholding by Borrower. </w:t>
      </w:r>
      <w:r>
        <w:rPr>
          <w:rFonts w:ascii="Arial" w:cs="Arial" w:eastAsia="Arial" w:hAnsi="Arial"/>
          <w:sz w:val="16"/>
          <w:szCs w:val="16"/>
          <w:color w:val="auto"/>
        </w:rPr>
        <w:t>Payments received by Agent, for the account of Lenders, from Borrower under this Agreement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Agent, Borrower hereby covenants and agrees that the amount due from Borrower with respect to such payment or other sum payable hereunder will be increased to the extent necessary to ensure that, after the making of such required withholding or deduction (including any required withholding or deduction with respect to the increased amount), Agent receives a net sum equal to the sum which it would have received had no withholding or deduction been required, and Borrower shall pay the full amount withheld or deducted to the relevant Governmental Authority. Borrower will, upon request, furnish Agent with proof reasonably satisfactory to Agent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Borrower will indemnify and hold harmless Agent and the Lenders for, and upon written request of Agent reimburse Agent and the Lenders for the amount of, any taxes levied or imposed on or paid by Agent or any lender (whether or not correctly levied, imposed or paid) as a result of (i) Borrower’s failure to withhold such taxes and pay them to the relevant Governmental Authority, or (ii) any indemnification or reimbursement paid hereunder. Agent and the Lenders shall provide to Borrower, as soon as reasonably practicable, any refunds of such amounts received by Agent or any Lender (if any). The agreements and obligations of Borrower contained in this Section 1.6 shall survive the termination of this Agreement.</w:t>
      </w:r>
    </w:p>
    <w:p>
      <w:pPr>
        <w:spacing w:after="0" w:line="16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Change in Circumstances.</w:t>
      </w:r>
    </w:p>
    <w:p>
      <w:pPr>
        <w:spacing w:after="0" w:line="229" w:lineRule="exact"/>
        <w:rPr>
          <w:sz w:val="20"/>
          <w:szCs w:val="20"/>
          <w:color w:val="auto"/>
        </w:rPr>
      </w:pPr>
    </w:p>
    <w:p>
      <w:pPr>
        <w:jc w:val="both"/>
        <w:ind w:firstLine="1735"/>
        <w:spacing w:after="0" w:line="289" w:lineRule="auto"/>
        <w:tabs>
          <w:tab w:leader="none" w:pos="257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Increased Costs</w:t>
      </w:r>
      <w:r>
        <w:rPr>
          <w:rFonts w:ascii="Arial" w:cs="Arial" w:eastAsia="Arial" w:hAnsi="Arial"/>
          <w:sz w:val="16"/>
          <w:szCs w:val="16"/>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Agent, (ii) subject Agent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Agent any other condition, cost or expense (other than Taxes) affecting this Agreement or Credit Extensions made by Agent, and the result of any of the foregoing shall be to increase the cost to Agent of making, converting to, continuing or maintaining any Credit Extension (or of maintaining its obligation to make any such Credit Extension), or to reduce the amount of any sum received or receivable by Agent hereunder (whether of principal, interest or any other amount) then, upon written request of Agent, Borrower shall promptly pay to Agent such additional amount or amounts as will compensate Agent for such additional costs incurred or reduction suffered.</w:t>
      </w:r>
    </w:p>
    <w:p>
      <w:pPr>
        <w:spacing w:after="0" w:line="166" w:lineRule="exact"/>
        <w:rPr>
          <w:rFonts w:ascii="Arial" w:cs="Arial" w:eastAsia="Arial" w:hAnsi="Arial"/>
          <w:sz w:val="16"/>
          <w:szCs w:val="16"/>
          <w:color w:val="auto"/>
        </w:rPr>
      </w:pPr>
    </w:p>
    <w:p>
      <w:pPr>
        <w:jc w:val="both"/>
        <w:ind w:firstLine="1735"/>
        <w:spacing w:after="0" w:line="257" w:lineRule="auto"/>
        <w:tabs>
          <w:tab w:leader="none" w:pos="258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Agent determines that any Change in Law affecting Agent regarding capital or liquidity requirements, has or would have the effect of reducing the rate of return on Agent’s capital as a consequence of this Agreement, any term loan facility, or the Credit Extensions made by Agent to a level below that which Agent could have achieved but for such Change in Law (taking into consideration Agent’s policies with respect to capital adequacy and liquidity), then from time to time upon written request of Agent, Borrower shall promptly pay to Agent such additional amount or amounts as will compensate Agent for any such reduction suffered.</w:t>
      </w:r>
    </w:p>
    <w:p>
      <w:pPr>
        <w:spacing w:after="0" w:line="187" w:lineRule="exact"/>
        <w:rPr>
          <w:rFonts w:ascii="Arial" w:cs="Arial" w:eastAsia="Arial" w:hAnsi="Arial"/>
          <w:sz w:val="18"/>
          <w:szCs w:val="18"/>
          <w:color w:val="auto"/>
        </w:rPr>
      </w:pPr>
    </w:p>
    <w:p>
      <w:pPr>
        <w:jc w:val="both"/>
        <w:ind w:right="20" w:firstLine="1735"/>
        <w:spacing w:after="0" w:line="259" w:lineRule="auto"/>
        <w:tabs>
          <w:tab w:leader="none" w:pos="257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Agent to demand compensation pursuant to this Section 1.7 shall not constitute a waiver of Agent’s right to demand such compensation; provided that Borrower shall not be required to compensate Agent pursuant to subsection (a) for any increased costs incurred or reductions suffered more than nine (9) months prior to the date that Agent notifies Borrower of the Change 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right="20"/>
        <w:spacing w:after="0" w:line="277" w:lineRule="auto"/>
        <w:rPr>
          <w:sz w:val="20"/>
          <w:szCs w:val="20"/>
          <w:color w:val="auto"/>
        </w:rPr>
      </w:pPr>
      <w:r>
        <w:rPr>
          <w:rFonts w:ascii="Arial" w:cs="Arial" w:eastAsia="Arial" w:hAnsi="Arial"/>
          <w:sz w:val="18"/>
          <w:szCs w:val="18"/>
          <w:color w:val="auto"/>
        </w:rPr>
        <w:t>Law giving rise to such increased costs or reductions (except that if the Change in Law giving rise to such increased costs or reductions is retroactive, then the nine (9) month period shall be extended to include the period of retroactive effect).</w:t>
      </w:r>
    </w:p>
    <w:p>
      <w:pPr>
        <w:spacing w:after="0" w:line="16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jc w:val="both"/>
        <w:ind w:firstLine="1735"/>
        <w:spacing w:after="0" w:line="272" w:lineRule="auto"/>
        <w:tabs>
          <w:tab w:leader="none" w:pos="257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1.8) Agent receives an amount equal to the sum it would have received had no such deduction or withholding been made.</w:t>
      </w:r>
    </w:p>
    <w:p>
      <w:pPr>
        <w:spacing w:after="0" w:line="177" w:lineRule="exact"/>
        <w:rPr>
          <w:rFonts w:ascii="Arial" w:cs="Arial" w:eastAsia="Arial" w:hAnsi="Arial"/>
          <w:sz w:val="17"/>
          <w:szCs w:val="17"/>
          <w:color w:val="auto"/>
        </w:rPr>
      </w:pPr>
    </w:p>
    <w:p>
      <w:pPr>
        <w:ind w:firstLine="1735"/>
        <w:spacing w:after="0" w:line="277" w:lineRule="auto"/>
        <w:tabs>
          <w:tab w:leader="none" w:pos="258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Borrower</w:t>
      </w:r>
      <w:r>
        <w:rPr>
          <w:rFonts w:ascii="Arial" w:cs="Arial" w:eastAsia="Arial" w:hAnsi="Arial"/>
          <w:sz w:val="18"/>
          <w:szCs w:val="18"/>
          <w:color w:val="auto"/>
        </w:rPr>
        <w:t>. Without limiting the provisions of subsection (a) above, Borrower shall timely pay any Other Taxes to the relevant Governmental Authority in accordance with Applicable Law.</w:t>
      </w:r>
    </w:p>
    <w:p>
      <w:pPr>
        <w:spacing w:after="0" w:line="170" w:lineRule="exact"/>
        <w:rPr>
          <w:rFonts w:ascii="Arial" w:cs="Arial" w:eastAsia="Arial" w:hAnsi="Arial"/>
          <w:sz w:val="18"/>
          <w:szCs w:val="18"/>
          <w:color w:val="auto"/>
        </w:rPr>
      </w:pPr>
    </w:p>
    <w:p>
      <w:pPr>
        <w:jc w:val="both"/>
        <w:ind w:firstLine="1735"/>
        <w:spacing w:after="0" w:line="255" w:lineRule="auto"/>
        <w:tabs>
          <w:tab w:leader="none" w:pos="257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Tax Indemnification</w:t>
      </w:r>
      <w:r>
        <w:rPr>
          <w:rFonts w:ascii="Arial" w:cs="Arial" w:eastAsia="Arial" w:hAnsi="Arial"/>
          <w:sz w:val="18"/>
          <w:szCs w:val="18"/>
          <w:color w:val="auto"/>
        </w:rPr>
        <w:t>. Without limiting the provisions of subsections (a) and (b) above, Borrower shall, and does hereby, indemnify Agent, within ten (10) days after demand therefor, for the full amount of any Indemnified Taxes (including Indemnified Taxes imposed or asserted on or attributable to amounts payable under this Section 1.8) payable or paid by Agent or required to be withheld or deducted from a payment to Agent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Agent shall be conclusive absent manifest error.</w:t>
      </w:r>
    </w:p>
    <w:p>
      <w:pPr>
        <w:spacing w:after="0" w:line="192"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Borrower to a Governmental Authority pursuant to this Section 1.8, Borrower shall deliver to Agent a certified copy of a receipt issued by such Governmental Authority evidencing such payment, a copy of the return reporting such payment or other evidence of such payment reasonably satisfactory to Agent.</w:t>
      </w:r>
    </w:p>
    <w:p>
      <w:pPr>
        <w:spacing w:after="0" w:line="183" w:lineRule="exact"/>
        <w:rPr>
          <w:rFonts w:ascii="Arial" w:cs="Arial" w:eastAsia="Arial" w:hAnsi="Arial"/>
          <w:sz w:val="18"/>
          <w:szCs w:val="18"/>
          <w:color w:val="auto"/>
        </w:rPr>
      </w:pPr>
    </w:p>
    <w:p>
      <w:pPr>
        <w:jc w:val="both"/>
        <w:ind w:firstLine="1735"/>
        <w:spacing w:after="0" w:line="253" w:lineRule="auto"/>
        <w:tabs>
          <w:tab w:leader="none" w:pos="257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Status of Agent</w:t>
      </w:r>
      <w:r>
        <w:rPr>
          <w:rFonts w:ascii="Arial" w:cs="Arial" w:eastAsia="Arial" w:hAnsi="Arial"/>
          <w:sz w:val="18"/>
          <w:szCs w:val="18"/>
          <w:color w:val="auto"/>
        </w:rPr>
        <w:t>. If Agent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Agent, if reasonably requested by Borrower, shall deliver such other documentation prescribed by Applicable Law or reasonably requested by Borrower as will enable Borrower to determine whether or not Agent is subject to backup withholding or information reporting requirements. Without limiting the generality of the foregoing, Agent shall deliver whichever of IRS Form W-9, IRS Form W-8BEN-E, IRS Form W-8ECI or W-8IMY is applicable, as well as any applicable supporting documentation or certifications. . Agent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9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Procedures for Borrowing.</w:t>
      </w:r>
    </w:p>
    <w:p>
      <w:pPr>
        <w:spacing w:after="0" w:line="229" w:lineRule="exact"/>
        <w:rPr>
          <w:sz w:val="20"/>
          <w:szCs w:val="20"/>
          <w:color w:val="auto"/>
        </w:rPr>
      </w:pPr>
    </w:p>
    <w:p>
      <w:pPr>
        <w:jc w:val="both"/>
        <w:ind w:firstLine="1735"/>
        <w:spacing w:after="0" w:line="255" w:lineRule="auto"/>
        <w:tabs>
          <w:tab w:leader="none" w:pos="25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the prior satisfaction of all other applicable conditions to the making of a Credit Extension set forth in this Agreement (which must be satisfied no later than 12:00 p.m. Eastern time on the applicable Funding Date), to obtain a Credit Extension, Borrower shall notify Agent (which notice shall be irrevocable) by 12:00 p.m. Eastern time at least five (5) Business Days prior to the proposed Funding Date of such Credit Extension. Such notice shall be made by electronic mail, facsimile, or telephone, and, together with any such notification, Borrower shall deliver to Agent by electronic mail or facsimile a completed Disbursement Letter (and Payment/Advance Form) executed by an Authorized Signer and such other reports and information as Agent may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t>reasonably request. Agent may rely on any telephone notice given by a person whom Agent believes is an Authorized Signer. Borrower will indemnify Agent for any loss Agent suffers due to such belief or reliance. Agent shall have received satisfactory evidence that the Board has approved that such Authorized Signer may provide such notices and request Credit Extensions (which requirement may be deemed satisfied by the prior delivery of Borrowing Resolutions or a secretary’s certificate that certifies as to such Board approval).</w:t>
      </w:r>
    </w:p>
    <w:p>
      <w:pPr>
        <w:spacing w:after="0" w:line="187" w:lineRule="exact"/>
        <w:rPr>
          <w:sz w:val="20"/>
          <w:szCs w:val="20"/>
          <w:color w:val="auto"/>
        </w:rPr>
      </w:pPr>
    </w:p>
    <w:p>
      <w:pPr>
        <w:jc w:val="both"/>
        <w:ind w:firstLine="1735"/>
        <w:spacing w:after="0" w:line="263" w:lineRule="auto"/>
        <w:tabs>
          <w:tab w:leader="none" w:pos="25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the Funding Date, Agent shall credit the Credit Extensions to the Designated Deposit Account. Agent may make Credit Extensions under this Agreement based on instructions from an Authorized Signer or without instructions if the Credit Extensions are necessary to meet Obligations which have become due.</w:t>
      </w:r>
    </w:p>
    <w:p>
      <w:pPr>
        <w:spacing w:after="0" w:line="183" w:lineRule="exact"/>
        <w:rPr>
          <w:rFonts w:ascii="Arial" w:cs="Arial" w:eastAsia="Arial" w:hAnsi="Arial"/>
          <w:sz w:val="18"/>
          <w:szCs w:val="18"/>
          <w:color w:val="auto"/>
        </w:rPr>
      </w:pPr>
    </w:p>
    <w:p>
      <w:pPr>
        <w:jc w:val="both"/>
        <w:ind w:firstLine="1735"/>
        <w:spacing w:after="0" w:line="269" w:lineRule="auto"/>
        <w:tabs>
          <w:tab w:leader="none" w:pos="257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Funding</w:t>
      </w:r>
      <w:r>
        <w:rPr>
          <w:rFonts w:ascii="Arial" w:cs="Arial" w:eastAsia="Arial" w:hAnsi="Arial"/>
          <w:sz w:val="17"/>
          <w:szCs w:val="17"/>
          <w:color w:val="auto"/>
        </w:rPr>
        <w:t>. In determining compliance with any condition hereunder to the making of a Credit Extension that, by its terms, must be fulfilled to the satisfaction of a Lender, Agent may presume that such condition is satisfactory to such Lender unless Agent shall have received notice to the contrary from such Lender prior to the making of such Credit Extension. Unless Agent shall have been notified in writing by any Lender prior to the date of any Credit Extension, that such Lender will not make the amount that would constitute its share of such borrowing available to Agent, Agent may assume that such Lender is making such amount available to Agent, and Agent may, in reliance upon such assumption, make available to Borrower a corresponding amount. If such amount is not made available to Agent by the required time on the Funding Date therefor, such Lender shall pay to Agent, on demand, such amount with interest thereon, at a rate equal to the greater of (i) the Federal Funds Effective Rate or (ii) a rate determined by Agent in accordance with banking industry rules on interbank compensation, for the period until such Lender makes such amount immediately available to Agent. If such Lender’s share of such Credit Extension is not made available to Agent by such Lender within three (3) Business Days after such Funding Date, Agent shall also be entitled to recover such amount with interest thereon at the rate per annum applicable to the Term Loan Advances, on demand, from Borrower.</w:t>
      </w:r>
    </w:p>
    <w:p>
      <w:pPr>
        <w:spacing w:after="0" w:line="178" w:lineRule="exact"/>
        <w:rPr>
          <w:sz w:val="20"/>
          <w:szCs w:val="20"/>
          <w:color w:val="auto"/>
        </w:rPr>
      </w:pPr>
    </w:p>
    <w:p>
      <w:pPr>
        <w:ind w:left="1600" w:hanging="728"/>
        <w:spacing w:after="0"/>
        <w:tabs>
          <w:tab w:leader="none" w:pos="16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CREDIT EXTENSIONS</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2.1 Conditions Precedent to Initial Credit Extension. </w:t>
      </w:r>
      <w:r>
        <w:rPr>
          <w:rFonts w:ascii="Arial" w:cs="Arial" w:eastAsia="Arial" w:hAnsi="Arial"/>
          <w:sz w:val="18"/>
          <w:szCs w:val="18"/>
          <w:color w:val="auto"/>
        </w:rPr>
        <w:t>Each Lender’s obligation to make the initial Credit Extension hereunder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 precedent that Agent shall have received, in form and substance satisfactory to Agent and the Lenders, such documents, and completion of such other matters, as Agent may reasonably have requested, including, without limitation:</w:t>
      </w:r>
    </w:p>
    <w:p>
      <w:pPr>
        <w:spacing w:after="0" w:line="180" w:lineRule="exact"/>
        <w:rPr>
          <w:sz w:val="20"/>
          <w:szCs w:val="20"/>
          <w:color w:val="auto"/>
        </w:rPr>
      </w:pPr>
    </w:p>
    <w:p>
      <w:pPr>
        <w:ind w:left="2580" w:hanging="845"/>
        <w:spacing w:after="0"/>
        <w:tabs>
          <w:tab w:leader="none" w:pos="2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duly executed Loan Documents;</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Operating Documents of Borrower and long-form good standing certificates of Borrower certified by the Secretary of State of the State of Delaware and the Secretary of State (or equivalent agency) of each other jurisdiction in which Borrower is qualified to conduct business, in each case dated as of a date no earlier than thirty (30) days prior to the Effective Date;</w:t>
      </w:r>
    </w:p>
    <w:p>
      <w:pPr>
        <w:spacing w:after="0" w:line="183"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secretary’s certificate/officer’s certificate (as applicable) duly executed by a Responsible Officer or secretary of Borrower with respect to Borrower’s Operating Documents, incumbency, specimen signatures and resolutions authorizing the execution and delivery of this Agreement and the other Loan Documents to which it is a party;</w:t>
      </w:r>
    </w:p>
    <w:p>
      <w:pPr>
        <w:spacing w:after="0" w:line="183" w:lineRule="exact"/>
        <w:rPr>
          <w:rFonts w:ascii="Arial" w:cs="Arial" w:eastAsia="Arial" w:hAnsi="Arial"/>
          <w:sz w:val="18"/>
          <w:szCs w:val="18"/>
          <w:color w:val="auto"/>
        </w:rPr>
      </w:pPr>
    </w:p>
    <w:p>
      <w:pPr>
        <w:ind w:left="2600" w:hanging="865"/>
        <w:spacing w:after="0"/>
        <w:tabs>
          <w:tab w:leader="none" w:pos="2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duly executed Borrowing Resolutions for Borrower;</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 respect to the Initial Tranche A Term Loan Advance, a completed and duly executed Payment/Advance Form;</w:t>
      </w:r>
    </w:p>
    <w:p>
      <w:pPr>
        <w:spacing w:after="0" w:line="236" w:lineRule="exact"/>
        <w:rPr>
          <w:rFonts w:ascii="Arial" w:cs="Arial" w:eastAsia="Arial" w:hAnsi="Arial"/>
          <w:sz w:val="17"/>
          <w:szCs w:val="17"/>
          <w:color w:val="auto"/>
        </w:rPr>
      </w:pPr>
    </w:p>
    <w:p>
      <w:pPr>
        <w:ind w:left="2560" w:hanging="825"/>
        <w:spacing w:after="0"/>
        <w:tabs>
          <w:tab w:leader="none" w:pos="2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 respect to the Initial Tranche A Term Loan Advance, a completed and duly executed Disbursement Letter;</w:t>
      </w:r>
    </w:p>
    <w:p>
      <w:pPr>
        <w:spacing w:after="0" w:line="236"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certified copies, dated as of a recent date, of searches for Liens (including without limitation, UCC searches) filed in the central filing office of the State of Delaware, accompanied by written evidence (including any UCC termination statements and other Lien releases) that the Liens indicated in any such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financing statements or other filings either constitute Permitted Liens or have been or, in connection with the initial Credit Extension hereunder, will be terminated or released;</w:t>
      </w:r>
    </w:p>
    <w:p>
      <w:pPr>
        <w:spacing w:after="0" w:line="170" w:lineRule="exact"/>
        <w:rPr>
          <w:sz w:val="20"/>
          <w:szCs w:val="20"/>
          <w:color w:val="auto"/>
        </w:rPr>
      </w:pPr>
    </w:p>
    <w:p>
      <w:pPr>
        <w:ind w:left="2600" w:hanging="865"/>
        <w:spacing w:after="0"/>
        <w:tabs>
          <w:tab w:leader="none" w:pos="2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legal opinion of Borrower’s counsel dated as of the Effective Date;</w:t>
      </w:r>
    </w:p>
    <w:p>
      <w:pPr>
        <w:spacing w:after="0" w:line="225" w:lineRule="exact"/>
        <w:rPr>
          <w:rFonts w:ascii="Arial" w:cs="Arial" w:eastAsia="Arial" w:hAnsi="Arial"/>
          <w:sz w:val="18"/>
          <w:szCs w:val="18"/>
          <w:color w:val="auto"/>
        </w:rPr>
      </w:pPr>
    </w:p>
    <w:p>
      <w:pPr>
        <w:ind w:firstLine="1735"/>
        <w:spacing w:after="0" w:line="342" w:lineRule="auto"/>
        <w:tabs>
          <w:tab w:leader="none" w:pos="25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stock power forms (5 originals) executed by Borrower with respect to capital stock of AVROBIO Securities Corporation and delivery of stock certificates evidencing ownership interests in AVROBIO Securities Corporation delivered to Agent for the benefit of the Lenders;</w:t>
      </w:r>
    </w:p>
    <w:p>
      <w:pPr>
        <w:spacing w:after="0" w:line="123" w:lineRule="exact"/>
        <w:rPr>
          <w:rFonts w:ascii="Arial" w:cs="Arial" w:eastAsia="Arial" w:hAnsi="Arial"/>
          <w:sz w:val="16"/>
          <w:szCs w:val="16"/>
          <w:color w:val="auto"/>
        </w:rPr>
      </w:pPr>
    </w:p>
    <w:p>
      <w:pPr>
        <w:ind w:left="2560" w:hanging="825"/>
        <w:spacing w:after="0"/>
        <w:tabs>
          <w:tab w:leader="none" w:pos="2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duly executed Perfection Certificate of Borrower;</w:t>
      </w:r>
    </w:p>
    <w:p>
      <w:pPr>
        <w:spacing w:after="0" w:line="225" w:lineRule="exact"/>
        <w:rPr>
          <w:rFonts w:ascii="Arial" w:cs="Arial" w:eastAsia="Arial" w:hAnsi="Arial"/>
          <w:sz w:val="18"/>
          <w:szCs w:val="18"/>
          <w:color w:val="auto"/>
        </w:rPr>
      </w:pPr>
    </w:p>
    <w:p>
      <w:pPr>
        <w:ind w:firstLine="1735"/>
        <w:spacing w:after="0" w:line="277" w:lineRule="auto"/>
        <w:tabs>
          <w:tab w:leader="none" w:pos="25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stock power forms (5 originals) executed by Borrower MSC Subsidiary with respect to the capital stock of AVROBIO Securities Corporation together with stock certificates evidencing ownership interests in AVROBIO Securities Corporation;</w:t>
      </w:r>
    </w:p>
    <w:p>
      <w:pPr>
        <w:spacing w:after="0" w:line="170" w:lineRule="exact"/>
        <w:rPr>
          <w:rFonts w:ascii="Arial" w:cs="Arial" w:eastAsia="Arial" w:hAnsi="Arial"/>
          <w:sz w:val="18"/>
          <w:szCs w:val="18"/>
          <w:color w:val="auto"/>
        </w:rPr>
      </w:pPr>
    </w:p>
    <w:p>
      <w:pPr>
        <w:ind w:left="2560" w:hanging="825"/>
        <w:spacing w:after="0"/>
        <w:tabs>
          <w:tab w:leader="none" w:pos="25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evidence satisfactory to Agent that the insurance policies required by Section 5.56 hereof are in full force and effect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with respect to Borrower; and</w:t>
      </w:r>
    </w:p>
    <w:p>
      <w:pPr>
        <w:spacing w:after="0" w:line="210" w:lineRule="exact"/>
        <w:rPr>
          <w:rFonts w:ascii="Arial" w:cs="Arial" w:eastAsia="Arial" w:hAnsi="Arial"/>
          <w:sz w:val="17"/>
          <w:szCs w:val="17"/>
          <w:color w:val="auto"/>
        </w:rPr>
      </w:pPr>
    </w:p>
    <w:p>
      <w:pPr>
        <w:ind w:left="2640" w:hanging="905"/>
        <w:spacing w:after="0"/>
        <w:tabs>
          <w:tab w:leader="none" w:pos="2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1.3 hereof.</w:t>
      </w:r>
    </w:p>
    <w:p>
      <w:pPr>
        <w:spacing w:after="0" w:line="22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Conditions Precedent to all Credit Extensions.  </w:t>
      </w:r>
      <w:r>
        <w:rPr>
          <w:rFonts w:ascii="Arial" w:cs="Arial" w:eastAsia="Arial" w:hAnsi="Arial"/>
          <w:sz w:val="16"/>
          <w:szCs w:val="16"/>
          <w:color w:val="auto"/>
        </w:rPr>
        <w:t>Each Lender’s obligation to make each Credit Extension, including the initial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Extension, is subject to the following conditions precedent:</w:t>
      </w:r>
    </w:p>
    <w:p>
      <w:pPr>
        <w:spacing w:after="0" w:line="211" w:lineRule="exact"/>
        <w:rPr>
          <w:sz w:val="20"/>
          <w:szCs w:val="20"/>
          <w:color w:val="auto"/>
        </w:rPr>
      </w:pPr>
    </w:p>
    <w:p>
      <w:pPr>
        <w:ind w:left="2580" w:hanging="845"/>
        <w:spacing w:after="0"/>
        <w:tabs>
          <w:tab w:leader="none" w:pos="2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receipt of Borrower’s (i) executed Disbursement Letter and (ii) executed Payment/Advance Form;</w:t>
      </w:r>
    </w:p>
    <w:p>
      <w:pPr>
        <w:spacing w:after="0" w:line="225" w:lineRule="exact"/>
        <w:rPr>
          <w:rFonts w:ascii="Arial" w:cs="Arial" w:eastAsia="Arial" w:hAnsi="Arial"/>
          <w:sz w:val="18"/>
          <w:szCs w:val="18"/>
          <w:color w:val="auto"/>
        </w:rPr>
      </w:pPr>
    </w:p>
    <w:p>
      <w:pPr>
        <w:jc w:val="both"/>
        <w:ind w:firstLine="1735"/>
        <w:spacing w:after="0" w:line="270" w:lineRule="auto"/>
        <w:tabs>
          <w:tab w:leader="none" w:pos="25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shall be true and correct in all material respects as of the date of the Disbursement Letter (and the Payment/Advance Form)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Event of Default shall have occurred and be continuing or result from the Credit Extension. Each Credit Extension is Borrower’s representation and warranty on that date that the representations and warranties in this Agreement are true and correct in all material respects as of such date;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80" w:lineRule="exact"/>
        <w:rPr>
          <w:rFonts w:ascii="Arial" w:cs="Arial" w:eastAsia="Arial" w:hAnsi="Arial"/>
          <w:sz w:val="17"/>
          <w:szCs w:val="17"/>
          <w:color w:val="auto"/>
        </w:rPr>
      </w:pPr>
    </w:p>
    <w:p>
      <w:pPr>
        <w:ind w:left="2580" w:hanging="845"/>
        <w:spacing w:after="0"/>
        <w:tabs>
          <w:tab w:leader="none" w:pos="2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Material Adverse Change shall not have occurred and be continuing.</w:t>
      </w:r>
    </w:p>
    <w:p>
      <w:pPr>
        <w:spacing w:after="0" w:line="221"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2.3 Covenant to Deliver. </w:t>
      </w:r>
      <w:r>
        <w:rPr>
          <w:rFonts w:ascii="Arial" w:cs="Arial" w:eastAsia="Arial" w:hAnsi="Arial"/>
          <w:sz w:val="18"/>
          <w:szCs w:val="18"/>
          <w:color w:val="auto"/>
        </w:rPr>
        <w:t>Borrower shall deliver to Agent and each Lender each item required to be delivered to Agent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Lender under this Agreement as a condition precedent to any Credit Extension. A Credit Extension made prior to the receipt by Agent and each Lender of any such item shall not constitute a waiver by Agent or Lenders of Borrower’s obligation to deliver such item, and the making of any Credit Extension in the absence of a required item shall be in each Lender’s sole discretion.</w:t>
      </w:r>
    </w:p>
    <w:p>
      <w:pPr>
        <w:spacing w:after="0" w:line="180" w:lineRule="exact"/>
        <w:rPr>
          <w:sz w:val="20"/>
          <w:szCs w:val="20"/>
          <w:color w:val="auto"/>
        </w:rPr>
      </w:pPr>
    </w:p>
    <w:p>
      <w:pPr>
        <w:ind w:left="1600" w:hanging="728"/>
        <w:spacing w:after="0"/>
        <w:tabs>
          <w:tab w:leader="none" w:pos="16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Grant of Security Interest.</w:t>
      </w:r>
    </w:p>
    <w:p>
      <w:pPr>
        <w:spacing w:after="0" w:line="229" w:lineRule="exact"/>
        <w:rPr>
          <w:sz w:val="20"/>
          <w:szCs w:val="20"/>
          <w:color w:val="auto"/>
        </w:rPr>
      </w:pPr>
    </w:p>
    <w:p>
      <w:pPr>
        <w:jc w:val="both"/>
        <w:ind w:firstLine="1735"/>
        <w:spacing w:after="0" w:line="311" w:lineRule="auto"/>
        <w:tabs>
          <w:tab w:leader="none" w:pos="25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Borrower hereby grants Agent, for the ratable benefit of the Lenders, to secure the payment and performance in full of all of the Obligations, a continuing security interest in, and pledges to Agent, for the ratable benefit of the Lenders, the Collateral, wherever located, whether now owned or hereafter acquired or arising, and all proceeds and products thereof. For clarity, any reference to “Agent’s Lien” or any granting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collateral to Agent in this Agreement or any Loan Document means the Lien granted to Agent for the ratable benefit of the Lenders.</w:t>
      </w:r>
    </w:p>
    <w:p>
      <w:pPr>
        <w:spacing w:after="0" w:line="225" w:lineRule="exact"/>
        <w:rPr>
          <w:sz w:val="20"/>
          <w:szCs w:val="20"/>
          <w:color w:val="auto"/>
        </w:rPr>
      </w:pPr>
    </w:p>
    <w:p>
      <w:pPr>
        <w:jc w:val="both"/>
        <w:ind w:firstLine="1735"/>
        <w:spacing w:after="0" w:line="259" w:lineRule="auto"/>
        <w:tabs>
          <w:tab w:leader="none" w:pos="25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Borrower acknowledges that it previously has entered, or may in the future enter, into Bank Services Agreements with SVB. Regardless of the terms of any Bank Services Agreement, Borrower agrees that any amounts Borrower owes SVB thereunder shall be deemed to be Obligations hereunder and that it is the intent of Borrower and SVB to have all such Obligations secured by the first priority perfected security interest in the Collateral granted herein (subject to Permitted Liens).</w:t>
      </w:r>
    </w:p>
    <w:p>
      <w:pPr>
        <w:spacing w:after="0" w:line="183"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3.2 Authorization to File Financing Statements. </w:t>
      </w:r>
      <w:r>
        <w:rPr>
          <w:rFonts w:ascii="Arial" w:cs="Arial" w:eastAsia="Arial" w:hAnsi="Arial"/>
          <w:sz w:val="18"/>
          <w:szCs w:val="18"/>
          <w:color w:val="auto"/>
        </w:rPr>
        <w:t>Borrower hereby authorizes Agent, on behalf of the Lenders, to file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without notice to Borrower, with all jurisdictions deemed necessary or appropriate by Agent to perfect or protect Agent’s and Lenders’ interest or rights hereunder, including a notice that any disposition of the Collateral in violation of this Agreement, by Borrower or any other Person, shall be deemed to violate the rights of Agent under the Code. Such financing statements may indicate the Collateral as “all assets of the Debtor” or words of similar effect.</w:t>
      </w:r>
    </w:p>
    <w:p>
      <w:pPr>
        <w:spacing w:after="0" w:line="183"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b w:val="1"/>
          <w:bCs w:val="1"/>
          <w:color w:val="auto"/>
        </w:rPr>
        <w:t>3.3 Termination</w:t>
      </w:r>
      <w:r>
        <w:rPr>
          <w:rFonts w:ascii="Arial" w:cs="Arial" w:eastAsia="Arial" w:hAnsi="Arial"/>
          <w:sz w:val="17"/>
          <w:szCs w:val="17"/>
          <w:color w:val="auto"/>
        </w:rPr>
        <w:t>. If this Agreement is terminated, Agent’s Lien in the Collateral shall continue until the Obligations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inchoate indemnity obligations) are repaid in full in cash. Upon payment in full in cash of the Obligations (other than inchoate indemnity obligations) and at such time as the Lenders’ obligation to make Credit Extensions has terminated, Agent shall, at Borrower’s sole cost and expense, terminate its security interest in and Liens on the Collateral and all rights therein shall revert to Borrower. In the event (a) all Obligations (other than inchoate indemnity obligations), except for Bank Services, are satisfied in full, and (b) this Agreement is terminated, Agent shall terminate the security interest and Lien granted herein upon Borrower providing to SVB cash collateral acceptable to SVB in its sole discretion for outstanding Bank Services, if any. In the event such Bank Services consist of outstanding Letters of Credit, Borrower shall provide to SVB cash collateral in an amount equal to at least (i) one hundred five percent (105.0%) of the face amount of all such Letters of Credit denominated in Dollars and (ii) one hundred ten percent (110.0%) of the Dollar Equivalent of the face amount of all such Letters of Credit denominated in a Foreign Currency, plus, in each case, all interest, fees, and costs due or estimated by SVB to become due in connection therewith, to secure all of the Obligations relating to such Letters of Credit.</w:t>
      </w:r>
    </w:p>
    <w:p>
      <w:pPr>
        <w:spacing w:after="0" w:line="177" w:lineRule="exact"/>
        <w:rPr>
          <w:sz w:val="20"/>
          <w:szCs w:val="20"/>
          <w:color w:val="auto"/>
        </w:rPr>
      </w:pPr>
    </w:p>
    <w:p>
      <w:pPr>
        <w:ind w:left="1600" w:hanging="728"/>
        <w:spacing w:after="0"/>
        <w:tabs>
          <w:tab w:leader="none" w:pos="16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Due Organization, Authorization; Power and Authority.</w:t>
      </w:r>
    </w:p>
    <w:p>
      <w:pPr>
        <w:spacing w:after="0" w:line="229" w:lineRule="exact"/>
        <w:rPr>
          <w:sz w:val="20"/>
          <w:szCs w:val="20"/>
          <w:color w:val="auto"/>
        </w:rPr>
      </w:pPr>
    </w:p>
    <w:p>
      <w:pPr>
        <w:jc w:val="both"/>
        <w:ind w:firstLine="1735"/>
        <w:spacing w:after="0" w:line="259" w:lineRule="auto"/>
        <w:tabs>
          <w:tab w:leader="none" w:pos="25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Borrower and each of its Subsidiaries are each duly existing and in good standing as a Registered Organization in their respective jurisdiction of formation and are qualified and licensed to do business and is in good standing in any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spacing w:after="0" w:line="186" w:lineRule="exact"/>
        <w:rPr>
          <w:rFonts w:ascii="Arial" w:cs="Arial" w:eastAsia="Arial" w:hAnsi="Arial"/>
          <w:sz w:val="18"/>
          <w:szCs w:val="18"/>
          <w:color w:val="auto"/>
        </w:rPr>
      </w:pPr>
    </w:p>
    <w:p>
      <w:pPr>
        <w:jc w:val="both"/>
        <w:ind w:firstLine="1735"/>
        <w:spacing w:after="0" w:line="259" w:lineRule="auto"/>
        <w:tabs>
          <w:tab w:leader="none" w:pos="25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information set forth on the Perfection Certificate pertaining to Borrower and each of its Subsidiaries is true and correct (it being understood and agreed that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Agent of such permitted update).</w:t>
      </w:r>
    </w:p>
    <w:p>
      <w:pPr>
        <w:spacing w:after="0" w:line="186" w:lineRule="exact"/>
        <w:rPr>
          <w:rFonts w:ascii="Arial" w:cs="Arial" w:eastAsia="Arial" w:hAnsi="Arial"/>
          <w:sz w:val="18"/>
          <w:szCs w:val="18"/>
          <w:color w:val="auto"/>
        </w:rPr>
      </w:pPr>
    </w:p>
    <w:p>
      <w:pPr>
        <w:jc w:val="both"/>
        <w:ind w:firstLine="1735"/>
        <w:spacing w:after="0" w:line="255" w:lineRule="auto"/>
        <w:tabs>
          <w:tab w:leader="none" w:pos="25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financing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jc w:val="both"/>
        <w:spacing w:after="0" w:line="257" w:lineRule="auto"/>
        <w:rPr>
          <w:sz w:val="20"/>
          <w:szCs w:val="20"/>
          <w:color w:val="auto"/>
        </w:rPr>
      </w:pPr>
      <w:r>
        <w:rPr>
          <w:rFonts w:ascii="Arial" w:cs="Arial" w:eastAsia="Arial" w:hAnsi="Arial"/>
          <w:sz w:val="18"/>
          <w:szCs w:val="18"/>
          <w:color w:val="auto"/>
        </w:rPr>
        <w:t>statements filed in connection herewith and such Governmental Approvals which have already been obtained and are in full force and effect or are to be obtained pursuant to Section 5.2(b))), or (v) conflict with, contravene, constitute a default or breach under, or result in or permit the termination or acceleration of, any material agreement by which Borrower or any of its Subsidiaries is bound. Neither Borrower nor any of its Subsidiaries are in default under any agreement to which it is a party or by which it is bound in which the default could reasonably be expected to have a material adverse effect on Borrower’s or any of its Subsidiary’s business or operations.</w:t>
      </w:r>
    </w:p>
    <w:p>
      <w:pPr>
        <w:spacing w:after="0" w:line="18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Collateral.</w:t>
      </w:r>
    </w:p>
    <w:p>
      <w:pPr>
        <w:spacing w:after="0" w:line="229" w:lineRule="exact"/>
        <w:rPr>
          <w:sz w:val="20"/>
          <w:szCs w:val="20"/>
          <w:color w:val="auto"/>
        </w:rPr>
      </w:pPr>
    </w:p>
    <w:p>
      <w:pPr>
        <w:jc w:val="both"/>
        <w:ind w:firstLine="1735"/>
        <w:spacing w:after="0" w:line="263" w:lineRule="auto"/>
        <w:tabs>
          <w:tab w:leader="none" w:pos="25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security interests granted herein are and shall at all times continue to be a first priority perfected security interests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83" w:lineRule="exact"/>
        <w:rPr>
          <w:rFonts w:ascii="Arial" w:cs="Arial" w:eastAsia="Arial" w:hAnsi="Arial"/>
          <w:sz w:val="18"/>
          <w:szCs w:val="18"/>
          <w:color w:val="auto"/>
        </w:rPr>
      </w:pPr>
    </w:p>
    <w:p>
      <w:pPr>
        <w:jc w:val="both"/>
        <w:ind w:firstLine="1735"/>
        <w:spacing w:after="0" w:line="279" w:lineRule="auto"/>
        <w:tabs>
          <w:tab w:leader="none" w:pos="25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Borrower has no Collateral Accounts at or with any bank or financial institution other than SVB or SVB’s Affiliates except for the Collateral Accounts described in the Perfection Certificate delivered to Agent and each Lender in connection herewith and which Borrower has taken such actions as are necessary to give Agent, for the ratable benefit of the Lenders, a first priority perfected security interest therein, to the extent required pursuant to the terms of Section 5.7(a). The Accounts are bona fide, existing obligations of the Account Debtors.</w:t>
      </w:r>
    </w:p>
    <w:p>
      <w:pPr>
        <w:spacing w:after="0" w:line="171" w:lineRule="exact"/>
        <w:rPr>
          <w:rFonts w:ascii="Arial" w:cs="Arial" w:eastAsia="Arial" w:hAnsi="Arial"/>
          <w:sz w:val="17"/>
          <w:szCs w:val="17"/>
          <w:color w:val="auto"/>
        </w:rPr>
      </w:pPr>
    </w:p>
    <w:p>
      <w:pPr>
        <w:jc w:val="both"/>
        <w:ind w:firstLine="1735"/>
        <w:spacing w:after="0" w:line="301" w:lineRule="auto"/>
        <w:tabs>
          <w:tab w:leader="none" w:pos="2575"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Collateral with fair market value in excess of Five Hundred Thousand Dollars ($500,000) is in the possession of any third party bailee (such as a warehouse) except as otherwise provided in the Perfection Certificate or as permitted pursuant to Section 6.2. None of the components of the Collateral (other than mobile equipment such as laptop computers and personal digital assistants in the possession of Borrower’s employees or agents) shall be maintained at locations other than as provided in the Perfection Certificate or as permitted pursuant to Section 6.2.</w:t>
      </w:r>
    </w:p>
    <w:p>
      <w:pPr>
        <w:spacing w:after="0" w:line="157" w:lineRule="exact"/>
        <w:rPr>
          <w:rFonts w:ascii="Arial" w:cs="Arial" w:eastAsia="Arial" w:hAnsi="Arial"/>
          <w:sz w:val="16"/>
          <w:szCs w:val="16"/>
          <w:color w:val="auto"/>
        </w:rPr>
      </w:pPr>
    </w:p>
    <w:p>
      <w:pPr>
        <w:ind w:left="2600" w:hanging="865"/>
        <w:spacing w:after="0"/>
        <w:tabs>
          <w:tab w:leader="none" w:pos="2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jc w:val="both"/>
        <w:ind w:firstLine="1735"/>
        <w:spacing w:after="0" w:line="275" w:lineRule="auto"/>
        <w:tabs>
          <w:tab w:leader="none" w:pos="2575" w:val="left"/>
        </w:tabs>
        <w:numPr>
          <w:ilvl w:val="0"/>
          <w:numId w:val="67"/>
        </w:numPr>
        <w:rPr>
          <w:rFonts w:ascii="Arial" w:cs="Arial" w:eastAsia="Arial" w:hAnsi="Arial"/>
          <w:sz w:val="17"/>
          <w:szCs w:val="17"/>
          <w:color w:val="auto"/>
        </w:rPr>
      </w:pPr>
      <w:r>
        <w:rPr>
          <w:rFonts w:ascii="Arial" w:cs="Arial" w:eastAsia="Arial" w:hAnsi="Arial"/>
          <w:sz w:val="17"/>
          <w:szCs w:val="17"/>
          <w:color w:val="auto"/>
        </w:rPr>
        <w:t>Borrower owns, or possesses the right to use to the extent necessary in its business, all Intellectual Property, licenses and other intangible assets that are necessary for the conduct of its business as now operated, except to the extent that such failure to own or possess the right to use such asset would not reasonably be expected to have a material adverse effect on Borrower’s business or operations, and no such asset, to the knowledge of Borrower, conflicts with the valid Intellectual Property, license, or intangible asset of any other Person to the extent that such conflict could reasonably be expected to have a material adverse effect on Borrower’s business or operations.</w:t>
      </w:r>
    </w:p>
    <w:p>
      <w:pPr>
        <w:spacing w:after="0" w:line="176" w:lineRule="exact"/>
        <w:rPr>
          <w:rFonts w:ascii="Arial" w:cs="Arial" w:eastAsia="Arial" w:hAnsi="Arial"/>
          <w:sz w:val="17"/>
          <w:szCs w:val="17"/>
          <w:color w:val="auto"/>
        </w:rPr>
      </w:pPr>
    </w:p>
    <w:p>
      <w:pPr>
        <w:ind w:firstLine="1735"/>
        <w:spacing w:after="0" w:line="277" w:lineRule="auto"/>
        <w:tabs>
          <w:tab w:leader="none" w:pos="25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noted on the Perfection Certificate or for which notice has been given to Agent pursuant to and in accordance with Section 5.9(b), Borrower is not a party to, nor is it bound by, any Restricted License.</w:t>
      </w:r>
    </w:p>
    <w:p>
      <w:pPr>
        <w:spacing w:after="0" w:line="16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4.3 Litigation. </w:t>
      </w:r>
      <w:r>
        <w:rPr>
          <w:rFonts w:ascii="Arial" w:cs="Arial" w:eastAsia="Arial" w:hAnsi="Arial"/>
          <w:sz w:val="18"/>
          <w:szCs w:val="18"/>
          <w:color w:val="auto"/>
        </w:rPr>
        <w:t>Other than as set forth in the Perfection Certificate or as disclosed to Agent pursuant to Section 5.3(i), there are no</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investigations or proceedings pending or, to the knowledge of any Responsible Officer, threatened in writing by or against Borrower or any of its Subsidiaries involving more than, individually or in the aggregate, Five Hundred Thousand Dollars ($500,000).</w:t>
      </w:r>
    </w:p>
    <w:p>
      <w:pPr>
        <w:spacing w:after="0" w:line="17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 xml:space="preserve">4.4 Financial Statements; Financial Condition. </w:t>
      </w:r>
      <w:r>
        <w:rPr>
          <w:rFonts w:ascii="Arial" w:cs="Arial" w:eastAsia="Arial" w:hAnsi="Arial"/>
          <w:sz w:val="17"/>
          <w:szCs w:val="17"/>
          <w:color w:val="auto"/>
        </w:rPr>
        <w:t>All consolidated financial statements for Borrower and any of its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to Agent and the Lenders by submission to the Financial Statement Repository or otherwise submitted to Agent and the Lenders fairly present in all material respects Borrower’s consolidated financial condition as of the date thereof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Agent and the Lenders by Borrower.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4.5 Solvency. </w:t>
      </w:r>
      <w:r>
        <w:rPr>
          <w:rFonts w:ascii="Arial" w:cs="Arial" w:eastAsia="Arial" w:hAnsi="Arial"/>
          <w:sz w:val="18"/>
          <w:szCs w:val="18"/>
          <w:color w:val="auto"/>
        </w:rPr>
        <w:t>The fair salable value of Borrower’s consolidated assets (including goodwill minus disposition costs) exceeds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Borrower’s liabilities; Borrower is not left with unreasonably small capital after the transactions in this Agreement; and Borrower and each of its Subsidiaries are able to pay their debts (including trade debts) as they mature.</w:t>
      </w:r>
    </w:p>
    <w:p>
      <w:pPr>
        <w:spacing w:after="0" w:line="17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b w:val="1"/>
          <w:bCs w:val="1"/>
          <w:color w:val="auto"/>
        </w:rPr>
        <w:t xml:space="preserve">4.6 Regulatory Compliance. </w:t>
      </w:r>
      <w:r>
        <w:rPr>
          <w:rFonts w:ascii="Arial" w:cs="Arial" w:eastAsia="Arial" w:hAnsi="Arial"/>
          <w:sz w:val="16"/>
          <w:szCs w:val="16"/>
          <w:color w:val="auto"/>
        </w:rPr>
        <w:t>Borrower is not an “investment company” or a company “controlled” by an “investment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Investment Company Act of 1940, as amended. 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except as could not reasonably be expected to have a material adverse effect on Borrower’s business or operations.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4.7</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2"/>
              </w:rPr>
              <w:t xml:space="preserve">Subsidiaries; Investments. </w:t>
            </w:r>
            <w:r>
              <w:rPr>
                <w:rFonts w:ascii="Arial" w:cs="Arial" w:eastAsia="Arial" w:hAnsi="Arial"/>
                <w:sz w:val="18"/>
                <w:szCs w:val="18"/>
                <w:color w:val="auto"/>
                <w:w w:val="92"/>
              </w:rPr>
              <w:t>Borrower does not own any stock, partnership, or other ownership interest or other equity securities</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except for Permitted Investments.</w:t>
            </w:r>
          </w:p>
        </w:tc>
      </w:tr>
      <w:tr>
        <w:trPr>
          <w:trHeight w:val="432"/>
        </w:trPr>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4.8</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rPr>
              <w:t>Tax Returns and Payments; Pension Contributions.</w:t>
            </w:r>
          </w:p>
        </w:tc>
      </w:tr>
    </w:tbl>
    <w:p>
      <w:pPr>
        <w:spacing w:after="0" w:line="202" w:lineRule="exact"/>
        <w:rPr>
          <w:sz w:val="20"/>
          <w:szCs w:val="20"/>
          <w:color w:val="auto"/>
        </w:rPr>
      </w:pPr>
    </w:p>
    <w:p>
      <w:pPr>
        <w:jc w:val="both"/>
        <w:ind w:firstLine="1735"/>
        <w:spacing w:after="0" w:line="291" w:lineRule="auto"/>
        <w:tabs>
          <w:tab w:leader="none" w:pos="2575" w:val="left"/>
        </w:tabs>
        <w:numPr>
          <w:ilvl w:val="0"/>
          <w:numId w:val="68"/>
        </w:numPr>
        <w:rPr>
          <w:rFonts w:ascii="Arial" w:cs="Arial" w:eastAsia="Arial" w:hAnsi="Arial"/>
          <w:sz w:val="16"/>
          <w:szCs w:val="16"/>
          <w:color w:val="auto"/>
        </w:rPr>
      </w:pPr>
      <w:r>
        <w:rPr>
          <w:rFonts w:ascii="Arial" w:cs="Arial" w:eastAsia="Arial" w:hAnsi="Arial"/>
          <w:sz w:val="16"/>
          <w:szCs w:val="16"/>
          <w:color w:val="auto"/>
        </w:rPr>
        <w:t>Borrower and each of its Subsidiaries have timely filed, or submitted extensions for, all required tax returns and reports, and Borrower and each of its Subsidiaries have timely paid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 be required in conformity with GAAP shall have been made therefor, or (ii) if such taxes, assessments, deposits and contributions do not, individually or in the aggregate, exceed Twenty-Five Thousand Dollars ($25,000). Borrower is unaware of any claims or adjustments proposed for any of Borrower’s or any of its Subsidiary’s prior tax years which could result in additional taxes becoming due and payable by Borrower or any of its Subsidiaries in excess of Fifty Thousand Dollars ($50,000) in the aggregate.</w:t>
      </w:r>
    </w:p>
    <w:p>
      <w:pPr>
        <w:spacing w:after="0" w:line="166" w:lineRule="exact"/>
        <w:rPr>
          <w:rFonts w:ascii="Arial" w:cs="Arial" w:eastAsia="Arial" w:hAnsi="Arial"/>
          <w:sz w:val="16"/>
          <w:szCs w:val="16"/>
          <w:color w:val="auto"/>
        </w:rPr>
      </w:pPr>
    </w:p>
    <w:p>
      <w:pPr>
        <w:jc w:val="both"/>
        <w:ind w:firstLine="1735"/>
        <w:spacing w:after="0" w:line="257" w:lineRule="auto"/>
        <w:tabs>
          <w:tab w:leader="none" w:pos="25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w:t>
      </w:r>
    </w:p>
    <w:p>
      <w:pPr>
        <w:spacing w:after="0" w:line="184"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b w:val="1"/>
          <w:bCs w:val="1"/>
          <w:color w:val="auto"/>
        </w:rPr>
        <w:t>4.9 Full Disclosure</w:t>
      </w:r>
      <w:r>
        <w:rPr>
          <w:rFonts w:ascii="Arial" w:cs="Arial" w:eastAsia="Arial" w:hAnsi="Arial"/>
          <w:sz w:val="17"/>
          <w:szCs w:val="17"/>
          <w:color w:val="auto"/>
        </w:rPr>
        <w:t>. No written representation, warranty or other statement of Borrower or any of its Subsidiaries in any report,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or written statement submitted to the Financial Statement Repository or otherwise submitted to Agent and Lenders by Borrower in connection with the Loan Documents or the transactions contemplated thereby, as of the date such representation, warranty, or other statement was made, taken together with all such reports, certificates and written statements submitted to the Financial Statement Repository or otherwise submitted to Agent and Lenders by Borrower in connection with the Loan Documents or the transactions contemplated thereby, contains any untrue statement of a material fact or omits to state a material fact necessary to make the statements contained in the reports, certificates or written statements not misleading in light of the circumstances under which they were made (it being recognized by Agent and Lenders that the projections and forecasts provided by Borrower or any of its Subsidiaries in good faith and based upon reasonable assumptions 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spacing w:after="0" w:line="277" w:lineRule="auto"/>
        <w:rPr>
          <w:sz w:val="20"/>
          <w:szCs w:val="20"/>
          <w:color w:val="auto"/>
        </w:rPr>
      </w:pPr>
      <w:r>
        <w:rPr>
          <w:rFonts w:ascii="Arial" w:cs="Arial" w:eastAsia="Arial" w:hAnsi="Arial"/>
          <w:sz w:val="18"/>
          <w:szCs w:val="18"/>
          <w:color w:val="auto"/>
        </w:rPr>
        <w:t>not viewed as facts and that actual results during the period or periods covered by such projections and forecasts may differ from the projected or forecasted results).</w:t>
      </w:r>
    </w:p>
    <w:p>
      <w:pPr>
        <w:spacing w:after="0" w:line="166"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6"/>
          <w:szCs w:val="16"/>
          <w:b w:val="1"/>
          <w:bCs w:val="1"/>
          <w:color w:val="auto"/>
        </w:rPr>
        <w:t>4.10 Sanctions</w:t>
      </w:r>
      <w:r>
        <w:rPr>
          <w:rFonts w:ascii="Arial" w:cs="Arial" w:eastAsia="Arial" w:hAnsi="Arial"/>
          <w:sz w:val="16"/>
          <w:szCs w:val="16"/>
          <w:color w:val="auto"/>
        </w:rPr>
        <w:t>. Neither Borrower nor any of its Subsidiaries is: (a) in violation of any Sanctions; or (b) a Sanctioned Person.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nor any of its Subsidiaries,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Agent or the Lenders to violate any Sanctions.</w:t>
      </w:r>
    </w:p>
    <w:p>
      <w:pPr>
        <w:spacing w:after="0" w:line="16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color w:val="auto"/>
        </w:rPr>
        <w:t>4.11 Healthcare Permits</w:t>
      </w:r>
      <w:r>
        <w:rPr>
          <w:rFonts w:ascii="Arial" w:cs="Arial" w:eastAsia="Arial" w:hAnsi="Arial"/>
          <w:sz w:val="18"/>
          <w:szCs w:val="18"/>
          <w:color w:val="auto"/>
        </w:rPr>
        <w:t>. (a) Borrower has obtained all Healthcare Permits and other rights from, and has made all declarations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with, all applicable Governmental Authorities, all self-regulatory authorities and all courts and other tribunals necessary to engage in the management and/or operation of their respective business, except where the failure to do so would not reasonably be expected to have a material adverse effect on Borrower’s business or operations; (b) each such Healthcare Permit is valid and in full force and effect, and Borrower is in compliance in all material respects with the terms and conditions of all such Healthcare Permits; and (c) Borrower has not received notice from any Governmental Authority with respect to the revocation, suspension, restriction, limitation or termination of any Healthcare Permit nor, to the knowledge of Borrower, is any such action proposed or threatened in writing.</w:t>
      </w:r>
    </w:p>
    <w:p>
      <w:pPr>
        <w:spacing w:after="0" w:line="189"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Compliance with Healthcare Laws</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59" w:lineRule="auto"/>
        <w:tabs>
          <w:tab w:leader="none" w:pos="25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Borrower is in compliance in all material respects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w:t>
      </w:r>
    </w:p>
    <w:p>
      <w:pPr>
        <w:spacing w:after="0" w:line="186"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knowledge of Borrower, Borrower is not in default or violation of any law which is applicable to Borrower or its respective assets or the conduct of its respective businesses and Borrower has not been debarred or excluded from participation under a state or federal health care program, including any state or federal workers compensation program.</w:t>
      </w:r>
    </w:p>
    <w:p>
      <w:pPr>
        <w:spacing w:after="0" w:line="183" w:lineRule="exact"/>
        <w:rPr>
          <w:rFonts w:ascii="Arial" w:cs="Arial" w:eastAsia="Arial" w:hAnsi="Arial"/>
          <w:sz w:val="18"/>
          <w:szCs w:val="18"/>
          <w:color w:val="auto"/>
        </w:rPr>
      </w:pPr>
    </w:p>
    <w:p>
      <w:pPr>
        <w:ind w:firstLine="1735"/>
        <w:spacing w:after="0" w:line="277" w:lineRule="auto"/>
        <w:tabs>
          <w:tab w:leader="none" w:pos="25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Borrower is not a party to any corporate integrity agreements, deferred prosecution agreements, monitoring agreements, consent decrees, settlement orders or similar agreements with or imposed by any governmental authority.</w:t>
      </w:r>
    </w:p>
    <w:p>
      <w:pPr>
        <w:spacing w:after="0" w:line="166" w:lineRule="exact"/>
        <w:rPr>
          <w:sz w:val="20"/>
          <w:szCs w:val="20"/>
          <w:color w:val="auto"/>
        </w:rPr>
      </w:pPr>
    </w:p>
    <w:p>
      <w:pPr>
        <w:ind w:left="1600" w:hanging="728"/>
        <w:spacing w:after="0"/>
        <w:tabs>
          <w:tab w:leader="none" w:pos="16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5.1</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0"/>
              </w:rPr>
              <w:t xml:space="preserve">Use of Proceeds. </w:t>
            </w:r>
            <w:r>
              <w:rPr>
                <w:rFonts w:ascii="Arial" w:cs="Arial" w:eastAsia="Arial" w:hAnsi="Arial"/>
                <w:sz w:val="18"/>
                <w:szCs w:val="18"/>
                <w:color w:val="auto"/>
                <w:w w:val="90"/>
              </w:rPr>
              <w:t>Cause the proceeds of the Credit Extensions to be used (a) as working capital or (b) to fund its general business</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purposes, and not for personal, family, household or agricultural purposes.</w:t>
            </w:r>
          </w:p>
        </w:tc>
      </w:tr>
      <w:tr>
        <w:trPr>
          <w:trHeight w:val="432"/>
        </w:trPr>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5.2</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rPr>
              <w:t>Government Compliance.</w:t>
            </w:r>
          </w:p>
        </w:tc>
      </w:tr>
    </w:tbl>
    <w:p>
      <w:pPr>
        <w:spacing w:after="0" w:line="202" w:lineRule="exact"/>
        <w:rPr>
          <w:sz w:val="20"/>
          <w:szCs w:val="20"/>
          <w:color w:val="auto"/>
        </w:rPr>
      </w:pPr>
    </w:p>
    <w:p>
      <w:pPr>
        <w:jc w:val="both"/>
        <w:ind w:firstLine="1735"/>
        <w:spacing w:after="0" w:line="259" w:lineRule="auto"/>
        <w:tabs>
          <w:tab w:leader="none" w:pos="25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both"/>
        <w:ind w:firstLine="1735"/>
        <w:spacing w:after="0" w:line="286" w:lineRule="auto"/>
        <w:tabs>
          <w:tab w:leader="none" w:pos="2585" w:val="left"/>
        </w:tabs>
        <w:numPr>
          <w:ilvl w:val="0"/>
          <w:numId w:val="72"/>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and each of its Subsidiaries of their obligations under the Loan Documents to which it is a party, including any grant of a security interest to Agent, for the ratable benefit of the Lenders, in the Collateral. Borrower shall promptly provide copies of any such obtained Governmental Approvals to Agent.</w:t>
      </w:r>
    </w:p>
    <w:p>
      <w:pPr>
        <w:spacing w:after="0" w:line="165" w:lineRule="exact"/>
        <w:rPr>
          <w:rFonts w:ascii="Arial" w:cs="Arial" w:eastAsia="Arial" w:hAnsi="Arial"/>
          <w:sz w:val="17"/>
          <w:szCs w:val="17"/>
          <w:color w:val="auto"/>
        </w:rPr>
      </w:pPr>
    </w:p>
    <w:p>
      <w:pPr>
        <w:jc w:val="both"/>
        <w:ind w:firstLine="1735"/>
        <w:spacing w:after="0" w:line="296" w:lineRule="auto"/>
        <w:tabs>
          <w:tab w:leader="none" w:pos="257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Cause the operations and property of Borrower and each of its Subsidiaries to comply in all material respects with all applicable Healthcare Laws. Without limiting the foregoing, the operations and property of Borrower and each of its Subsidiaries shall comply with HIPAA in all material respects. Borrower established and maintains a corporate compliance program that (i) addresses the material Requirements of Law, including all applicable Healthcare Laws, of Governmental Authorities having jurisdiction over its business and operations, and (ii) has been structured to account for the guidance issued by the U.S. Department of Health and Human Services regarding characteristics of effective corporate compliance programs.</w:t>
      </w:r>
    </w:p>
    <w:p>
      <w:pPr>
        <w:spacing w:after="0" w:line="15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 xml:space="preserve">Financial Statements, Reports. </w:t>
      </w:r>
      <w:r>
        <w:rPr>
          <w:rFonts w:ascii="Arial" w:cs="Arial" w:eastAsia="Arial" w:hAnsi="Arial"/>
          <w:sz w:val="16"/>
          <w:szCs w:val="16"/>
          <w:color w:val="auto"/>
        </w:rPr>
        <w:t>Deliver to Agent and each Lender by submitting to the Financial Statement Repository:</w:t>
      </w:r>
    </w:p>
    <w:p>
      <w:pPr>
        <w:spacing w:after="0" w:line="229" w:lineRule="exact"/>
        <w:rPr>
          <w:sz w:val="20"/>
          <w:szCs w:val="20"/>
          <w:color w:val="auto"/>
        </w:rPr>
      </w:pPr>
    </w:p>
    <w:p>
      <w:pPr>
        <w:jc w:val="both"/>
        <w:ind w:firstLine="1735"/>
        <w:spacing w:after="0" w:line="257" w:lineRule="auto"/>
        <w:tabs>
          <w:tab w:leader="none" w:pos="257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Subject to Section 5.3(e) below, as soon as available, but no later than forty-five (45) days after the last day of each calendar quarter (ninety (90) days for the last quarter of Borrower’s fiscal year), a company prepared consolidated and consolidating (if applicable) balance sheet, cash flow statement, and income statement covering Borrower’s and each of its Subsidiaries’ operations for such calendar quarter in a form consistent with those filed with SEC; provided, however, that if any of the aforementioned deliverables are prepared but not filed with the SEC, such deliverables shall be provided to each Lender;</w:t>
      </w:r>
    </w:p>
    <w:p>
      <w:pPr>
        <w:spacing w:after="0" w:line="187" w:lineRule="exact"/>
        <w:rPr>
          <w:rFonts w:ascii="Arial" w:cs="Arial" w:eastAsia="Arial" w:hAnsi="Arial"/>
          <w:sz w:val="18"/>
          <w:szCs w:val="18"/>
          <w:color w:val="auto"/>
        </w:rPr>
      </w:pPr>
    </w:p>
    <w:p>
      <w:pPr>
        <w:jc w:val="both"/>
        <w:ind w:firstLine="1735"/>
        <w:spacing w:after="0" w:line="279" w:lineRule="auto"/>
        <w:tabs>
          <w:tab w:leader="none" w:pos="258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Quarterly Compliance Statement</w:t>
      </w:r>
      <w:r>
        <w:rPr>
          <w:rFonts w:ascii="Arial" w:cs="Arial" w:eastAsia="Arial" w:hAnsi="Arial"/>
          <w:sz w:val="17"/>
          <w:szCs w:val="17"/>
          <w:color w:val="auto"/>
        </w:rPr>
        <w:t>. Within forty-five (45) days after the last day of each quarterly end and together with the statements set forth in Section 5.3(a), a duly completed Compliance Statement, confirming that as of the end of such quarter, Borrower was in full compliance with all of the terms and conditions of this Agreement, and setting forth calculations showing compliance with the financial covenants (if any) set forth in this Agreement and such other information as Agent or the Lenders may reasonably request;</w:t>
      </w:r>
    </w:p>
    <w:p>
      <w:pPr>
        <w:spacing w:after="0" w:line="171" w:lineRule="exact"/>
        <w:rPr>
          <w:rFonts w:ascii="Arial" w:cs="Arial" w:eastAsia="Arial" w:hAnsi="Arial"/>
          <w:sz w:val="17"/>
          <w:szCs w:val="17"/>
          <w:color w:val="auto"/>
        </w:rPr>
      </w:pPr>
    </w:p>
    <w:p>
      <w:pPr>
        <w:jc w:val="both"/>
        <w:ind w:firstLine="1735"/>
        <w:spacing w:after="0" w:line="257" w:lineRule="auto"/>
        <w:tabs>
          <w:tab w:leader="none" w:pos="257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Annual Operating Budget and Financial Projections</w:t>
      </w:r>
      <w:r>
        <w:rPr>
          <w:rFonts w:ascii="Arial" w:cs="Arial" w:eastAsia="Arial" w:hAnsi="Arial"/>
          <w:sz w:val="18"/>
          <w:szCs w:val="18"/>
          <w:color w:val="auto"/>
        </w:rPr>
        <w:t>. Within sixty (60) days after the last day of each fiscal year of Borrower, and contemporaneously with any updates or amendments thereto, (i) annual operating budgets (including income statements, balance sheets and cash flow statements, by quarter) for the then-current fiscal year of Borrower, and (ii) annual financial projections for the then-current fiscal year (on a quarterly basis), in each case as approved by the Board, together with any related business forecasts used in the preparation of such annual financial projections;</w:t>
      </w:r>
    </w:p>
    <w:p>
      <w:pPr>
        <w:spacing w:after="0" w:line="187" w:lineRule="exact"/>
        <w:rPr>
          <w:rFonts w:ascii="Arial" w:cs="Arial" w:eastAsia="Arial" w:hAnsi="Arial"/>
          <w:sz w:val="18"/>
          <w:szCs w:val="18"/>
          <w:color w:val="auto"/>
        </w:rPr>
      </w:pPr>
    </w:p>
    <w:p>
      <w:pPr>
        <w:jc w:val="both"/>
        <w:ind w:firstLine="1735"/>
        <w:spacing w:after="0" w:line="259" w:lineRule="auto"/>
        <w:tabs>
          <w:tab w:leader="none" w:pos="258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and in any event within one hundred eighty (180) days following the end of Borrower’s fiscal year, audited consolidated financial statements prepared under GAAP, consistently applied, together with an unqualified opinion on the financial statements from an independent certified public accounting firm reasonably acceptable to Agent and in a form consistent with those filed with SEC;</w:t>
      </w:r>
    </w:p>
    <w:p>
      <w:pPr>
        <w:spacing w:after="0" w:line="186" w:lineRule="exact"/>
        <w:rPr>
          <w:rFonts w:ascii="Arial" w:cs="Arial" w:eastAsia="Arial" w:hAnsi="Arial"/>
          <w:sz w:val="18"/>
          <w:szCs w:val="18"/>
          <w:color w:val="auto"/>
        </w:rPr>
      </w:pPr>
    </w:p>
    <w:p>
      <w:pPr>
        <w:jc w:val="both"/>
        <w:ind w:firstLine="1735"/>
        <w:spacing w:after="0" w:line="293" w:lineRule="auto"/>
        <w:tabs>
          <w:tab w:leader="none" w:pos="257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SEC Filings</w:t>
      </w:r>
      <w:r>
        <w:rPr>
          <w:rFonts w:ascii="Arial" w:cs="Arial" w:eastAsia="Arial" w:hAnsi="Arial"/>
          <w:sz w:val="16"/>
          <w:szCs w:val="16"/>
          <w:color w:val="auto"/>
        </w:rPr>
        <w:t>. Within five (5) days of filing, notification of the filing and copies of all periodic and other reports, proxy statements and other materials filed by Borrower and/or any of its Subsidiaries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w:t>
      </w:r>
    </w:p>
    <w:p>
      <w:pPr>
        <w:spacing w:after="0" w:line="164" w:lineRule="exact"/>
        <w:rPr>
          <w:rFonts w:ascii="Arial" w:cs="Arial" w:eastAsia="Arial" w:hAnsi="Arial"/>
          <w:sz w:val="16"/>
          <w:szCs w:val="16"/>
          <w:color w:val="auto"/>
        </w:rPr>
      </w:pPr>
    </w:p>
    <w:p>
      <w:pPr>
        <w:jc w:val="both"/>
        <w:ind w:firstLine="1735"/>
        <w:spacing w:after="0" w:line="259" w:lineRule="auto"/>
        <w:tabs>
          <w:tab w:leader="none" w:pos="255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Security Holder and Subordinated Debt Holder Reports</w:t>
      </w:r>
      <w:r>
        <w:rPr>
          <w:rFonts w:ascii="Arial" w:cs="Arial" w:eastAsia="Arial" w:hAnsi="Arial"/>
          <w:sz w:val="18"/>
          <w:szCs w:val="18"/>
          <w:color w:val="auto"/>
        </w:rPr>
        <w:t>. Within five (5) days of delivery, copies of all statements, reports and notices made available to Borrower’s security holders generally or to any holders of Subordinated Debt (solely in their capacities as security holders or holders of Subordinated Debt and not in any other role), other than proxy statements filed with the SEC in connection with Borrower’s annual meetings of stockholders;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both"/>
        <w:ind w:firstLine="1735"/>
        <w:spacing w:after="0" w:line="275" w:lineRule="auto"/>
        <w:tabs>
          <w:tab w:leader="none" w:pos="258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Beneficial Ownership Information</w:t>
      </w:r>
      <w:r>
        <w:rPr>
          <w:rFonts w:ascii="Arial" w:cs="Arial" w:eastAsia="Arial" w:hAnsi="Arial"/>
          <w:sz w:val="17"/>
          <w:szCs w:val="17"/>
          <w:color w:val="auto"/>
        </w:rPr>
        <w:t>. At any time that Borrower is not a public company or an issuer of securities that are registered with the SEC under Section 12 of the Exchange Act (or that is required to file reports under Section 15(d) of the Exchange Act), prompt written notice of any changes to the beneficial ownership information set out in Section 14 of the Perfection Certificate. Borrower understands and acknowledges that each Lender relies on such true, accurate and up-to-date beneficial ownership information to meet such Lender’s regulatory obligations to obtain, verify and record information about the beneficial owners of its legal entity customers;</w:t>
      </w:r>
    </w:p>
    <w:p>
      <w:pPr>
        <w:spacing w:after="0" w:line="176"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Five Hundred Thousand Dollars ($500,000) or more;</w:t>
      </w:r>
    </w:p>
    <w:p>
      <w:pPr>
        <w:spacing w:after="0" w:line="183" w:lineRule="exact"/>
        <w:rPr>
          <w:rFonts w:ascii="Arial" w:cs="Arial" w:eastAsia="Arial" w:hAnsi="Arial"/>
          <w:sz w:val="18"/>
          <w:szCs w:val="18"/>
          <w:color w:val="auto"/>
        </w:rPr>
      </w:pPr>
    </w:p>
    <w:p>
      <w:pPr>
        <w:jc w:val="both"/>
        <w:ind w:firstLine="1735"/>
        <w:spacing w:after="0" w:line="311" w:lineRule="auto"/>
        <w:tabs>
          <w:tab w:leader="none" w:pos="254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Tort Claim Notice</w:t>
      </w:r>
      <w:r>
        <w:rPr>
          <w:rFonts w:ascii="Arial" w:cs="Arial" w:eastAsia="Arial" w:hAnsi="Arial"/>
          <w:sz w:val="16"/>
          <w:szCs w:val="16"/>
          <w:color w:val="auto"/>
        </w:rPr>
        <w:t>. If Borrower shall acquire a commercial tort claim, Borrower shall promptly notify Agent in a writing signed by Borrower of the general details thereof and grant to Agent, for the ratable benefit of the Lenders, in such writing a security interest therein and in the proceeds thereof, all upon the terms of this Agreement, with such writing to be in form and substance reasonably satisfactory to Agent;</w:t>
      </w:r>
    </w:p>
    <w:p>
      <w:pPr>
        <w:spacing w:after="0" w:line="148" w:lineRule="exact"/>
        <w:rPr>
          <w:rFonts w:ascii="Arial" w:cs="Arial" w:eastAsia="Arial" w:hAnsi="Arial"/>
          <w:sz w:val="16"/>
          <w:szCs w:val="16"/>
          <w:color w:val="auto"/>
        </w:rPr>
      </w:pPr>
    </w:p>
    <w:p>
      <w:pPr>
        <w:jc w:val="both"/>
        <w:ind w:firstLine="1735"/>
        <w:spacing w:after="0" w:line="259" w:lineRule="auto"/>
        <w:tabs>
          <w:tab w:leader="none" w:pos="254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Government Filings</w:t>
      </w:r>
      <w:r>
        <w:rPr>
          <w:rFonts w:ascii="Arial" w:cs="Arial" w:eastAsia="Arial" w:hAnsi="Arial"/>
          <w:sz w:val="18"/>
          <w:szCs w:val="18"/>
          <w:color w:val="auto"/>
        </w:rPr>
        <w:t>. Within five (5) days after the same are sent or received, copies of all correspondence, reports, documents and other filings by Borrower or any of its Subsidiaries with any Governmental Authority regarding compliance with or maintenance of Governmental Approvals or Applicable Law that could reasonably be expected to have a material effect on any of the Governmental Approvals or otherwise on the business of Borrower or any of its Subsidiaries;</w:t>
      </w:r>
    </w:p>
    <w:p>
      <w:pPr>
        <w:spacing w:after="0" w:line="186" w:lineRule="exact"/>
        <w:rPr>
          <w:rFonts w:ascii="Arial" w:cs="Arial" w:eastAsia="Arial" w:hAnsi="Arial"/>
          <w:sz w:val="18"/>
          <w:szCs w:val="18"/>
          <w:color w:val="auto"/>
        </w:rPr>
      </w:pPr>
    </w:p>
    <w:p>
      <w:pPr>
        <w:ind w:firstLine="1735"/>
        <w:spacing w:after="0" w:line="277" w:lineRule="auto"/>
        <w:tabs>
          <w:tab w:leader="none" w:pos="258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Registered Organization</w:t>
      </w:r>
      <w:r>
        <w:rPr>
          <w:rFonts w:ascii="Arial" w:cs="Arial" w:eastAsia="Arial" w:hAnsi="Arial"/>
          <w:sz w:val="18"/>
          <w:szCs w:val="18"/>
          <w:color w:val="auto"/>
        </w:rPr>
        <w:t>. If Borrower is not a Registered Organization as of the Effective Date but later becomes one, promptly notify Agent of such occurrence and provide Agent with Borrower’s organizational identification number;</w:t>
      </w:r>
    </w:p>
    <w:p>
      <w:pPr>
        <w:spacing w:after="0" w:line="170" w:lineRule="exact"/>
        <w:rPr>
          <w:rFonts w:ascii="Arial" w:cs="Arial" w:eastAsia="Arial" w:hAnsi="Arial"/>
          <w:sz w:val="18"/>
          <w:szCs w:val="18"/>
          <w:color w:val="auto"/>
        </w:rPr>
      </w:pPr>
    </w:p>
    <w:p>
      <w:pPr>
        <w:ind w:firstLine="1735"/>
        <w:spacing w:after="0" w:line="277" w:lineRule="auto"/>
        <w:tabs>
          <w:tab w:leader="none" w:pos="254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Bank Statements</w:t>
      </w:r>
      <w:r>
        <w:rPr>
          <w:rFonts w:ascii="Arial" w:cs="Arial" w:eastAsia="Arial" w:hAnsi="Arial"/>
          <w:sz w:val="18"/>
          <w:szCs w:val="18"/>
          <w:color w:val="auto"/>
        </w:rPr>
        <w:t>. Within thirty (30) days after the end of each month, bank statements for all accounts maintained outside of SVB by any MSC Subsidiary;</w:t>
      </w:r>
    </w:p>
    <w:p>
      <w:pPr>
        <w:spacing w:after="0" w:line="170" w:lineRule="exact"/>
        <w:rPr>
          <w:rFonts w:ascii="Arial" w:cs="Arial" w:eastAsia="Arial" w:hAnsi="Arial"/>
          <w:sz w:val="18"/>
          <w:szCs w:val="18"/>
          <w:color w:val="auto"/>
        </w:rPr>
      </w:pPr>
    </w:p>
    <w:p>
      <w:pPr>
        <w:ind w:left="2640" w:hanging="905"/>
        <w:spacing w:after="0"/>
        <w:tabs>
          <w:tab w:leader="none" w:pos="26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Prompt written notice of the occurrence of a Default or Event of Default; and</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Other Financial Information</w:t>
      </w:r>
      <w:r>
        <w:rPr>
          <w:rFonts w:ascii="Arial" w:cs="Arial" w:eastAsia="Arial" w:hAnsi="Arial"/>
          <w:sz w:val="16"/>
          <w:szCs w:val="16"/>
          <w:color w:val="auto"/>
        </w:rPr>
        <w:t>. Promptly, from time to time, such other financial information as reasonably requested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 or any Lender.</w:t>
      </w:r>
    </w:p>
    <w:p>
      <w:pPr>
        <w:spacing w:after="0" w:line="211"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Any submission by Borrower of a Compliance Statement or any other financial statement submitted to the Financial Statement Repository pursuant to this Section 5.3 or otherwise submitted to Agent and the Lenders shall be deemed to be a representation by Borrower that (i) as of the date of such Compliance Statement or other financial statement, the information and calculations set forth therein are true and correct, (ii) as of the end of the compliance period set forth in such submission, Borrower is in complete compliance with all required covenants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are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4.8, and (vi) as of the date of such submission, no Liens have been levied or claims made against Borrower or any of its Subsidiaries relating to unpaid employee payroll or benefits of which Borrower has not previously provided written notification to Agent and Lenders.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ind w:left="880"/>
        <w:spacing w:after="0"/>
        <w:tabs>
          <w:tab w:leader="none" w:pos="17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Taxes; Pensions.</w:t>
      </w:r>
    </w:p>
    <w:p>
      <w:pPr>
        <w:spacing w:after="0" w:line="229" w:lineRule="exact"/>
        <w:rPr>
          <w:sz w:val="20"/>
          <w:szCs w:val="20"/>
          <w:color w:val="auto"/>
        </w:rPr>
      </w:pPr>
    </w:p>
    <w:p>
      <w:pPr>
        <w:jc w:val="both"/>
        <w:ind w:firstLine="1735"/>
        <w:spacing w:after="0" w:line="255" w:lineRule="auto"/>
        <w:tabs>
          <w:tab w:leader="none" w:pos="25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Timely file, and require each of its Subsidiaries to timely file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in excess of Fifty Thousand Dollars ($50,000) individually or in the aggregate, except for deferred payment of any taxes contested pursuant to the terms of Section 4.8(a) hereof, and shall deliver to Agent,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92" w:lineRule="exact"/>
        <w:rPr>
          <w:rFonts w:ascii="Arial" w:cs="Arial" w:eastAsia="Arial" w:hAnsi="Arial"/>
          <w:sz w:val="18"/>
          <w:szCs w:val="18"/>
          <w:color w:val="auto"/>
        </w:rPr>
      </w:pPr>
    </w:p>
    <w:p>
      <w:pPr>
        <w:jc w:val="both"/>
        <w:ind w:firstLine="1735"/>
        <w:spacing w:after="0" w:line="286" w:lineRule="auto"/>
        <w:tabs>
          <w:tab w:leader="none" w:pos="25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the extent Borrower or any of its Subsidiaries defers payment of any contested taxes, (i) notify Agent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161"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b w:val="1"/>
          <w:bCs w:val="1"/>
          <w:color w:val="auto"/>
        </w:rPr>
        <w:t xml:space="preserve">5.5 Access to Collateral; Books and Records. </w:t>
      </w:r>
      <w:r>
        <w:rPr>
          <w:rFonts w:ascii="Arial" w:cs="Arial" w:eastAsia="Arial" w:hAnsi="Arial"/>
          <w:sz w:val="16"/>
          <w:szCs w:val="16"/>
          <w:color w:val="auto"/>
        </w:rPr>
        <w:t>Allow Agent or its agents, at reasonable times, on one (1) Business Days’ notice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no notice is required if an Event of Default has occurred and is continuing), to inspect the Collateral and audit and copy Borrower’s Books. Such inspections or audits shall be conducted as frequently as Agent determines in its sole discretion that conditions warrant. The foregoing inspections and audits shall be conducted at Borrower’s expense, and the charge therefor shall be One Thousand Dollars ($1,000) per person per day (or such higher amount as shall represent Agent’s then-current standard charge for the same), plus reasonable out-of-pocket expenses. In the event Borrower and Agent schedule an audit more than eight (8) days in advance, and Borrower cancels or seeks to reschedule the audit with less than eight (8) days written notice to Agent, then (without limiting any of Agent’s or any Lender’s rights or remedies), Borrower shall pay Agent a fee of Two Thousand Dollars ($2,000) plus any reasonable out-of-pocket expenses incurred by Agent to compensate Agent for the anticipated costs and expenses of the cancellation or rescheduling.</w:t>
      </w:r>
    </w:p>
    <w:p>
      <w:pPr>
        <w:spacing w:after="0" w:line="15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firstLine="1735"/>
        <w:spacing w:after="0" w:line="263" w:lineRule="auto"/>
        <w:tabs>
          <w:tab w:leader="none" w:pos="25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Keep its business and the Collateral insured for risks and in amounts standard for companies of Borrower’s size in Borrower’s industry and location and as Agent may reasonably request. Insurance policies shall be in a form, with financially sound and reputable insurance companies that are not Affiliates of Borrower, and in amounts that are satisfactory to Agent.</w:t>
      </w:r>
    </w:p>
    <w:p>
      <w:pPr>
        <w:spacing w:after="0" w:line="184"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7"/>
          <w:szCs w:val="17"/>
          <w:color w:val="auto"/>
        </w:rPr>
        <w:t>(b) All property policies shall have a lender’s loss payable endorsement showing Agent as lender loss payee. Notwithstanding the foregoing, (a) so long as no Event of Default has occurred and is continuing, Borrower shall have the option of applying the proceeds of any casualty policy up to Five Hundred Thousand Dollars ($500,000) with respect to any loss, but not exceeding One Million Dollars ($1,000,000) in the aggregate for all losses under all casualty policies in any twelve (12) month period, toward the replacement or repair of destroyed or damaged property; provided that any such replaced or repaired property (i) shall be of equal or like value as the replaced or repaired Collateral and (ii) shall be deemed Collateral in which Agent has been granted a first priority security interest (subject only to Permitted Liens that are permitted pursuant to the terms of this Agreement to have superior priority to Agent’s Lien), and (b) after the occurrence and during the continuance of an Event of Default, all proceeds payable under such casualty policy shall, at the option of Agent, be payable to Agent on account of the Obligations then due. All liability policies shall show, or have endorsements showing, Agent as an additional insured. Agent shall be named as lender loss payee and/or additional insured with respect to any such insurance providing coverage in respect of any Collateral.</w:t>
      </w:r>
    </w:p>
    <w:p>
      <w:pPr>
        <w:spacing w:after="0" w:line="185" w:lineRule="exact"/>
        <w:rPr>
          <w:sz w:val="20"/>
          <w:szCs w:val="20"/>
          <w:color w:val="auto"/>
        </w:rPr>
      </w:pPr>
    </w:p>
    <w:p>
      <w:pPr>
        <w:ind w:right="20" w:firstLine="1735"/>
        <w:spacing w:after="0" w:line="277" w:lineRule="auto"/>
        <w:tabs>
          <w:tab w:leader="none" w:pos="25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Agent’s option, payable to Agent for the ratable benefit of the Lenders on account of the Obligations.</w:t>
      </w:r>
    </w:p>
    <w:p>
      <w:pPr>
        <w:spacing w:after="0" w:line="170" w:lineRule="exact"/>
        <w:rPr>
          <w:rFonts w:ascii="Arial" w:cs="Arial" w:eastAsia="Arial" w:hAnsi="Arial"/>
          <w:sz w:val="18"/>
          <w:szCs w:val="18"/>
          <w:color w:val="auto"/>
        </w:rPr>
      </w:pPr>
    </w:p>
    <w:p>
      <w:pPr>
        <w:jc w:val="both"/>
        <w:ind w:firstLine="1735"/>
        <w:spacing w:after="0" w:line="311" w:lineRule="auto"/>
        <w:tabs>
          <w:tab w:leader="none" w:pos="2585"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Agent’s request (but not more frequently than semi-annually), Borrower shall deliver certified copies of insurance policies and evidence of all premium payments. Each provider of any such insurance required under this Section 5.56 shall agree, by endorsement upon the policy or policies issued by it or by independent instruments furnished to Agent, that it will give Agent thirty (30) days prior written notice before 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both"/>
        <w:spacing w:after="0" w:line="259" w:lineRule="auto"/>
        <w:rPr>
          <w:sz w:val="20"/>
          <w:szCs w:val="20"/>
          <w:color w:val="auto"/>
        </w:rPr>
      </w:pPr>
      <w:r>
        <w:rPr>
          <w:rFonts w:ascii="Arial" w:cs="Arial" w:eastAsia="Arial" w:hAnsi="Arial"/>
          <w:sz w:val="18"/>
          <w:szCs w:val="18"/>
          <w:color w:val="auto"/>
        </w:rPr>
        <w:t>such policy or policies shall be canceled. In addition, Borrower shall give Agent fifteen (15) days prior written notice before any such policy is altered in any material respect. If Borrower fails to obtain insurance as required under this Section 5.6 or to pay any amount or furnish any required proof of payment to third persons and Agent, Agent may make all or part of such payment or obtain such insurance policies required in this Section 5.6, and take any action under the policies Agent deems prudent.</w:t>
      </w:r>
    </w:p>
    <w:p>
      <w:pPr>
        <w:spacing w:after="0" w:line="18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jc w:val="both"/>
        <w:ind w:firstLine="1735"/>
        <w:spacing w:after="0" w:line="254" w:lineRule="auto"/>
        <w:tabs>
          <w:tab w:leader="none" w:pos="25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 all of Borrower’s, any of its Subsidiaries’ (excluding MSC Subsidiaries), and any Guarantor’s operating accounts, depository accounts and excess cash with SVB or SVB’s Affiliates; provided, however, notwithstanding the foregoing, Borrower and its Subsidiaries may maintain Collateral Accounts outside of the United States and outside of SVB (the “</w:t>
      </w:r>
      <w:r>
        <w:rPr>
          <w:rFonts w:ascii="Arial" w:cs="Arial" w:eastAsia="Arial" w:hAnsi="Arial"/>
          <w:sz w:val="18"/>
          <w:szCs w:val="18"/>
          <w:b w:val="1"/>
          <w:bCs w:val="1"/>
          <w:color w:val="auto"/>
        </w:rPr>
        <w:t>Foreign Accounts</w:t>
      </w:r>
      <w:r>
        <w:rPr>
          <w:rFonts w:ascii="Arial" w:cs="Arial" w:eastAsia="Arial" w:hAnsi="Arial"/>
          <w:sz w:val="18"/>
          <w:szCs w:val="18"/>
          <w:color w:val="auto"/>
        </w:rPr>
        <w:t>”) so long as the aggregate amount of cash maintained at any time in all Foreign Accounts taken together does not exceed One Million Dollars ($1,000,000). In addition to the foregoing, Borrower shall at all times have on deposit in operating and depository accounts maintained in the name of Borrower with SVB, cash in an amount equal to the lesser of (i) one hundred percent (100.0%) of the Dollar value of Borrower’s consolidated cash, including any Subsidiaries’, Affiliates’, or related entities’ cash, in the aggregate, at all financial institutions, and (ii) one hundred ten percent (110.0%) of the then-outstanding Obligations of Borrower to Agent and the Lenders hereunder.</w:t>
      </w:r>
    </w:p>
    <w:p>
      <w:pPr>
        <w:spacing w:after="0" w:line="191" w:lineRule="exact"/>
        <w:rPr>
          <w:rFonts w:ascii="Arial" w:cs="Arial" w:eastAsia="Arial" w:hAnsi="Arial"/>
          <w:sz w:val="18"/>
          <w:szCs w:val="18"/>
          <w:color w:val="auto"/>
        </w:rPr>
      </w:pPr>
    </w:p>
    <w:p>
      <w:pPr>
        <w:ind w:firstLine="1735"/>
        <w:spacing w:after="0" w:line="277" w:lineRule="auto"/>
        <w:tabs>
          <w:tab w:leader="none" w:pos="25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addition to the foregoing, Borrower, any Subsidiary of Borrower and any Guarantor, shall obtain any business credit card, Letter of Credit, and cash management services exclusively from SVB.</w:t>
      </w:r>
    </w:p>
    <w:p>
      <w:pPr>
        <w:spacing w:after="0" w:line="170" w:lineRule="exact"/>
        <w:rPr>
          <w:rFonts w:ascii="Arial" w:cs="Arial" w:eastAsia="Arial" w:hAnsi="Arial"/>
          <w:sz w:val="18"/>
          <w:szCs w:val="18"/>
          <w:color w:val="auto"/>
        </w:rPr>
      </w:pPr>
    </w:p>
    <w:p>
      <w:pPr>
        <w:jc w:val="both"/>
        <w:ind w:firstLine="1735"/>
        <w:spacing w:after="0" w:line="254" w:lineRule="auto"/>
        <w:tabs>
          <w:tab w:leader="none" w:pos="25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addition to and without limiting the restrictions in (a), Borrower shall provide Agent five (5) days prior written notice before establishing any Collateral Account at or with any bank or financial institution other than SVB or SVB’s Affiliates. For each Collateral Account that Borrower at any time maintains, Borrower shall cause the applicable bank or financial institution (other than SVB) at or with which any Collateral Account is maintained to execute and deliver a Control Agreement or other appropriate instrument with respect to such Collateral Account to perfect Agent’s Lien in such Collateral Account in accordance with the terms hereunder which Control Agreement may not be terminated without the prior written consent of the Lenders. The provisions of the previous sentence shall not apply to (i) deposit accounts exclusively used for payroll, payroll taxes, and other employee wage and benefit payments to or for the benefit of Borrower’s employees and identified to Agent and the Lenders by Borrower as such, or (ii) the Foreign Accounts.</w:t>
      </w:r>
    </w:p>
    <w:p>
      <w:pPr>
        <w:spacing w:after="0" w:line="188"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Protection of Intellectual Property Rights.</w:t>
      </w:r>
    </w:p>
    <w:p>
      <w:pPr>
        <w:spacing w:after="0" w:line="229" w:lineRule="exact"/>
        <w:rPr>
          <w:sz w:val="20"/>
          <w:szCs w:val="20"/>
          <w:color w:val="auto"/>
        </w:rPr>
      </w:pPr>
    </w:p>
    <w:p>
      <w:pPr>
        <w:jc w:val="both"/>
        <w:ind w:firstLine="1735"/>
        <w:spacing w:after="0" w:line="275" w:lineRule="auto"/>
        <w:tabs>
          <w:tab w:leader="none" w:pos="257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Use commercially reasonable efforts to protect, defend and maintain the validity and enforceability of Borrower’s and each Subsidiary’s Intellectual Property, except to the extent that such failure to do so would not reasonably be expected to have a material adverse effect on Borrower’s business or operations; (ii) promptly advise Agent in writing of infringements or any other event that could reasonably be expected to materially and adversely affect the value Borrower’s and each Subsidiary’s Intellectual Property; and (iii) not allow any Intellectual Property material to Borrower’s or any Subsidiary’s business to be abandoned, forfeited or dedicated to the public without Agent’s written consent.</w:t>
      </w:r>
    </w:p>
    <w:p>
      <w:pPr>
        <w:spacing w:after="0" w:line="176" w:lineRule="exact"/>
        <w:rPr>
          <w:rFonts w:ascii="Arial" w:cs="Arial" w:eastAsia="Arial" w:hAnsi="Arial"/>
          <w:sz w:val="17"/>
          <w:szCs w:val="17"/>
          <w:color w:val="auto"/>
        </w:rPr>
      </w:pPr>
    </w:p>
    <w:p>
      <w:pPr>
        <w:jc w:val="both"/>
        <w:ind w:firstLine="1735"/>
        <w:spacing w:after="0" w:line="273" w:lineRule="auto"/>
        <w:tabs>
          <w:tab w:leader="none" w:pos="2585"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Provide written notice to Agent within ten (10) Business Days of entering or becoming bound by any Restricted License (other than over-the-counter software that is commercially available to the public). Borrower shall take such steps as Agent reasonably requests to obtain the consent of, or waiver by, any person whose consent or waiver is necessary for (i) any such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and the Lenders’ rights and remedies under this Agreement and the other Loan Documents.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5.10 Litigation Cooperation. </w:t>
      </w:r>
      <w:r>
        <w:rPr>
          <w:rFonts w:ascii="Arial" w:cs="Arial" w:eastAsia="Arial" w:hAnsi="Arial"/>
          <w:sz w:val="18"/>
          <w:szCs w:val="18"/>
          <w:color w:val="auto"/>
        </w:rPr>
        <w:t>From the date hereof and continuing through the termination of this Agreement, make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Agent, without expense to Agent or any Lender and upon at least one (1) Business Days’ notice (provided no notice is required if an Event of Default has occurred and is continuing), Borrower and its officers, employees and agents and Borrower’s books and records, to the extent that Agent and/or the Lenders may deem them reasonably necessary to prosecute or defend any third-party suit or proceeding instituted by or against Agent and/or any Lender with respect to any Collateral or relating to Borrower.</w:t>
      </w:r>
    </w:p>
    <w:p>
      <w:pPr>
        <w:spacing w:after="0" w:line="183"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b w:val="1"/>
          <w:bCs w:val="1"/>
          <w:color w:val="auto"/>
        </w:rPr>
        <w:t xml:space="preserve">5.11 Formation or Acquisition of Subsidiaries. </w:t>
      </w:r>
      <w:r>
        <w:rPr>
          <w:rFonts w:ascii="Arial" w:cs="Arial" w:eastAsia="Arial" w:hAnsi="Arial"/>
          <w:sz w:val="17"/>
          <w:szCs w:val="17"/>
          <w:color w:val="auto"/>
        </w:rPr>
        <w:t>Notwithstanding and without limiting the negative covenants contained in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6.3 and 6.7 hereof, at the time that Borrower or any Guarantor forms any Subsidiary or acquires any Subsidiary after the Effective Date (including, without limitation, pursuant to a Division), Borrower and such Guarantor shall, (a) cause such new Subsidiary to provide to Lenders a joinder to this Agreement to cause such Subsidiary to become a co-Borrower or secured Guarantor hereunder (as determined by Agent in its sole discretion), together with documentation, all in form and substance satisfactory to Agent and Lenders (including being sufficient to grant Lenders a first priority Lien (subject to Permitted Liens) in and to the assets of such newly formed or acquired Subsidiary), (b) provide to Lenders appropriate certificates and powers and financing statements, pledging all of the direct or beneficial ownership interest in such new Subsidiary, in form and substance satisfactory to Agent and Lenders; and (c) provide to Lenders all other documentation requested by Agent with respect thereto in form and substance satisfactory to Agent and Lenders, if requested by Agent, including one or more opinions of counsel satisfactory to Lenders, which in its opinion is appropriate with respect to the execution and delivery of the applicable documentation referred to above. Any document, agreement, or instrument executed or issued pursuant to this Section 5.11 shall be a Loan Document.</w:t>
      </w:r>
    </w:p>
    <w:p>
      <w:pPr>
        <w:spacing w:after="0" w:line="18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b w:val="1"/>
          <w:bCs w:val="1"/>
          <w:color w:val="auto"/>
        </w:rPr>
        <w:t>5.12 Inventory; Returns</w:t>
      </w:r>
      <w:r>
        <w:rPr>
          <w:rFonts w:ascii="Arial" w:cs="Arial" w:eastAsia="Arial" w:hAnsi="Arial"/>
          <w:sz w:val="17"/>
          <w:szCs w:val="17"/>
          <w:color w:val="auto"/>
        </w:rPr>
        <w:t>. Keep all Inventory in good and marketable condition, free from material defects. Returns and allowances</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Borrower and its Account Debtors shall follow Borrower’s customary practices as they exist at the Effective Date. Borrower shall promptly notify Agent and the Lenders of all returns, recoveries, disputes and claims that involve more than Five Hundred Thousand Dollars ($500,000).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5.13</w:t>
            </w:r>
          </w:p>
        </w:tc>
        <w:tc>
          <w:tcPr>
            <w:tcW w:w="9720" w:type="dxa"/>
            <w:vAlign w:val="bottom"/>
          </w:tcPr>
          <w:p>
            <w:pPr>
              <w:ind w:left="320"/>
              <w:spacing w:after="0"/>
              <w:rPr>
                <w:sz w:val="20"/>
                <w:szCs w:val="20"/>
                <w:color w:val="auto"/>
              </w:rPr>
            </w:pPr>
            <w:r>
              <w:rPr>
                <w:rFonts w:ascii="Arial" w:cs="Arial" w:eastAsia="Arial" w:hAnsi="Arial"/>
                <w:sz w:val="18"/>
                <w:szCs w:val="18"/>
                <w:b w:val="1"/>
                <w:bCs w:val="1"/>
                <w:color w:val="auto"/>
                <w:w w:val="91"/>
              </w:rPr>
              <w:t xml:space="preserve">Further Assurances. </w:t>
            </w:r>
            <w:r>
              <w:rPr>
                <w:rFonts w:ascii="Arial" w:cs="Arial" w:eastAsia="Arial" w:hAnsi="Arial"/>
                <w:sz w:val="18"/>
                <w:szCs w:val="18"/>
                <w:color w:val="auto"/>
                <w:w w:val="91"/>
              </w:rPr>
              <w:t>Execute any further instruments and take such further action as Agent and the Lenders reasonably request</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to perfect, protect, ensure the priority of or continue Agent’s Lien on the Collateral or to effect the purposes of this Agreement.</w:t>
            </w:r>
          </w:p>
        </w:tc>
      </w:tr>
      <w:tr>
        <w:trPr>
          <w:trHeight w:val="432"/>
        </w:trPr>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5.14</w:t>
            </w:r>
          </w:p>
        </w:tc>
        <w:tc>
          <w:tcPr>
            <w:tcW w:w="9720" w:type="dxa"/>
            <w:vAlign w:val="bottom"/>
          </w:tcPr>
          <w:p>
            <w:pPr>
              <w:ind w:left="320"/>
              <w:spacing w:after="0"/>
              <w:rPr>
                <w:sz w:val="20"/>
                <w:szCs w:val="20"/>
                <w:color w:val="auto"/>
              </w:rPr>
            </w:pPr>
            <w:r>
              <w:rPr>
                <w:rFonts w:ascii="Arial" w:cs="Arial" w:eastAsia="Arial" w:hAnsi="Arial"/>
                <w:sz w:val="18"/>
                <w:szCs w:val="18"/>
                <w:b w:val="1"/>
                <w:bCs w:val="1"/>
                <w:color w:val="auto"/>
                <w:w w:val="91"/>
              </w:rPr>
              <w:t>Sanctions</w:t>
            </w:r>
            <w:r>
              <w:rPr>
                <w:rFonts w:ascii="Arial" w:cs="Arial" w:eastAsia="Arial" w:hAnsi="Arial"/>
                <w:sz w:val="18"/>
                <w:szCs w:val="18"/>
                <w:color w:val="auto"/>
                <w:w w:val="91"/>
              </w:rPr>
              <w:t>. (a) Not, and not permit any of its Subsidiaries to, engage in any of the activities described in Section 4.9 in the future;</w:t>
            </w:r>
          </w:p>
        </w:tc>
      </w:tr>
    </w:tbl>
    <w:p>
      <w:pPr>
        <w:jc w:val="both"/>
        <w:ind w:firstLine="8"/>
        <w:spacing w:after="0" w:line="273" w:lineRule="auto"/>
        <w:tabs>
          <w:tab w:leader="none" w:pos="2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not, and not permit any of its Subsidiaries to, become a Sanctioned Person; (c) ensure that the proceeds of the Obligations are not used to violate any Sanctions; and (d) deliver to Agent any certification or other evidence requested from time to time by Agent in its sole discretion, confirming each such Person’s compliance with this Section 5.14. In addition, have implemented, and will consistently apply while this Agreement is in effect, procedures to ensure that the representations and warranties in Section 4.9 remain true and correct while this Agreement is in effect.</w:t>
      </w:r>
    </w:p>
    <w:p>
      <w:pPr>
        <w:spacing w:after="0" w:line="17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5.15 MSC Subsidiaries</w:t>
      </w:r>
      <w:r>
        <w:rPr>
          <w:rFonts w:ascii="Arial" w:cs="Arial" w:eastAsia="Arial" w:hAnsi="Arial"/>
          <w:sz w:val="18"/>
          <w:szCs w:val="18"/>
          <w:color w:val="auto"/>
        </w:rPr>
        <w:t>. If, at any time, Borrower forms another MSC Subsidiary, the Loan Parties shall, as soon as possible, but no</w:t>
      </w:r>
      <w:r>
        <w:rPr>
          <w:rFonts w:ascii="Arial" w:cs="Arial" w:eastAsia="Arial" w:hAnsi="Arial"/>
          <w:sz w:val="18"/>
          <w:szCs w:val="18"/>
          <w:b w:val="1"/>
          <w:bCs w:val="1"/>
          <w:color w:val="auto"/>
        </w:rPr>
        <w:t xml:space="preserve"> </w:t>
      </w:r>
      <w:r>
        <w:rPr>
          <w:rFonts w:ascii="Arial" w:cs="Arial" w:eastAsia="Arial" w:hAnsi="Arial"/>
          <w:sz w:val="18"/>
          <w:szCs w:val="18"/>
          <w:color w:val="auto"/>
        </w:rPr>
        <w:t>later than ten (10) Business Days after the formation of such MSC Subsidiary deliver to Agent for the benefit of the Lenders stock power forms (5 originals) executed by the Loan Party that is the direct parent company of the new MSC Subsidiary with respect to capital stock of such MSC Subsidiary and deliver stock certificates evidencing ownership interests in such MSC Subsidiary.</w:t>
      </w:r>
    </w:p>
    <w:p>
      <w:pPr>
        <w:spacing w:after="0" w:line="18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Post-Closing Matters</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63" w:lineRule="auto"/>
        <w:tabs>
          <w:tab w:leader="none" w:pos="25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Use its commercially reasonable efforts to deliver to Agent, within 30 days of the Effective Date, duly executed bailee’s waiver in favor of Agent for each location where Borrower maintains property with a third party with fair market value in excess of Five Hundred Thousand Dollars ($500,000), by each such third party;</w:t>
      </w:r>
    </w:p>
    <w:p>
      <w:pPr>
        <w:spacing w:after="0" w:line="183" w:lineRule="exact"/>
        <w:rPr>
          <w:rFonts w:ascii="Arial" w:cs="Arial" w:eastAsia="Arial" w:hAnsi="Arial"/>
          <w:sz w:val="18"/>
          <w:szCs w:val="18"/>
          <w:color w:val="auto"/>
        </w:rPr>
      </w:pPr>
    </w:p>
    <w:p>
      <w:pPr>
        <w:jc w:val="both"/>
        <w:ind w:right="20" w:firstLine="1735"/>
        <w:spacing w:after="0" w:line="263" w:lineRule="auto"/>
        <w:tabs>
          <w:tab w:leader="none" w:pos="25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Deliver to Agent, within thirty (30) days of the Effective Date, evidence that the insurance endorsements required by Section 5.6 hereof are in full force and effect, together with appropriate evidence showing lender loss payable and/or additional insured clauses or endorsements in favor of Agent.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left="1600" w:hanging="728"/>
        <w:spacing w:after="0"/>
        <w:tabs>
          <w:tab w:leader="none" w:pos="16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not do any of the following without the prior written consent of the Lenders:</w:t>
      </w:r>
    </w:p>
    <w:p>
      <w:pPr>
        <w:spacing w:after="0" w:line="221"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b w:val="1"/>
          <w:bCs w:val="1"/>
          <w:color w:val="auto"/>
        </w:rPr>
        <w:t xml:space="preserve">6.1 Dispositions. </w:t>
      </w:r>
      <w:r>
        <w:rPr>
          <w:rFonts w:ascii="Arial" w:cs="Arial" w:eastAsia="Arial" w:hAnsi="Arial"/>
          <w:sz w:val="16"/>
          <w:szCs w:val="16"/>
          <w:color w:val="auto"/>
        </w:rPr>
        <w:t>Convey, sell, lease, transfer, assign, or otherwise dispose of (including, without limitation, pursuant to a 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 of its business or property, except for Transfers (a) of Inventory in the ordinary course of business; (b) of worn-out, obsolete or surplus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(f) of non-exclusive licenses of Intellectual Property granted to third parties in the ordinary course of business and licenses of Intellectual Property that could not result in a legal transfer of title of the licensed property but that may be exclusive in respects other than territory and that may be exclusive as to territory only as to discrete geographical areas outside of the United States; and (g) other Transfers not otherwise permitted in clauses (a) through (f) above involving tangible assets of Borrower (but specifically excluding any Transfers of Accounts, monthly recurring revenue, annual recurring revenue or any other recurring revenue of Borrower in any factoring, sale-leaseback, future receipts purchase agreement or other similar agreement) having a fair market value of not more than Five Hundred Thousand Dollars ($500,000) in the aggregate in any fiscal year so long as no Event of Default has occurred or would occur immediately following any such Transfer.</w:t>
      </w:r>
    </w:p>
    <w:p>
      <w:pPr>
        <w:spacing w:after="0" w:line="16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Changes in Business, Management, Control, or Business Locations. </w:t>
      </w:r>
      <w:r>
        <w:rPr>
          <w:rFonts w:ascii="Arial" w:cs="Arial" w:eastAsia="Arial" w:hAnsi="Arial"/>
          <w:sz w:val="16"/>
          <w:szCs w:val="16"/>
          <w:color w:val="auto"/>
        </w:rPr>
        <w:t>(a) Engage in or permit any of its Subsidiaries to engage in</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business other than the businesses currently engaged in by Borrower and such Subsidiary, as applicable, or reasonably related thereto; (b) liquidate or dissolve or permit any of its Subsidiaries to liquidate or dissolve; (c) fail to provide notice to Agent and Lenders of any Key Person departing from or ceasing to be employed by Borrower within five (5) days after such Key Person’s departure from Borrower; (d) permit, allow or suffer to occur any Change in Control; or (e) without at least thirty (30) days prior written notice to Agent, (i) add any new office or business location, including warehouses (unless each such new office or business location contains less than Five Hundred Thousand Dollars ($500,000) in Borrower’s assets or property) or deliver any portion of the Collateral valued, individually or in the aggregate, in excess of Five Hundred Thousand Dollars ($500,000)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Five Hundred Thousand Dollars ($500,000) of Borrower’s assets or property, then Borrower will use commercially reasonable efforts to cause the landlord of any such new offices or business locations, including warehouses, to execute and deliver a landlord consent in form and substance satisfactory to Agent. If Borrower intends to deliver any portion of the Collateral valued, individually or in the aggregate, in excess of Five Hundred Thousand Dollars ($500,000) to a bailee, and Agent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satisfactory to Agent.</w:t>
      </w:r>
    </w:p>
    <w:p>
      <w:pPr>
        <w:spacing w:after="0" w:line="174"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6.3 Mergers or Acquisitions. </w:t>
      </w:r>
      <w:r>
        <w:rPr>
          <w:rFonts w:ascii="Arial" w:cs="Arial" w:eastAsia="Arial" w:hAnsi="Arial"/>
          <w:sz w:val="18"/>
          <w:szCs w:val="18"/>
          <w:color w:val="auto"/>
        </w:rPr>
        <w:t>Merge or consolidate, or permit any of its Subsidiaries to merge or consolidate, with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acquire, 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A Subsidiary may merge or consolidate into another Subsidiary or into Borrower.</w:t>
      </w:r>
    </w:p>
    <w:p>
      <w:pPr>
        <w:spacing w:after="0" w:line="18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6.4 Indebtedness. </w:t>
      </w:r>
      <w:r>
        <w:rPr>
          <w:rFonts w:ascii="Arial" w:cs="Arial" w:eastAsia="Arial" w:hAnsi="Arial"/>
          <w:sz w:val="18"/>
          <w:szCs w:val="18"/>
          <w:color w:val="auto"/>
        </w:rPr>
        <w:t>Create, incur, assume, or be liable for any Indebtedness, or permit any Subsidiary to do so, other than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w:t>
      </w:r>
    </w:p>
    <w:p>
      <w:pPr>
        <w:spacing w:after="0" w:line="162"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 xml:space="preserve">6.5 Encumbrance. </w:t>
      </w:r>
      <w:r>
        <w:rPr>
          <w:rFonts w:ascii="Arial" w:cs="Arial" w:eastAsia="Arial" w:hAnsi="Arial"/>
          <w:sz w:val="18"/>
          <w:szCs w:val="18"/>
          <w:color w:val="auto"/>
        </w:rPr>
        <w:t>Create, incur, allow, or suffer to exist any Lien on any of its property, or assign or convey any right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including the sale of any Accounts, or permit any of its Subsidiaries to do so,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both"/>
        <w:spacing w:after="0" w:line="257" w:lineRule="auto"/>
        <w:rPr>
          <w:sz w:val="20"/>
          <w:szCs w:val="20"/>
          <w:color w:val="auto"/>
        </w:rPr>
      </w:pPr>
      <w:r>
        <w:rPr>
          <w:rFonts w:ascii="Arial" w:cs="Arial" w:eastAsia="Arial" w:hAnsi="Arial"/>
          <w:sz w:val="18"/>
          <w:szCs w:val="18"/>
          <w:color w:val="auto"/>
        </w:rPr>
        <w:t>except for Permitted Liens, permit any Collateral not to be subject to the first priority security interest granted herein, or enter into any agreement, document, instrument or other arrangement (except with or in favor of Agent, for the ratable benefit of the Lenders)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6.1 hereof and the definition of “Permitted Liens” herein.</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6.6</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rPr>
              <w:t xml:space="preserve">Maintenance of Collateral Accounts. </w:t>
            </w:r>
            <w:r>
              <w:rPr>
                <w:rFonts w:ascii="Arial" w:cs="Arial" w:eastAsia="Arial" w:hAnsi="Arial"/>
                <w:sz w:val="18"/>
                <w:szCs w:val="18"/>
                <w:color w:val="auto"/>
              </w:rPr>
              <w:t>Maintain any Collateral Account except pursuant to the terms of Section 5.7.</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6.7</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2"/>
              </w:rPr>
              <w:t xml:space="preserve">Distributions; Investments. </w:t>
            </w:r>
            <w:r>
              <w:rPr>
                <w:rFonts w:ascii="Arial" w:cs="Arial" w:eastAsia="Arial" w:hAnsi="Arial"/>
                <w:sz w:val="18"/>
                <w:szCs w:val="18"/>
                <w:color w:val="auto"/>
                <w:w w:val="92"/>
              </w:rPr>
              <w:t>(a) Pay any dividends or make any distribution or payment or redeem, retire or purchase any stock,</w:t>
            </w:r>
          </w:p>
        </w:tc>
      </w:tr>
    </w:tbl>
    <w:p>
      <w:pPr>
        <w:jc w:val="both"/>
        <w:spacing w:after="0" w:line="268" w:lineRule="auto"/>
        <w:rPr>
          <w:sz w:val="20"/>
          <w:szCs w:val="20"/>
          <w:color w:val="auto"/>
        </w:rPr>
      </w:pPr>
      <w:r>
        <w:rPr>
          <w:rFonts w:ascii="Arial" w:cs="Arial" w:eastAsia="Arial" w:hAnsi="Arial"/>
          <w:sz w:val="17"/>
          <w:szCs w:val="17"/>
          <w:color w:val="auto"/>
        </w:rPr>
        <w:t>partnership, membership, or other ownership interest or other equity securities; provided that (i) Borrower may convert or exchange any of its convertible or exchangeable securities into other equity securities pursuant to the terms of such convertible or exchangeable securities or otherwise in exchange thereof and make cash payments in lieu of fractional shares in connection with any such conversions or exchanges, (ii) Borrower may pay dividends solely in common stock; and (iii) Borrower may repurchase the stock or other ownership interest or equity securities of current or former employees, directors, or consultants pursuant to stock repurchase agreements or similar agreements so long as an Event of Default does not exist at the time of such repurchase and would not exist after giving effect to such repurchase, provided that the aggregate amount of all such repurchases does not exceed Two Hundred Fifty Thousand Dollars ($250,000) per fiscal year; or (b) directly or indirectly make any Investment (including, without limitation, by the formation of any Subsidiary) other than Permitted Investments, or permit any of its Subsidiaries to do so.</w:t>
      </w:r>
    </w:p>
    <w:p>
      <w:pPr>
        <w:spacing w:after="0" w:line="17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 xml:space="preserve">6.8 Transactions with Affiliates. </w:t>
      </w:r>
      <w:r>
        <w:rPr>
          <w:rFonts w:ascii="Arial" w:cs="Arial" w:eastAsia="Arial" w:hAnsi="Arial"/>
          <w:sz w:val="18"/>
          <w:szCs w:val="18"/>
          <w:color w:val="auto"/>
        </w:rPr>
        <w:t>Directly or indirectly enter into or permit to exist any material transaction with any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except for (a) transactions that are in the ordinary course of Borrower’s business, upon fair and reasonable terms that are no less favorable to Borrower than would be obtained in an arm’s length transaction with a non-affiliated Person and (b) customary compensation and other benefits arrangements (including retirement, health, stock option, and other benefit plans and indemnification arrangements approved by the relevant board of directors or equivalent corporate body) with Borrower’s and its Subsidiaries’ employees, officers, directors and consultants approved by Borrower’s or such Subsidiary’s Board of Directors.</w:t>
      </w:r>
    </w:p>
    <w:p>
      <w:pPr>
        <w:spacing w:after="0" w:line="187"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6.9 Subordinated Debt. </w:t>
      </w:r>
      <w:r>
        <w:rPr>
          <w:rFonts w:ascii="Arial" w:cs="Arial" w:eastAsia="Arial" w:hAnsi="Arial"/>
          <w:sz w:val="18"/>
          <w:szCs w:val="18"/>
          <w:color w:val="auto"/>
        </w:rPr>
        <w:t>Except as expressly permitted under the terms of the subordination, intercreditor, or other similar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any Subordinated Debt is subject: (a) make or permit any payment on such Subordinated Debt; or (b) amend any provision in any document relating to such Subordinated Debt which would increase the amount thereof, provide for earlier or greater principal, interest, or other payments thereon, or adversely affect the subordination thereof to Obligations owed to Agent and the Lenders.</w:t>
      </w:r>
    </w:p>
    <w:p>
      <w:pPr>
        <w:spacing w:after="0" w:line="180"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b w:val="1"/>
          <w:bCs w:val="1"/>
          <w:color w:val="auto"/>
        </w:rPr>
        <w:t xml:space="preserve">6.10 Compliance. </w:t>
      </w:r>
      <w:r>
        <w:rPr>
          <w:rFonts w:ascii="Arial" w:cs="Arial" w:eastAsia="Arial" w:hAnsi="Arial"/>
          <w:sz w:val="16"/>
          <w:szCs w:val="16"/>
          <w:color w:val="auto"/>
        </w:rPr>
        <w:t>(a) Become an “investment company” or a company controlled by an “investment company”, under the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applicable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166"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5"/>
          <w:szCs w:val="15"/>
          <w:b w:val="1"/>
          <w:bCs w:val="1"/>
          <w:color w:val="auto"/>
        </w:rPr>
        <w:t>Subsidiary Assets</w:t>
      </w:r>
      <w:r>
        <w:rPr>
          <w:rFonts w:ascii="Arial" w:cs="Arial" w:eastAsia="Arial" w:hAnsi="Arial"/>
          <w:sz w:val="15"/>
          <w:szCs w:val="15"/>
          <w:color w:val="auto"/>
        </w:rPr>
        <w:t>.</w:t>
      </w:r>
    </w:p>
    <w:p>
      <w:pPr>
        <w:spacing w:after="0" w:line="229" w:lineRule="exact"/>
        <w:rPr>
          <w:sz w:val="20"/>
          <w:szCs w:val="20"/>
          <w:color w:val="auto"/>
        </w:rPr>
      </w:pPr>
    </w:p>
    <w:p>
      <w:pPr>
        <w:ind w:right="20" w:firstLine="1735"/>
        <w:spacing w:after="0" w:line="342" w:lineRule="auto"/>
        <w:tabs>
          <w:tab w:leader="none" w:pos="2575"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Until such time (if any) as the Australian Subsidiary becomes a co-Borrower or secured Guarantor hereunder, permit the aggregate value of all assets (cash and non-cash) held by the Australian Subsidiary to exceed Five Hundred Thousand Dollars ($500,000).</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ind w:firstLine="1735"/>
        <w:spacing w:after="0" w:line="308" w:lineRule="auto"/>
        <w:tabs>
          <w:tab w:leader="none" w:pos="2585" w:val="left"/>
        </w:tabs>
        <w:numPr>
          <w:ilvl w:val="0"/>
          <w:numId w:val="84"/>
        </w:numPr>
        <w:rPr>
          <w:rFonts w:ascii="Arial" w:cs="Arial" w:eastAsia="Arial" w:hAnsi="Arial"/>
          <w:sz w:val="17"/>
          <w:szCs w:val="17"/>
          <w:color w:val="auto"/>
        </w:rPr>
      </w:pPr>
      <w:r>
        <w:rPr>
          <w:rFonts w:ascii="Arial" w:cs="Arial" w:eastAsia="Arial" w:hAnsi="Arial"/>
          <w:sz w:val="17"/>
          <w:szCs w:val="17"/>
          <w:color w:val="auto"/>
        </w:rPr>
        <w:t>Until such time (if any) as the Canadian Subsidiary becomes a co-Borrower or secured Guarantor hereunder, permit the aggregate value of all assets (cash and non-cash) held by the Canadian Subsidiary to exceed Five Hundred Thousand Dollars ($500,000).</w:t>
      </w:r>
    </w:p>
    <w:p>
      <w:pPr>
        <w:spacing w:after="0" w:line="14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6.12 MSC Subsidiary</w:t>
      </w:r>
      <w:r>
        <w:rPr>
          <w:rFonts w:ascii="Arial" w:cs="Arial" w:eastAsia="Arial" w:hAnsi="Arial"/>
          <w:sz w:val="18"/>
          <w:szCs w:val="18"/>
          <w:color w:val="auto"/>
        </w:rPr>
        <w:t>. Permit any MSC Subsidiary to make any Investments or hold any assets that would cause such MSC</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fail to qualify as a Massachusetts security corporation under 830 CMR 63.38B.1 of the Massachusetts tax code and applicable regulations (as the same may be amended, modified or replaced from time to time).</w:t>
      </w:r>
    </w:p>
    <w:p>
      <w:pPr>
        <w:spacing w:after="0" w:line="176" w:lineRule="exact"/>
        <w:rPr>
          <w:sz w:val="20"/>
          <w:szCs w:val="20"/>
          <w:color w:val="auto"/>
        </w:rPr>
      </w:pPr>
    </w:p>
    <w:p>
      <w:pPr>
        <w:ind w:left="1600" w:hanging="728"/>
        <w:spacing w:after="0"/>
        <w:tabs>
          <w:tab w:leader="none" w:pos="16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7.1 Payment Default. </w:t>
      </w:r>
      <w:r>
        <w:rPr>
          <w:rFonts w:ascii="Arial" w:cs="Arial" w:eastAsia="Arial" w:hAnsi="Arial"/>
          <w:sz w:val="18"/>
          <w:szCs w:val="18"/>
          <w:color w:val="auto"/>
        </w:rPr>
        <w:t>Borrower fails to (a) make any payment of principal or interest on any Credit Extension on its due date, or (b)</w:t>
      </w:r>
      <w:r>
        <w:rPr>
          <w:rFonts w:ascii="Arial" w:cs="Arial" w:eastAsia="Arial" w:hAnsi="Arial"/>
          <w:sz w:val="18"/>
          <w:szCs w:val="18"/>
          <w:b w:val="1"/>
          <w:bCs w:val="1"/>
          <w:color w:val="auto"/>
        </w:rPr>
        <w:t xml:space="preserve"> </w:t>
      </w:r>
      <w:r>
        <w:rPr>
          <w:rFonts w:ascii="Arial" w:cs="Arial" w:eastAsia="Arial" w:hAnsi="Arial"/>
          <w:sz w:val="18"/>
          <w:szCs w:val="18"/>
          <w:color w:val="auto"/>
        </w:rPr>
        <w:t>pay any 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firstLine="1735"/>
        <w:spacing w:after="0" w:line="308" w:lineRule="auto"/>
        <w:tabs>
          <w:tab w:leader="none" w:pos="2575" w:val="left"/>
        </w:tabs>
        <w:numPr>
          <w:ilvl w:val="0"/>
          <w:numId w:val="86"/>
        </w:numPr>
        <w:rPr>
          <w:rFonts w:ascii="Arial" w:cs="Arial" w:eastAsia="Arial" w:hAnsi="Arial"/>
          <w:sz w:val="17"/>
          <w:szCs w:val="17"/>
          <w:color w:val="auto"/>
        </w:rPr>
      </w:pPr>
      <w:r>
        <w:rPr>
          <w:rFonts w:ascii="Arial" w:cs="Arial" w:eastAsia="Arial" w:hAnsi="Arial"/>
          <w:sz w:val="17"/>
          <w:szCs w:val="17"/>
          <w:color w:val="auto"/>
        </w:rPr>
        <w:t>Borrower fails or neglects to perform any obligation in Section 5 (other than Sections 5.2 (Government Compliance), 5.10 (Litigation Cooperation), 5.12 (Inventory; Returns) and 5.13 (Further Assurances)) or violates any covenant in Section 6; or</w:t>
      </w:r>
    </w:p>
    <w:p>
      <w:pPr>
        <w:spacing w:after="0" w:line="146" w:lineRule="exact"/>
        <w:rPr>
          <w:rFonts w:ascii="Arial" w:cs="Arial" w:eastAsia="Arial" w:hAnsi="Arial"/>
          <w:sz w:val="17"/>
          <w:szCs w:val="17"/>
          <w:color w:val="auto"/>
        </w:rPr>
      </w:pPr>
    </w:p>
    <w:p>
      <w:pPr>
        <w:jc w:val="both"/>
        <w:ind w:firstLine="1735"/>
        <w:spacing w:after="0" w:line="253" w:lineRule="auto"/>
        <w:tabs>
          <w:tab w:leader="none" w:pos="25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 (a) above;</w:t>
      </w:r>
    </w:p>
    <w:p>
      <w:pPr>
        <w:spacing w:after="0" w:line="192"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7.3</w:t>
            </w:r>
          </w:p>
        </w:tc>
        <w:tc>
          <w:tcPr>
            <w:tcW w:w="5020" w:type="dxa"/>
            <w:vAlign w:val="bottom"/>
          </w:tcPr>
          <w:p>
            <w:pPr>
              <w:ind w:left="320"/>
              <w:spacing w:after="0"/>
              <w:rPr>
                <w:sz w:val="20"/>
                <w:szCs w:val="20"/>
                <w:color w:val="auto"/>
              </w:rPr>
            </w:pPr>
            <w:r>
              <w:rPr>
                <w:rFonts w:ascii="Arial" w:cs="Arial" w:eastAsia="Arial" w:hAnsi="Arial"/>
                <w:sz w:val="18"/>
                <w:szCs w:val="18"/>
                <w:b w:val="1"/>
                <w:bCs w:val="1"/>
                <w:color w:val="auto"/>
                <w:w w:val="92"/>
              </w:rPr>
              <w:t xml:space="preserve">Material Adverse Change. </w:t>
            </w:r>
            <w:r>
              <w:rPr>
                <w:rFonts w:ascii="Arial" w:cs="Arial" w:eastAsia="Arial" w:hAnsi="Arial"/>
                <w:sz w:val="18"/>
                <w:szCs w:val="18"/>
                <w:color w:val="auto"/>
                <w:w w:val="92"/>
              </w:rPr>
              <w:t>A Material Adverse Change occurs;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7.4</w:t>
            </w:r>
          </w:p>
        </w:tc>
        <w:tc>
          <w:tcPr>
            <w:tcW w:w="5020" w:type="dxa"/>
            <w:vAlign w:val="bottom"/>
          </w:tcPr>
          <w:p>
            <w:pPr>
              <w:ind w:left="320"/>
              <w:spacing w:after="0"/>
              <w:rPr>
                <w:sz w:val="20"/>
                <w:szCs w:val="20"/>
                <w:color w:val="auto"/>
              </w:rPr>
            </w:pPr>
            <w:r>
              <w:rPr>
                <w:rFonts w:ascii="Arial" w:cs="Arial" w:eastAsia="Arial" w:hAnsi="Arial"/>
                <w:sz w:val="18"/>
                <w:szCs w:val="18"/>
                <w:b w:val="1"/>
                <w:bCs w:val="1"/>
                <w:color w:val="auto"/>
              </w:rPr>
              <w:t>Attachment; Levy; Restraint on Business.</w:t>
            </w:r>
          </w:p>
        </w:tc>
      </w:tr>
    </w:tbl>
    <w:p>
      <w:pPr>
        <w:spacing w:after="0" w:line="202" w:lineRule="exact"/>
        <w:rPr>
          <w:sz w:val="20"/>
          <w:szCs w:val="20"/>
          <w:color w:val="auto"/>
        </w:rPr>
      </w:pPr>
    </w:p>
    <w:p>
      <w:pPr>
        <w:ind w:left="2580" w:hanging="845"/>
        <w:spacing w:after="0"/>
        <w:tabs>
          <w:tab w:leader="none" w:pos="25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(i) The service of process seeking to attach, by trustee or similar process, any funds of Borrower or any Subsidiary, or</w:t>
      </w:r>
    </w:p>
    <w:p>
      <w:pPr>
        <w:spacing w:after="0" w:line="46" w:lineRule="exact"/>
        <w:rPr>
          <w:rFonts w:ascii="Arial" w:cs="Arial" w:eastAsia="Arial" w:hAnsi="Arial"/>
          <w:sz w:val="16"/>
          <w:szCs w:val="16"/>
          <w:color w:val="auto"/>
        </w:rPr>
      </w:pPr>
    </w:p>
    <w:p>
      <w:pPr>
        <w:jc w:val="both"/>
        <w:ind w:firstLine="8"/>
        <w:spacing w:after="0" w:line="255" w:lineRule="auto"/>
        <w:tabs>
          <w:tab w:leader="none" w:pos="2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notice of lien or levy is filed against any of Borrower’s or any of its Subsidiaries’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89" w:lineRule="exact"/>
        <w:rPr>
          <w:rFonts w:ascii="Arial" w:cs="Arial" w:eastAsia="Arial" w:hAnsi="Arial"/>
          <w:sz w:val="18"/>
          <w:szCs w:val="18"/>
          <w:color w:val="auto"/>
        </w:rPr>
      </w:pPr>
    </w:p>
    <w:p>
      <w:pPr>
        <w:jc w:val="both"/>
        <w:ind w:firstLine="1735"/>
        <w:spacing w:after="0" w:line="263" w:lineRule="auto"/>
        <w:tabs>
          <w:tab w:leader="none" w:pos="2585" w:val="left"/>
        </w:tabs>
        <w:numPr>
          <w:ilvl w:val="1"/>
          <w:numId w:val="88"/>
        </w:numPr>
        <w:rPr>
          <w:rFonts w:ascii="Arial" w:cs="Arial" w:eastAsia="Arial" w:hAnsi="Arial"/>
          <w:sz w:val="18"/>
          <w:szCs w:val="18"/>
          <w:color w:val="auto"/>
        </w:rPr>
      </w:pPr>
      <w:r>
        <w:rPr>
          <w:rFonts w:ascii="Arial" w:cs="Arial" w:eastAsia="Arial" w:hAnsi="Arial"/>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w:t>
      </w:r>
    </w:p>
    <w:p>
      <w:pPr>
        <w:spacing w:after="0" w:line="18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7.5 Insolvency. </w:t>
      </w:r>
      <w:r>
        <w:rPr>
          <w:rFonts w:ascii="Arial" w:cs="Arial" w:eastAsia="Arial" w:hAnsi="Arial"/>
          <w:sz w:val="18"/>
          <w:szCs w:val="18"/>
          <w:color w:val="auto"/>
        </w:rPr>
        <w:t>(a) Borrower or any of its Subsidiaries is unable to pay its debts (including trade debts) as they become due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becomes insolvent; (b) Borrower or any of its Subsidiaries begins an Insolvency Proceeding; or (c) an Insolvency Proceeding is begun against Borrower or any of its Subsidiaries and 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both"/>
        <w:spacing w:after="0" w:line="277" w:lineRule="auto"/>
        <w:rPr>
          <w:sz w:val="20"/>
          <w:szCs w:val="20"/>
          <w:color w:val="auto"/>
        </w:rPr>
      </w:pPr>
      <w:r>
        <w:rPr>
          <w:rFonts w:ascii="Arial" w:cs="Arial" w:eastAsia="Arial" w:hAnsi="Arial"/>
          <w:sz w:val="18"/>
          <w:szCs w:val="18"/>
          <w:color w:val="auto"/>
        </w:rPr>
        <w:t>not dismissed or stayed within thirty (30) days (but no Credit Extensions shall be made while any of the conditions described in clause (a) exist or until any Insolvency Proceeding is dismissed);</w:t>
      </w:r>
    </w:p>
    <w:p>
      <w:pPr>
        <w:spacing w:after="0" w:line="16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7.6 Other Agreements. </w:t>
      </w:r>
      <w:r>
        <w:rPr>
          <w:rFonts w:ascii="Arial" w:cs="Arial" w:eastAsia="Arial" w:hAnsi="Arial"/>
          <w:sz w:val="18"/>
          <w:szCs w:val="18"/>
          <w:color w:val="auto"/>
        </w:rPr>
        <w:t>There is, under any agreement to which Borrower, any of Borrower’s Subsidiaries, or any Guarantor is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third party or parties, (a) any default resulting in a right by such third party or parties, whether or not exercised, to accelerate the maturity of any Indebtedness in an amount individually or in the aggregate in excess of Five Hundred Thousand Dollars ($500,000); or (b) any breach or default by Borrower, any of Borrower’s Subsidiaries, or Guarantor, the result of which could have a material adverse effect on Borrower’s, any of Borrower’s Subsidiaries’, or any Guarantor’s business or operations;</w:t>
      </w:r>
    </w:p>
    <w:p>
      <w:pPr>
        <w:spacing w:after="0" w:line="18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 xml:space="preserve">7.7 Judgments; Penalties. </w:t>
      </w:r>
      <w:r>
        <w:rPr>
          <w:rFonts w:ascii="Arial" w:cs="Arial" w:eastAsia="Arial" w:hAnsi="Arial"/>
          <w:sz w:val="18"/>
          <w:szCs w:val="18"/>
          <w:color w:val="auto"/>
        </w:rPr>
        <w:t>One or more fines, penalties or final judgments, orders or decrees for the payment of money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in the aggregate, of at least Five Hundred Thousand Dollars ($500,000) (not covered by independent third-party insurance as to which liability has been accepted by such insurance carrier) shall be rendered against Borrower or any of its Subsidiaries by any Governmental Authority, and the same are not, within ten (10) Business Days after the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w:t>
      </w:r>
    </w:p>
    <w:p>
      <w:pPr>
        <w:spacing w:after="0" w:line="18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color w:val="auto"/>
        </w:rPr>
        <w:t xml:space="preserve">7.8 Misrepresentations. </w:t>
      </w:r>
      <w:r>
        <w:rPr>
          <w:rFonts w:ascii="Arial" w:cs="Arial" w:eastAsia="Arial" w:hAnsi="Arial"/>
          <w:sz w:val="18"/>
          <w:szCs w:val="18"/>
          <w:color w:val="auto"/>
        </w:rPr>
        <w:t>Borrower or any of its Subsidiaries or any Person acting for Borrower or any of its Subsidiaries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warranty, or other statement now or later in this Agreement, any Loan Document or in any writing delivered to Agent or any Lender in connection with this Agreement, any Loan Document or the transactions contemplated hereby or to induce Agent or any Lender to enter this Agreement or any Loan Document, and such representation, warranty, or other statement is incorrect in any material respect when made (it being agreed and acknowledged by Agent and each Lender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If: (a) any document, instrument, or agreement evidencing any Subordinated Debt shall for any reason be</w:t>
      </w:r>
      <w:r>
        <w:rPr>
          <w:rFonts w:ascii="Arial" w:cs="Arial" w:eastAsia="Arial" w:hAnsi="Arial"/>
          <w:sz w:val="18"/>
          <w:szCs w:val="18"/>
          <w:b w:val="1"/>
          <w:bCs w:val="1"/>
          <w:color w:val="auto"/>
        </w:rPr>
        <w:t xml:space="preserve"> </w:t>
      </w:r>
      <w:r>
        <w:rPr>
          <w:rFonts w:ascii="Arial" w:cs="Arial" w:eastAsia="Arial" w:hAnsi="Arial"/>
          <w:sz w:val="18"/>
          <w:szCs w:val="18"/>
          <w:color w:val="auto"/>
        </w:rPr>
        <w:t>revoked or invalidated or otherwise cease to be in full force and effect, or any Person (other than SVB)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w:t>
      </w:r>
    </w:p>
    <w:p>
      <w:pPr>
        <w:spacing w:after="0" w:line="18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7.10 Guaranty</w:t>
      </w:r>
      <w:r>
        <w:rPr>
          <w:rFonts w:ascii="Arial" w:cs="Arial" w:eastAsia="Arial" w:hAnsi="Arial"/>
          <w:sz w:val="18"/>
          <w:szCs w:val="18"/>
          <w:color w:val="auto"/>
        </w:rPr>
        <w:t>. (a) Any guaranty of any Obligations terminates or ceases for any reason to be in full force and effect; (b) any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does not perform any obligation or covenant under any guaranty of the Obligations; (c) any circumstance described in Sections 7.3, 7.4, 7.5, 7.6, 7.7, or 7.8 of this Agreement occurs with respect to any Guarantor, (d) the death, liquidation, winding up, or termination of existence of any Guarantor; or (e)(i) a material impairment in the perfection or priority of Agent’s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87"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Lien Priority</w:t>
      </w:r>
      <w:r>
        <w:rPr>
          <w:rFonts w:ascii="Arial" w:cs="Arial" w:eastAsia="Arial" w:hAnsi="Arial"/>
          <w:sz w:val="16"/>
          <w:szCs w:val="16"/>
          <w:color w:val="auto"/>
        </w:rPr>
        <w:t>. There is a material impairment in the perfection or priority of Agent’s security interest in the Collateral; or</w:t>
      </w:r>
    </w:p>
    <w:p>
      <w:pPr>
        <w:spacing w:after="0" w:line="22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 xml:space="preserve">7.12 Governmental Approvals. </w:t>
      </w:r>
      <w:r>
        <w:rPr>
          <w:rFonts w:ascii="Arial" w:cs="Arial" w:eastAsia="Arial" w:hAnsi="Arial"/>
          <w:sz w:val="17"/>
          <w:szCs w:val="17"/>
          <w:color w:val="auto"/>
        </w:rPr>
        <w:t>Any Governmental Approval shall have been (a) revoked, rescinded, suspended, modified in an</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18"/>
          <w:szCs w:val="18"/>
          <w:color w:val="auto"/>
        </w:rPr>
        <w:t>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80" w:lineRule="exact"/>
        <w:rPr>
          <w:sz w:val="20"/>
          <w:szCs w:val="20"/>
          <w:color w:val="auto"/>
        </w:rPr>
      </w:pPr>
    </w:p>
    <w:p>
      <w:pPr>
        <w:jc w:val="both"/>
        <w:ind w:firstLine="864"/>
        <w:spacing w:after="0" w:line="347" w:lineRule="auto"/>
        <w:rPr>
          <w:sz w:val="20"/>
          <w:szCs w:val="20"/>
          <w:color w:val="auto"/>
        </w:rPr>
      </w:pPr>
      <w:r>
        <w:rPr>
          <w:rFonts w:ascii="Arial" w:cs="Arial" w:eastAsia="Arial" w:hAnsi="Arial"/>
          <w:sz w:val="16"/>
          <w:szCs w:val="16"/>
          <w:b w:val="1"/>
          <w:bCs w:val="1"/>
          <w:color w:val="auto"/>
        </w:rPr>
        <w:t>7.13 Delisting</w:t>
      </w:r>
      <w:r>
        <w:rPr>
          <w:rFonts w:ascii="Arial" w:cs="Arial" w:eastAsia="Arial" w:hAnsi="Arial"/>
          <w:sz w:val="16"/>
          <w:szCs w:val="16"/>
          <w:color w:val="auto"/>
        </w:rPr>
        <w:t>. Shares of Borrower’s common stock are delisted from the Nasdaq stock exchange because of Borrower’s failure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comply with continued listing standards thereof or due to a voluntary delisting which results in such shares not being listed on such exchange or market.</w:t>
      </w:r>
    </w:p>
    <w:p>
      <w:pPr>
        <w:spacing w:after="0" w:line="116" w:lineRule="exact"/>
        <w:rPr>
          <w:sz w:val="20"/>
          <w:szCs w:val="20"/>
          <w:color w:val="auto"/>
        </w:rPr>
      </w:pPr>
    </w:p>
    <w:p>
      <w:pPr>
        <w:ind w:left="1600" w:hanging="728"/>
        <w:spacing w:after="0"/>
        <w:tabs>
          <w:tab w:leader="none" w:pos="16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REMEDIES</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8.1 Rights and Remedies. </w:t>
      </w:r>
      <w:r>
        <w:rPr>
          <w:rFonts w:ascii="Arial" w:cs="Arial" w:eastAsia="Arial" w:hAnsi="Arial"/>
          <w:sz w:val="18"/>
          <w:szCs w:val="18"/>
          <w:color w:val="auto"/>
        </w:rPr>
        <w:t>Upon the occurrence and during the continuance of an Event of Default, Agent, as directed by Lenders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Lender Intercreditor Agreement or, if such rights and remedies are not addressed in the Lender Intercreditor Agreement, as directed by Lenders having a majority of the Obligations, may, without notice or demand, do any or all of the following:</w:t>
      </w:r>
    </w:p>
    <w:p>
      <w:pPr>
        <w:spacing w:after="0" w:line="180" w:lineRule="exact"/>
        <w:rPr>
          <w:sz w:val="20"/>
          <w:szCs w:val="20"/>
          <w:color w:val="auto"/>
        </w:rPr>
      </w:pPr>
    </w:p>
    <w:p>
      <w:pPr>
        <w:ind w:firstLine="1735"/>
        <w:spacing w:after="0" w:line="277" w:lineRule="auto"/>
        <w:tabs>
          <w:tab w:leader="none" w:pos="25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7.5 occurs all Obligations are immediately due and payable without any action by Agent or any Lender);</w:t>
      </w:r>
    </w:p>
    <w:p>
      <w:pPr>
        <w:spacing w:after="0" w:line="170" w:lineRule="exact"/>
        <w:rPr>
          <w:rFonts w:ascii="Arial" w:cs="Arial" w:eastAsia="Arial" w:hAnsi="Arial"/>
          <w:sz w:val="18"/>
          <w:szCs w:val="18"/>
          <w:color w:val="auto"/>
        </w:rPr>
      </w:pPr>
    </w:p>
    <w:p>
      <w:pPr>
        <w:ind w:firstLine="1735"/>
        <w:spacing w:after="0" w:line="277" w:lineRule="auto"/>
        <w:tabs>
          <w:tab w:leader="none" w:pos="25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 or under any other agreement among Borrower, Agent and/or any Lenders;</w:t>
      </w:r>
    </w:p>
    <w:p>
      <w:pPr>
        <w:spacing w:after="0" w:line="170" w:lineRule="exact"/>
        <w:rPr>
          <w:rFonts w:ascii="Arial" w:cs="Arial" w:eastAsia="Arial" w:hAnsi="Arial"/>
          <w:sz w:val="18"/>
          <w:szCs w:val="18"/>
          <w:color w:val="auto"/>
        </w:rPr>
      </w:pPr>
    </w:p>
    <w:p>
      <w:pPr>
        <w:jc w:val="both"/>
        <w:ind w:firstLine="1735"/>
        <w:spacing w:after="0" w:line="293" w:lineRule="auto"/>
        <w:tabs>
          <w:tab w:leader="none" w:pos="25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demand that Borrower (i) deposit cash with SVB in an amount equal to at least (A) one hundred and five percent (105.0%) of the aggregate face amount of any Letters of Credit denominated in Dollars remaining undrawn, and (B) one hundred and ten percent (110.0%) of the Dollar Equivalent of the aggregate face amount of any Letters of Credit denominated in a Foreign Currency remaining undrawn (plus, in each case, all interest, fees, and costs due or estimated by SVB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64" w:lineRule="exact"/>
        <w:rPr>
          <w:rFonts w:ascii="Arial" w:cs="Arial" w:eastAsia="Arial" w:hAnsi="Arial"/>
          <w:sz w:val="16"/>
          <w:szCs w:val="16"/>
          <w:color w:val="auto"/>
        </w:rPr>
      </w:pPr>
    </w:p>
    <w:p>
      <w:pPr>
        <w:jc w:val="both"/>
        <w:ind w:firstLine="1735"/>
        <w:spacing w:after="0" w:line="275" w:lineRule="auto"/>
        <w:tabs>
          <w:tab w:leader="none" w:pos="258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terminate any FX Contracts (it being understood and agreed that (i) SVB is not obligated to deliver the currency which Borrower has contracted to receive under any FX Contract, and SVB may cover its exposure for any FX Contracts by purchasing or selling currency in the interbank market as SVB deems appropriate; (ii) Borrower shall be liable for all losses, damages, costs, margin obligations and expenses incurred by SVB arising from Borrower’s failure to satisfy its obligations under any FX Contract or the execution of any FX Contract; and (iii) SVB shall not be liable to Borrower for any gain in value of a FX Contract that SVB may obtain in covering Borrower’s breach);</w:t>
      </w:r>
    </w:p>
    <w:p>
      <w:pPr>
        <w:spacing w:after="0" w:line="176" w:lineRule="exact"/>
        <w:rPr>
          <w:rFonts w:ascii="Arial" w:cs="Arial" w:eastAsia="Arial" w:hAnsi="Arial"/>
          <w:sz w:val="17"/>
          <w:szCs w:val="17"/>
          <w:color w:val="auto"/>
        </w:rPr>
      </w:pPr>
    </w:p>
    <w:p>
      <w:pPr>
        <w:jc w:val="both"/>
        <w:ind w:firstLine="1735"/>
        <w:spacing w:after="0" w:line="263" w:lineRule="auto"/>
        <w:tabs>
          <w:tab w:leader="none" w:pos="25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Agent and/or the Lenders consider advisable, and notify any Person owing Borrower money of Agent’s security interest in such funds;</w:t>
      </w:r>
    </w:p>
    <w:p>
      <w:pPr>
        <w:spacing w:after="0" w:line="183" w:lineRule="exact"/>
        <w:rPr>
          <w:rFonts w:ascii="Arial" w:cs="Arial" w:eastAsia="Arial" w:hAnsi="Arial"/>
          <w:sz w:val="18"/>
          <w:szCs w:val="18"/>
          <w:color w:val="auto"/>
        </w:rPr>
      </w:pPr>
    </w:p>
    <w:p>
      <w:pPr>
        <w:jc w:val="both"/>
        <w:ind w:firstLine="1735"/>
        <w:spacing w:after="0" w:line="296" w:lineRule="auto"/>
        <w:tabs>
          <w:tab w:leader="none" w:pos="25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make any payments and do any acts Agent or any Lender considers necessary or reasonable to protect the Collateral and/or its security interest in the Collateral. Borrower shall assemble the Collateral if Agent requests and make it available as Agent designates at a location reasonably convenient to Agent and Borrower. Agent may enter premises where the Collateral is located, take and maintain possession of any part of the Collateral, and pay, purchase, contest, or compromise any Lien which appears to be prior or superior to its security interest and pay all expenses incurred. Borrower grants Agent a license to enter and occupy any of its premises, without charge, to exercise any of Agent’s rights or remedies;</w:t>
      </w:r>
    </w:p>
    <w:p>
      <w:pPr>
        <w:spacing w:after="0" w:line="161" w:lineRule="exact"/>
        <w:rPr>
          <w:rFonts w:ascii="Arial" w:cs="Arial" w:eastAsia="Arial" w:hAnsi="Arial"/>
          <w:sz w:val="16"/>
          <w:szCs w:val="16"/>
          <w:color w:val="auto"/>
        </w:rPr>
      </w:pPr>
    </w:p>
    <w:p>
      <w:pPr>
        <w:jc w:val="both"/>
        <w:ind w:firstLine="1735"/>
        <w:spacing w:after="0" w:line="263" w:lineRule="auto"/>
        <w:tabs>
          <w:tab w:leader="none" w:pos="25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apply to the Obligations then due (including any Obligations accelerated by Bank in accordance with its rights as a secured creditor hereunder and under the Code) any (i) balances and deposits of Borrower it holds, or (ii) any amount held by Agent owing to or for the credit or the account of Borrower;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jc w:val="both"/>
        <w:ind w:firstLine="1735"/>
        <w:spacing w:after="0" w:line="255" w:lineRule="auto"/>
        <w:tabs>
          <w:tab w:leader="none" w:pos="25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For use solely upon the occurrence and during the continuation of an Event of Default, Agent, for the benefit of the Lenders,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8.1, Borrower’s rights under all licenses and all franchise agreements inure to Agent, for the ratable benefit of the Lenders;</w:t>
      </w:r>
    </w:p>
    <w:p>
      <w:pPr>
        <w:spacing w:after="0" w:line="192" w:lineRule="exact"/>
        <w:rPr>
          <w:rFonts w:ascii="Arial" w:cs="Arial" w:eastAsia="Arial" w:hAnsi="Arial"/>
          <w:sz w:val="18"/>
          <w:szCs w:val="18"/>
          <w:color w:val="auto"/>
        </w:rPr>
      </w:pPr>
    </w:p>
    <w:p>
      <w:pPr>
        <w:ind w:firstLine="1735"/>
        <w:spacing w:after="0" w:line="308" w:lineRule="auto"/>
        <w:tabs>
          <w:tab w:leader="none" w:pos="2545" w:val="left"/>
        </w:tabs>
        <w:numPr>
          <w:ilvl w:val="0"/>
          <w:numId w:val="91"/>
        </w:numPr>
        <w:rPr>
          <w:rFonts w:ascii="Arial" w:cs="Arial" w:eastAsia="Arial" w:hAnsi="Arial"/>
          <w:sz w:val="17"/>
          <w:szCs w:val="17"/>
          <w:color w:val="auto"/>
        </w:rPr>
      </w:pPr>
      <w:r>
        <w:rPr>
          <w:rFonts w:ascii="Arial" w:cs="Arial" w:eastAsia="Arial" w:hAnsi="Arial"/>
          <w:sz w:val="17"/>
          <w:szCs w:val="17"/>
          <w:color w:val="auto"/>
        </w:rPr>
        <w:t>place a “hold” on any account maintained with Agent or Lenders and/or deliver a notice of exclusive control, any entitlement order, or other directions or instructions pursuant to any Control Agreement or similar agreements providing control of any Collateral;</w:t>
      </w:r>
    </w:p>
    <w:p>
      <w:pPr>
        <w:spacing w:after="0" w:line="146" w:lineRule="exact"/>
        <w:rPr>
          <w:rFonts w:ascii="Arial" w:cs="Arial" w:eastAsia="Arial" w:hAnsi="Arial"/>
          <w:sz w:val="17"/>
          <w:szCs w:val="17"/>
          <w:color w:val="auto"/>
        </w:rPr>
      </w:pPr>
    </w:p>
    <w:p>
      <w:pPr>
        <w:ind w:left="2560" w:hanging="825"/>
        <w:spacing w:after="0"/>
        <w:tabs>
          <w:tab w:leader="none" w:pos="2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ind w:firstLine="1735"/>
        <w:spacing w:after="0" w:line="308" w:lineRule="auto"/>
        <w:tabs>
          <w:tab w:leader="none" w:pos="2585"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exercise all rights and remedies available to Agent and the Lenders under the Loan Documents or at law or equity, including all remedies provided under the Code or any Applicable Law (including disposal of the Collateral pursuant to the terms thereof).</w:t>
      </w:r>
    </w:p>
    <w:p>
      <w:pPr>
        <w:spacing w:after="0" w:line="14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b w:val="1"/>
          <w:bCs w:val="1"/>
          <w:color w:val="auto"/>
        </w:rPr>
        <w:t xml:space="preserve">8.2 Power of Attorney. </w:t>
      </w:r>
      <w:r>
        <w:rPr>
          <w:rFonts w:ascii="Arial" w:cs="Arial" w:eastAsia="Arial" w:hAnsi="Arial"/>
          <w:sz w:val="16"/>
          <w:szCs w:val="16"/>
          <w:color w:val="auto"/>
        </w:rPr>
        <w:t>Borrower hereby irrevocably appoints Agent, for the benefit of the Lenders, as its true and lawful attorney-in-fact, (a) exercisable upon the occurrence 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Agent or a third party as the Code permits; and (b) regardless of whether an Event of Default has occurred, to sign Borrower’s name on any documents necessary to perfect or continue the perfection of Agent’s security interest in the Collateral. Agent’s foregoing appointment as Borrower’s attorney in fact, and all of Agent’s rights and powers, coupled with an interest, are irrevocable until such time as all Obligations (other than inchoate indemnity obligations) have been satisfied in full, Agent is under no further obligation to make Credit Extensions and the Loan Documents have been terminated. Agent shall not incur any liability in connection with or arising from the exercise of such power of attorney and shall have no obligation to exercise any of the foregoing rights and remedies.</w:t>
      </w:r>
    </w:p>
    <w:p>
      <w:pPr>
        <w:spacing w:after="0" w:line="16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 xml:space="preserve">8.3 Protective Payments. </w:t>
      </w:r>
      <w:r>
        <w:rPr>
          <w:rFonts w:ascii="Arial" w:cs="Arial" w:eastAsia="Arial" w:hAnsi="Arial"/>
          <w:sz w:val="17"/>
          <w:szCs w:val="17"/>
          <w:color w:val="auto"/>
        </w:rPr>
        <w:t>If Borrower fails to obtain the insurance called for by Section 5.6 or fails to pay any premium thereon or</w:t>
      </w:r>
      <w:r>
        <w:rPr>
          <w:rFonts w:ascii="Arial" w:cs="Arial" w:eastAsia="Arial" w:hAnsi="Arial"/>
          <w:sz w:val="17"/>
          <w:szCs w:val="17"/>
          <w:b w:val="1"/>
          <w:bCs w:val="1"/>
          <w:color w:val="auto"/>
        </w:rPr>
        <w:t xml:space="preserve"> </w:t>
      </w:r>
      <w:r>
        <w:rPr>
          <w:rFonts w:ascii="Arial" w:cs="Arial" w:eastAsia="Arial" w:hAnsi="Arial"/>
          <w:sz w:val="17"/>
          <w:szCs w:val="17"/>
          <w:color w:val="auto"/>
        </w:rPr>
        <w:t>fails to pay any other amount which Borrower is obligated to pay under this Agreement or any other Loan Document or which may be required to preserve the Collateral, Agent may obtain such insurance or make such payment, and all amounts so paid by Agent are Lenders’ Expenses and immediately due and payable, bearing interest at the then highest rate applicable to the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or any Lender’s waiver of any Event of Default.</w:t>
      </w:r>
    </w:p>
    <w:p>
      <w:pPr>
        <w:spacing w:after="0" w:line="173"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6"/>
          <w:szCs w:val="16"/>
          <w:b w:val="1"/>
          <w:bCs w:val="1"/>
          <w:color w:val="auto"/>
        </w:rPr>
        <w:t xml:space="preserve">8.4 Application of Payments and Proceeds. </w:t>
      </w:r>
      <w:r>
        <w:rPr>
          <w:rFonts w:ascii="Arial" w:cs="Arial" w:eastAsia="Arial" w:hAnsi="Arial"/>
          <w:sz w:val="16"/>
          <w:szCs w:val="16"/>
          <w:color w:val="auto"/>
        </w:rPr>
        <w:t>Agent may apply any funds in its possession, whether from Borrower account balances,</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proceeds realized as the result of any collection of Accounts or other disposition of the Collateral, or otherwise, to the Obligations in such order as Agent shall determine in its sole discretion. Any surplus shall be paid to Borrower or other Persons legally entitled thereto; Borrower shall remain liable to Agent and the Lenders for any deficiency. If Agent, in its commercially reasonable discretion, directly or indirectly, enters into a deferred payment or other credit transaction with any purchaser at any sale of Collateral, Agent shall have the option, exercisable at any time, of either reducing the Obligations by the principal amount of the purchase price or deferring the reduction of the Obligations until the actual receipt by Agent of cash therefor.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8.5 Liability for Collateral. </w:t>
      </w:r>
      <w:r>
        <w:rPr>
          <w:rFonts w:ascii="Arial" w:cs="Arial" w:eastAsia="Arial" w:hAnsi="Arial"/>
          <w:sz w:val="18"/>
          <w:szCs w:val="18"/>
          <w:color w:val="auto"/>
        </w:rPr>
        <w:t>Agent’s and Lenders’ sole duty with respect to the custody, safekeeping and physical preservation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their possession or under the control of Agent and/or Lenders, under Section 9-207 of the Code or otherwise, shall be to deal with it in the same manner as Agent and/or Lenders deal with their own property consisting of similar instruments or interests. Borrower bears all risk of loss, damage or destruction of the Collateral.</w:t>
      </w:r>
    </w:p>
    <w:p>
      <w:pPr>
        <w:spacing w:after="0" w:line="18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b w:val="1"/>
          <w:bCs w:val="1"/>
          <w:color w:val="auto"/>
        </w:rPr>
        <w:t xml:space="preserve">8.6 No Waiver; Remedies Cumulative. </w:t>
      </w:r>
      <w:r>
        <w:rPr>
          <w:rFonts w:ascii="Arial" w:cs="Arial" w:eastAsia="Arial" w:hAnsi="Arial"/>
          <w:sz w:val="17"/>
          <w:szCs w:val="17"/>
          <w:color w:val="auto"/>
        </w:rPr>
        <w:t>Agent’s and any Lender’s failure, at any time or times, to require strict performance by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of any provision of this Agreement or any other Loan Document shall not waive, affect, or diminish any right of Agent or any Lender thereafter to demand strict performance and compliance herewith or therewith. No waiver hereunder shall be effective unless signed by the party granting the waiver and then is only effective for the specific instance and purpose for which it is given. Agent’s and each Lender’s rights and remedies under this Agreement and the other Loan Documents are cumulative. Agent and each Lender have all rights and remedies provided under the Code, by law, or in equity. Agent’s or any Lender’s exercise of one right or remedy is not an election and shall not preclude Agent or any Lender from exercising any other remedy under this Agreement or other remedy available at law or in equity, and Agent’s or any Lender’s waiver of any Event of Default is not a continuing waiver. Agent’s or any Lender’s delay in exercising any remedy is not a waiver, election, or acquiescence.</w:t>
      </w:r>
    </w:p>
    <w:p>
      <w:pPr>
        <w:spacing w:after="0" w:line="17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8.7 Demand Waiver. </w:t>
      </w:r>
      <w:r>
        <w:rPr>
          <w:rFonts w:ascii="Arial" w:cs="Arial" w:eastAsia="Arial" w:hAnsi="Arial"/>
          <w:sz w:val="18"/>
          <w:szCs w:val="18"/>
          <w:color w:val="auto"/>
        </w:rPr>
        <w:t>Borrower waives demand, notice of default or dishonor, notice of payment and nonpayment, notice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nonpayment at maturity, release, compromise, settlement, extension, or renewal of accounts, documents, instruments, chattel paper, and guarantees held by Agent on which Borrower is liable.</w:t>
      </w:r>
    </w:p>
    <w:p>
      <w:pPr>
        <w:spacing w:after="0" w:line="176" w:lineRule="exact"/>
        <w:rPr>
          <w:sz w:val="20"/>
          <w:szCs w:val="20"/>
          <w:color w:val="auto"/>
        </w:rPr>
      </w:pPr>
    </w:p>
    <w:p>
      <w:pPr>
        <w:ind w:left="1600" w:hanging="728"/>
        <w:spacing w:after="0"/>
        <w:tabs>
          <w:tab w:leader="none" w:pos="16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AGENT</w:t>
      </w:r>
    </w:p>
    <w:p>
      <w:pPr>
        <w:spacing w:after="0" w:line="2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Appointment and Authority.</w:t>
      </w:r>
    </w:p>
    <w:p>
      <w:pPr>
        <w:spacing w:after="0" w:line="229" w:lineRule="exact"/>
        <w:rPr>
          <w:sz w:val="20"/>
          <w:szCs w:val="20"/>
          <w:color w:val="auto"/>
        </w:rPr>
      </w:pPr>
    </w:p>
    <w:p>
      <w:pPr>
        <w:jc w:val="both"/>
        <w:ind w:firstLine="1735"/>
        <w:spacing w:after="0" w:line="263" w:lineRule="auto"/>
        <w:tabs>
          <w:tab w:leader="none" w:pos="25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Lender hereby irrevocably appoints SVB to act on its behalf as Agent hereunder and under the other Loan Documents and authorizes Agent to take such actions on its behalf and to exercise such powers as are delegated to Agent by the terms hereof or thereof, together with such actions and powers as are reasonably incidental thereto.</w:t>
      </w:r>
    </w:p>
    <w:p>
      <w:pPr>
        <w:spacing w:after="0" w:line="183" w:lineRule="exact"/>
        <w:rPr>
          <w:rFonts w:ascii="Arial" w:cs="Arial" w:eastAsia="Arial" w:hAnsi="Arial"/>
          <w:sz w:val="18"/>
          <w:szCs w:val="18"/>
          <w:color w:val="auto"/>
        </w:rPr>
      </w:pPr>
    </w:p>
    <w:p>
      <w:pPr>
        <w:jc w:val="both"/>
        <w:ind w:firstLine="1735"/>
        <w:spacing w:after="0" w:line="257" w:lineRule="auto"/>
        <w:tabs>
          <w:tab w:leader="none" w:pos="25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provisions of this Section 9 are solely for the benefit of Agent and Lenders, and Borrower shall not have rights as a third-party beneficiary of any of such provisions. Notwithstanding any provision to the contrary elsewhere in this Agreement, Agent shall not have any duties or responsibilities to any Lender or any other Person, except those expressly set forth herein, or any fiduciary relationship with any Lender, and no implied covenants, functions, responsibilities, duties, obligations or liabilities shall be read into this Agreement or any other Loan Document or otherwise exist against Agent.</w:t>
      </w:r>
    </w:p>
    <w:p>
      <w:pPr>
        <w:spacing w:after="0" w:line="184"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9.2 Delegation of Duties. </w:t>
      </w:r>
      <w:r>
        <w:rPr>
          <w:rFonts w:ascii="Arial" w:cs="Arial" w:eastAsia="Arial" w:hAnsi="Arial"/>
          <w:sz w:val="18"/>
          <w:szCs w:val="18"/>
          <w:color w:val="auto"/>
        </w:rPr>
        <w:t>Agent may perform any and all of its duties and exercise its rights and powers hereunder or under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 by or through any one or more sub-agents appointed by Agent. Agent and any such sub-agent may perform any and all of its duties and exercise its rights and powers by or through their respective Indemnified Persons. The exculpatory provisions of this Section 9.2 shall apply to any such sub-agent and to the Indemnified Persons of Agent and any such sub-agent, and shall apply to their respective activities in connection with the syndication of the credit facilities provided for herein as well as activities as Agent.</w:t>
      </w:r>
    </w:p>
    <w:p>
      <w:pPr>
        <w:spacing w:after="0" w:line="183"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9.3 Exculpatory Provisions. </w:t>
      </w:r>
      <w:r>
        <w:rPr>
          <w:rFonts w:ascii="Arial" w:cs="Arial" w:eastAsia="Arial" w:hAnsi="Arial"/>
          <w:sz w:val="18"/>
          <w:szCs w:val="18"/>
          <w:color w:val="auto"/>
        </w:rPr>
        <w:t>Agent shall have no duties or obligations except those expressly set forth herein and in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Without limiting the generality of the foregoing, Agent shall not:</w:t>
      </w:r>
    </w:p>
    <w:p>
      <w:pPr>
        <w:spacing w:after="0" w:line="166" w:lineRule="exact"/>
        <w:rPr>
          <w:sz w:val="20"/>
          <w:szCs w:val="20"/>
          <w:color w:val="auto"/>
        </w:rPr>
      </w:pPr>
    </w:p>
    <w:p>
      <w:pPr>
        <w:ind w:left="2580" w:hanging="845"/>
        <w:spacing w:after="0"/>
        <w:tabs>
          <w:tab w:leader="none" w:pos="25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be subject to any fiduciary, trust, agency or other similar duties, regardless of whether any Event of Default has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occurred and is continuing;</w:t>
      </w:r>
    </w:p>
    <w:p>
      <w:pPr>
        <w:spacing w:after="0" w:line="210"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have any duty to take any discretionary action or exercise any discretionary powers, except discretionary rights and powers expressly contemplated hereby or by the other Loan Documents that Agent is required to exercise as directed in writing by the Lenders, as applicable; provided that Agent shall not be required 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right="20"/>
        <w:spacing w:after="0" w:line="277" w:lineRule="auto"/>
        <w:rPr>
          <w:sz w:val="20"/>
          <w:szCs w:val="20"/>
          <w:color w:val="auto"/>
        </w:rPr>
      </w:pPr>
      <w:r>
        <w:rPr>
          <w:rFonts w:ascii="Arial" w:cs="Arial" w:eastAsia="Arial" w:hAnsi="Arial"/>
          <w:sz w:val="18"/>
          <w:szCs w:val="18"/>
          <w:color w:val="auto"/>
        </w:rPr>
        <w:t>take any action that, in its opinion or the opinion of its counsel, may expose Agent to liability or that is contrary to any Loan Document or applicable law; and</w:t>
      </w:r>
    </w:p>
    <w:p>
      <w:pPr>
        <w:spacing w:after="0" w:line="170" w:lineRule="exact"/>
        <w:rPr>
          <w:sz w:val="20"/>
          <w:szCs w:val="20"/>
          <w:color w:val="auto"/>
        </w:rPr>
      </w:pPr>
    </w:p>
    <w:p>
      <w:pPr>
        <w:jc w:val="both"/>
        <w:ind w:firstLine="1735"/>
        <w:spacing w:after="0" w:line="263" w:lineRule="auto"/>
        <w:tabs>
          <w:tab w:leader="none" w:pos="25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spacing w:after="0" w:line="184" w:lineRule="exact"/>
        <w:rPr>
          <w:sz w:val="20"/>
          <w:szCs w:val="20"/>
          <w:color w:val="auto"/>
        </w:rPr>
      </w:pPr>
    </w:p>
    <w:p>
      <w:pPr>
        <w:jc w:val="both"/>
        <w:ind w:right="20" w:firstLine="864"/>
        <w:spacing w:after="0" w:line="342" w:lineRule="auto"/>
        <w:rPr>
          <w:sz w:val="20"/>
          <w:szCs w:val="20"/>
          <w:color w:val="auto"/>
        </w:rPr>
      </w:pPr>
      <w:r>
        <w:rPr>
          <w:rFonts w:ascii="Arial" w:cs="Arial" w:eastAsia="Arial" w:hAnsi="Arial"/>
          <w:sz w:val="16"/>
          <w:szCs w:val="16"/>
          <w:color w:val="auto"/>
        </w:rPr>
        <w:t>Agent shall not be liable for any action taken or not taken by it (i) with the consent or at the request of the Lenders (or as Agent shall believe in good faith shall be necessary, under the circumstances as provided in Section 12.7) or (ii) in the absence of its own gross negligence or willful misconduct.</w:t>
      </w:r>
    </w:p>
    <w:p>
      <w:pPr>
        <w:spacing w:after="0" w:line="12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Event of Default, (iv) the validity, enforceability, effectiveness or genuineness of this Agreement, any other Loan Document or any other agreement, instrument or document or (v) the satisfaction of any condition set forth in Section 2 or elsewhere herein, other than to confirm receipt of items expressly required to be delivered to Agent.</w:t>
      </w:r>
    </w:p>
    <w:p>
      <w:pPr>
        <w:spacing w:after="0" w:line="18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b w:val="1"/>
          <w:bCs w:val="1"/>
          <w:color w:val="auto"/>
        </w:rPr>
        <w:t xml:space="preserve">9.4 Reliance by Agent. </w:t>
      </w:r>
      <w:r>
        <w:rPr>
          <w:rFonts w:ascii="Arial" w:cs="Arial" w:eastAsia="Arial" w:hAnsi="Arial"/>
          <w:sz w:val="17"/>
          <w:szCs w:val="17"/>
          <w:color w:val="auto"/>
        </w:rPr>
        <w:t>Agent shall be entitled to rely upon, and shall not incur any liability for relying upon, any notice,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consent, statement, instrument,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 telephone and believed by it to have been made by the proper Person, and shall not incur any liability for relying thereon. Agent may consult with legal counsel (who may be counsel for Borrower), independent accountants and other experts selected by it, and shall not be liable for any action taken or not taken by it in accordance with the advice of any such counsel, accountants or experts. In determining compliance with any condition hereunder to the making of a Credit Extension that, by its terms, must be fulfilled to the satisfaction of a Lender, Agent may presume that such condition is satisfactory to such Lender unless Agent shall have received notice to the contrary from such Lender prior to the making of such Credit Extension. Agent shall in all cases be fully protected in acting, or in refraining from acting, under this Agreement and the other Loan Documents in accordance with a request of the Lenders, and such request and any action taken or failure to act pursuant thereto shall be binding upon Lenders and all future holders of the Credit Extensions.</w:t>
      </w:r>
    </w:p>
    <w:p>
      <w:pPr>
        <w:spacing w:after="0" w:line="18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9.5 Notice of Default</w:t>
      </w:r>
      <w:r>
        <w:rPr>
          <w:rFonts w:ascii="Arial" w:cs="Arial" w:eastAsia="Arial" w:hAnsi="Arial"/>
          <w:sz w:val="18"/>
          <w:szCs w:val="18"/>
          <w:color w:val="auto"/>
        </w:rPr>
        <w:t>. Agent shall not be deemed to have knowledge or notice of the occurrence of any Event of Default (except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defaults in the payment of principal, interest or fees required to be paid to Agent for the account of Lenders), unless Agent has received notice from a Lender or Borrower referring to this Agreement, describing such Event of Default and stating that such notice is a “notice of default”. In the event that Agent receives such a notice, Agent shall give notice thereof to Lenders. Agent shall take such action with respect to such Event of Default as shall be reasonably directed by the Lenders.</w:t>
      </w:r>
    </w:p>
    <w:p>
      <w:pPr>
        <w:spacing w:after="0" w:line="183"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b w:val="1"/>
          <w:bCs w:val="1"/>
          <w:color w:val="auto"/>
        </w:rPr>
        <w:t>9.6 Non-Reliance on Agent and Other Lenders</w:t>
      </w:r>
      <w:r>
        <w:rPr>
          <w:rFonts w:ascii="Arial" w:cs="Arial" w:eastAsia="Arial" w:hAnsi="Arial"/>
          <w:sz w:val="16"/>
          <w:szCs w:val="16"/>
          <w:color w:val="auto"/>
        </w:rPr>
        <w:t>. Each Lender expressly acknowledges that neither Agent nor any of its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employees, agents, attorneys in fact or affiliates has made any representations or warranties to it and that no act by Agent hereafter taken, including any review of the affairs of a Group Member or any Affiliate of a Group Member, shall be deemed to constitute any representation or warranty by Agent to any Lender. Each Lender represents to Agent that it has, independently and without reliance upon Agent or any other Lender, and based on such documents and information as it has deemed appropriate, made its own appraisal of, and investigation into, the business, operations, property, financial and other condition and creditworthiness of the Group Members and their Affiliates and made its own decision to make its Credit Extensions hereunder and enter into this Agreement. Each Lender also represents that it will, independently and without reliance upon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Group Members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both"/>
        <w:spacing w:after="0" w:line="259" w:lineRule="auto"/>
        <w:rPr>
          <w:sz w:val="20"/>
          <w:szCs w:val="20"/>
          <w:color w:val="auto"/>
        </w:rPr>
      </w:pPr>
      <w:r>
        <w:rPr>
          <w:rFonts w:ascii="Arial" w:cs="Arial" w:eastAsia="Arial" w:hAnsi="Arial"/>
          <w:sz w:val="18"/>
          <w:szCs w:val="18"/>
          <w:color w:val="auto"/>
        </w:rPr>
        <w:t>and their Affiliates. Except for notices, reports and other documents expressly required to be furnished to Lenders by Agent hereunder,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Agent or any of its officers, directors, employees, agents, attorneys in fact or Affiliates.</w:t>
      </w:r>
    </w:p>
    <w:p>
      <w:pPr>
        <w:spacing w:after="0" w:line="183"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b w:val="1"/>
          <w:bCs w:val="1"/>
          <w:color w:val="auto"/>
        </w:rPr>
        <w:t>9.7 Indemnification</w:t>
      </w:r>
      <w:r>
        <w:rPr>
          <w:rFonts w:ascii="Arial" w:cs="Arial" w:eastAsia="Arial" w:hAnsi="Arial"/>
          <w:sz w:val="17"/>
          <w:szCs w:val="17"/>
          <w:color w:val="auto"/>
        </w:rPr>
        <w:t>. Each Lender agrees to indemnify Agent in its capacity as such (to the extent not reimbursed by Borrower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without limiting the obligation of Borrower to do so in accordance with the terms hereof, according to its Term Loan Commitment Percentage in effect on the date on which indemnification is sought under this Section 9.7 (or, if indemnification is sought after the date upon which the Commitments shall have terminated and the Obligations shall have been paid in full, in accordance with its Term Loan Commitment Percentage immediately prior to such date), from and against any and all liabilities, obligations, losses, damages, penalties, actions, judgments, suits, costs, expenses or disbursements of any kind whatsoever that may at any time (whether before or after the payment of the Credit Extensions) be imposed on, incurred by or asserted against Agent in any way relating to or arising out of, the Commitments, this Agreement, any of the other Loan Documents or any documents contemplated by or referred to herein or therein or the transactions contemplated hereby or thereby or any action taken or omitted by Agent under or in connection with any of the foregoing;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Agent’s gross negligence or willful misconduct. The agreements in this Section shall survive the payment of the Credit Extensions and all other amounts payable hereunder.</w:t>
      </w:r>
    </w:p>
    <w:p>
      <w:pPr>
        <w:spacing w:after="0" w:line="17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9.8 Agent in Its Individual Capacity</w:t>
      </w:r>
      <w:r>
        <w:rPr>
          <w:rFonts w:ascii="Arial" w:cs="Arial" w:eastAsia="Arial" w:hAnsi="Arial"/>
          <w:sz w:val="18"/>
          <w:szCs w:val="18"/>
          <w:color w:val="auto"/>
        </w:rPr>
        <w:t>. The Person serving as Agent hereunder shall have the same rights and powers in its capacity as</w:t>
      </w:r>
      <w:r>
        <w:rPr>
          <w:rFonts w:ascii="Arial" w:cs="Arial" w:eastAsia="Arial" w:hAnsi="Arial"/>
          <w:sz w:val="18"/>
          <w:szCs w:val="18"/>
          <w:b w:val="1"/>
          <w:bCs w:val="1"/>
          <w:color w:val="auto"/>
        </w:rPr>
        <w:t xml:space="preserve"> </w:t>
      </w:r>
      <w:r>
        <w:rPr>
          <w:rFonts w:ascii="Arial" w:cs="Arial" w:eastAsia="Arial" w:hAnsi="Arial"/>
          <w:sz w:val="18"/>
          <w:szCs w:val="18"/>
          <w:color w:val="auto"/>
        </w:rPr>
        <w:t>a Lender as any other Lender and may exercise the same as though it were not Agent and the term “Lender” or “Lenders” shall, unless otherwise expressly indicated or unless the context otherwise requires, include each such Person serving as Agent hereunder in its individual capacity. Such Person and its Affiliates may accept deposits from, lend money to, act as the financial advisor or in any other advisory capacity for and generally engage in any kind of business with Borrower, any Guarantor or any Subsidiary or other Affiliate thereof as if such Person were not Agent hereunder and without any duty to account therefor to Lenders.</w:t>
      </w:r>
    </w:p>
    <w:p>
      <w:pPr>
        <w:spacing w:after="0" w:line="187"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6"/>
          <w:szCs w:val="16"/>
          <w:b w:val="1"/>
          <w:bCs w:val="1"/>
          <w:color w:val="auto"/>
        </w:rPr>
        <w:t>9.9 Successor Agent</w:t>
      </w:r>
      <w:r>
        <w:rPr>
          <w:rFonts w:ascii="Arial" w:cs="Arial" w:eastAsia="Arial" w:hAnsi="Arial"/>
          <w:sz w:val="16"/>
          <w:szCs w:val="16"/>
          <w:color w:val="auto"/>
        </w:rPr>
        <w:t>. Agent may at any time give notice of its resignation to Lenders and Borrower, which resignation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until the time at which the majority of the Lenders have delivered to Agent their written consent to such resignation. Upon receipt of any such notice of resignation, the Lenders shall have the right, in consultation with Borrower, to appoint a successor, which shall be a financial institution with an office in the State of California, or an Affiliate of any such bank with an office in the State of California. If no such successor shall have been so appointed by the Lenders and shall have accepted such appointment within thirty (30) days after the retiring Agent has received the written consent of the majority of the Lenders to such resignation, then the retiring Agent may on behalf of Lenders, appoint a successor Agent meeting the qualifications set forth above; provided that in no event shall any such successor Agent be a Defaulting Lender and provided further that if the retiring Agent shall notify Borrower and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Agent on behalf of the Lenders under any of the Loan Documents, the retiring Agent shall continue to hold such collateral security until such time as a successor Agent is appointed and such collateral security is assigned to such successor Agent) and (2) all payments, communications and determinations provided to be made by, to or through Agent shall instead be made by or to each Lender directly, until such time as the Lenders appoint a successor Agent as provided for above in this Section 9.9.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9.9). The fees payable by Borrower to a successor Agent shall be the same as those payable to its predecessor unless otherwise agreed between Borrower and such successor. After the retiring Agent’s resignation hereunder and under the other Loan Documents, the provisions of this Section 9 shall continue in effect for the benefit of such retiring Agent, its sub-agents and their respective Indemnified Persons in respect of any actions taken or omitted to be taken by any of them while the retiring Agent was acting as Agent.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tbl>
      <w:tblPr>
        <w:tblLayout w:type="fixed"/>
        <w:tblInd w:w="880" w:type="dxa"/>
        <w:tblCellMar>
          <w:top w:w="0" w:type="dxa"/>
          <w:left w:w="0" w:type="dxa"/>
          <w:bottom w:w="0" w:type="dxa"/>
          <w:right w:w="0" w:type="dxa"/>
        </w:tblCellMar>
      </w:tblPr>
      <w:tr>
        <w:trPr>
          <w:trHeight w:val="234"/>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9.10</w:t>
            </w:r>
          </w:p>
        </w:tc>
        <w:tc>
          <w:tcPr>
            <w:tcW w:w="9780" w:type="dxa"/>
            <w:vAlign w:val="bottom"/>
            <w:gridSpan w:val="3"/>
          </w:tcPr>
          <w:p>
            <w:pPr>
              <w:ind w:left="380"/>
              <w:spacing w:after="0"/>
              <w:rPr>
                <w:sz w:val="20"/>
                <w:szCs w:val="20"/>
                <w:color w:val="auto"/>
              </w:rPr>
            </w:pPr>
            <w:r>
              <w:rPr>
                <w:rFonts w:ascii="Arial" w:cs="Arial" w:eastAsia="Arial" w:hAnsi="Arial"/>
                <w:sz w:val="18"/>
                <w:szCs w:val="18"/>
                <w:b w:val="1"/>
                <w:bCs w:val="1"/>
                <w:color w:val="auto"/>
              </w:rPr>
              <w:t>Defaulting Lender.</w:t>
            </w:r>
          </w:p>
        </w:tc>
      </w:tr>
      <w:tr>
        <w:trPr>
          <w:trHeight w:val="391"/>
        </w:trPr>
        <w:tc>
          <w:tcPr>
            <w:tcW w:w="580" w:type="dxa"/>
            <w:vAlign w:val="bottom"/>
          </w:tcPr>
          <w:p>
            <w:pPr>
              <w:spacing w:after="0"/>
              <w:rPr>
                <w:sz w:val="24"/>
                <w:szCs w:val="24"/>
                <w:color w:val="auto"/>
              </w:rPr>
            </w:pPr>
          </w:p>
        </w:tc>
        <w:tc>
          <w:tcPr>
            <w:tcW w:w="1780" w:type="dxa"/>
            <w:vAlign w:val="bottom"/>
          </w:tcPr>
          <w:p>
            <w:pPr>
              <w:ind w:left="280"/>
              <w:spacing w:after="0"/>
              <w:rPr>
                <w:sz w:val="20"/>
                <w:szCs w:val="20"/>
                <w:color w:val="auto"/>
              </w:rPr>
            </w:pPr>
            <w:r>
              <w:rPr>
                <w:rFonts w:ascii="Arial" w:cs="Arial" w:eastAsia="Arial" w:hAnsi="Arial"/>
                <w:sz w:val="18"/>
                <w:szCs w:val="18"/>
                <w:color w:val="auto"/>
              </w:rPr>
              <w:t>(a)</w:t>
            </w: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Defaulting Lender Adjustments. Notwithstanding anything to the contrary contained in this Agreement, if any</w:t>
            </w:r>
          </w:p>
        </w:tc>
      </w:tr>
      <w:tr>
        <w:trPr>
          <w:trHeight w:val="20"/>
        </w:trPr>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Lender becomes a Defaulting Lender, then, until such time as such Lender is no longer a Defaulting Lender, to the extent permitted by applicable law:</w:t>
      </w:r>
    </w:p>
    <w:p>
      <w:pPr>
        <w:spacing w:after="0" w:line="248" w:lineRule="exact"/>
        <w:rPr>
          <w:sz w:val="20"/>
          <w:szCs w:val="20"/>
          <w:color w:val="auto"/>
        </w:rPr>
      </w:pPr>
    </w:p>
    <w:p>
      <w:pPr>
        <w:jc w:val="both"/>
        <w:ind w:left="2600"/>
        <w:spacing w:after="0" w:line="263"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long as said Lender is a Defaulting Lender.</w:t>
      </w:r>
    </w:p>
    <w:p>
      <w:pPr>
        <w:spacing w:after="0" w:line="184" w:lineRule="exact"/>
        <w:rPr>
          <w:sz w:val="20"/>
          <w:szCs w:val="20"/>
          <w:color w:val="auto"/>
        </w:rPr>
      </w:pPr>
    </w:p>
    <w:p>
      <w:pPr>
        <w:jc w:val="both"/>
        <w:ind w:left="2600"/>
        <w:spacing w:after="0" w:line="284" w:lineRule="auto"/>
        <w:tabs>
          <w:tab w:leader="none" w:pos="346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Agent for the account of such Defaulting Lender (whether voluntary or mandatory, at maturity, pursuant to Section 7 or otherwise, and including any amounts made available to the Agent by such Defaulting Lender pursuant to Section 12.10), shall be applied at such time or times as may be determined by the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Borrower may request (so long as no Event of Default exists), to the funding of any Term Loan Advance in respect of which such Defaulting Lender has failed to fund its portion thereof as required by this Agreement, as determined by the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Agent and Borrower, to be held in a Deposit Account and released pro rata to satisfy such Defaulting Lender’s potential future funding obligations with respect to Term Loan Advances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so long as no Event of Default has occurred and is continuing,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such payment is a payment of the principal amount of any Term Loan Advances in respect of which such Defaulting Lender has not fully funded its appropriate share and (B) such Term Loan Advances were made at a time when the conditions set forth in Section 2.1 were satisfied or waived, such payment shall be applied solely to pay the Term Loan Advance of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Term Loan Advances of such Defaulting Lender until such time as all Term Loan Advances are held by the Lenders pro rata in accordance with the Term Loan Commitments under this Agreement. Any payments, prepayments or other amounts paid or payable to a Defaulting Lender that are applied (or held) to pay amounts owed by a Defaulting Lender pursuant to this Section 9.10(a)(ii) shall be deemed paid to and redirected by such Defaulting Lender, and each Lender irrevocably consents hereto.</w:t>
      </w:r>
    </w:p>
    <w:p>
      <w:pPr>
        <w:spacing w:after="0" w:line="179" w:lineRule="exact"/>
        <w:rPr>
          <w:rFonts w:ascii="Arial" w:cs="Arial" w:eastAsia="Arial" w:hAnsi="Arial"/>
          <w:sz w:val="16"/>
          <w:szCs w:val="16"/>
          <w:color w:val="auto"/>
        </w:rPr>
      </w:pPr>
    </w:p>
    <w:p>
      <w:pPr>
        <w:jc w:val="both"/>
        <w:ind w:left="2600"/>
        <w:spacing w:after="0" w:line="263" w:lineRule="auto"/>
        <w:tabs>
          <w:tab w:leader="none" w:pos="351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Defaulting Lender shall be entitled to receive any fee pursuant to Section 1.3(b) for any period during which such Lender is a Defaulting Lender (and Borrower shall not be required to pay any such fee that otherwise would have been required to have been paid to such Defaulting Lender).</w:t>
      </w:r>
    </w:p>
    <w:p>
      <w:pPr>
        <w:spacing w:after="0" w:line="184"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Borrower and Agent agree in writing that a Lender is no longer a Defaulting Lender, Agent will so notify the parties hereto, whereupon as of the effective date specified in such notice and subject to any conditions set forth therein, such Lender will, to the extent applicable, purchase at par that portion of outstanding Term Loan Advances of the other Lenders or take such other actions as Agent may determine to be necessary to cause the Term Loan Advances to be held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by the Lenders in accordance with their respective Term Loan Commitment Percentages,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ind w:firstLine="1727"/>
        <w:spacing w:after="0" w:line="255"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Termination of Defaulting Lender</w:t>
      </w:r>
      <w:r>
        <w:rPr>
          <w:rFonts w:ascii="Arial" w:cs="Arial" w:eastAsia="Arial" w:hAnsi="Arial"/>
          <w:sz w:val="18"/>
          <w:szCs w:val="18"/>
          <w:color w:val="auto"/>
        </w:rPr>
        <w:t xml:space="preserve">. Borrower may terminate the unused amount of the Term Loan Commitment of any Lender that is a Defaulting Lender upon not less than ten (10) Business Days’ prior notice to Agent (which shall promptly notify the Lenders thereof), and in such event the provisions of Section 9.10(a)(ii) will apply to all amounts thereafter paid by Borrower for the account of such Defaulting Lender under this Agreement (whether on account of principal, interest, fees, indemnity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Event of Default shall have occurred and be continuing, and (ii) such termination shall not be deemed to be a waiver or release of any claim Borrower, Agent or any Lender may have against such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-442595</wp:posOffset>
            </wp:positionV>
            <wp:extent cx="368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72"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7"/>
          <w:szCs w:val="17"/>
          <w:color w:val="auto"/>
        </w:rPr>
        <w:t>(d) If the Person serving as Agent is a Defaulting Lender pursuant to clause (d) of the definition thereof, the non-Defaulting Lenders may, to the extent permitted by applicable law, by notice in writing to Borrower and such Person, remove such Person as Agent and, in consultation with Borrower, appoint a successor. If no such successor shall have been so appointed by the non-Defaulting Lenders and shall have accepted such appointment within thirty (30) days (or such earlier day as shall be agreed by the non-Defaulting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Erroneous Payments</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86" w:lineRule="auto"/>
        <w:tabs>
          <w:tab w:leader="none" w:pos="257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Agent notifies a Lender or any Person who has received funds on behalf of a Lender (any such Lender or other recipient, a “</w:t>
      </w:r>
      <w:r>
        <w:rPr>
          <w:rFonts w:ascii="Arial" w:cs="Arial" w:eastAsia="Arial" w:hAnsi="Arial"/>
          <w:sz w:val="16"/>
          <w:szCs w:val="16"/>
          <w:b w:val="1"/>
          <w:bCs w:val="1"/>
          <w:color w:val="auto"/>
        </w:rPr>
        <w:t>Payment Recipient</w:t>
      </w:r>
      <w:r>
        <w:rPr>
          <w:rFonts w:ascii="Arial" w:cs="Arial" w:eastAsia="Arial" w:hAnsi="Arial"/>
          <w:sz w:val="16"/>
          <w:szCs w:val="16"/>
          <w:color w:val="auto"/>
        </w:rPr>
        <w:t>”) that the Agent has determined in its sole discretion (whether or not after receipt of any notice under immediately succeeding clause (b)) that any funds received by such Payment Recipient from the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6"/>
          <w:szCs w:val="16"/>
          <w:b w:val="1"/>
          <w:bCs w:val="1"/>
          <w:color w:val="auto"/>
        </w:rPr>
        <w:t>Erroneous Payment</w:t>
      </w:r>
      <w:r>
        <w:rPr>
          <w:rFonts w:ascii="Arial" w:cs="Arial" w:eastAsia="Arial" w:hAnsi="Arial"/>
          <w:sz w:val="16"/>
          <w:szCs w:val="16"/>
          <w:color w:val="auto"/>
        </w:rPr>
        <w:t>”) and demands the return of such Erroneous Payment (or a portion thereof), such Erroneous Payment shall at all times remain the property of the Agent and shall be segregated by the Payment Recipient and held in trust for the benefit of the Agent, and such Lender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Federal Funds Effective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173" w:lineRule="exact"/>
        <w:rPr>
          <w:rFonts w:ascii="Arial" w:cs="Arial" w:eastAsia="Arial" w:hAnsi="Arial"/>
          <w:sz w:val="16"/>
          <w:szCs w:val="16"/>
          <w:color w:val="auto"/>
        </w:rPr>
      </w:pPr>
    </w:p>
    <w:p>
      <w:pPr>
        <w:jc w:val="both"/>
        <w:ind w:firstLine="1735"/>
        <w:spacing w:after="0" w:line="293" w:lineRule="auto"/>
        <w:tabs>
          <w:tab w:leader="none" w:pos="2585"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Without limiting immediately preceding clause (a), each Lender or any Person who has received funds on behalf of a Lender, hereby further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other such recipient, otherwise becomes aware was transmitted, or received, in error or by mistake (in whole or in part) in each case:</w:t>
      </w:r>
    </w:p>
    <w:p>
      <w:pPr>
        <w:spacing w:after="0" w:line="164" w:lineRule="exact"/>
        <w:rPr>
          <w:rFonts w:ascii="Arial" w:cs="Arial" w:eastAsia="Arial" w:hAnsi="Arial"/>
          <w:sz w:val="16"/>
          <w:szCs w:val="16"/>
          <w:color w:val="auto"/>
        </w:rPr>
      </w:pPr>
    </w:p>
    <w:p>
      <w:pPr>
        <w:jc w:val="both"/>
        <w:ind w:left="1740" w:firstLine="726"/>
        <w:spacing w:after="0" w:line="263" w:lineRule="auto"/>
        <w:tabs>
          <w:tab w:leader="none" w:pos="3369" w:val="left"/>
        </w:tabs>
        <w:numPr>
          <w:ilvl w:val="1"/>
          <w:numId w:val="97"/>
        </w:numPr>
        <w:rPr>
          <w:rFonts w:ascii="Arial" w:cs="Arial" w:eastAsia="Arial" w:hAnsi="Arial"/>
          <w:sz w:val="18"/>
          <w:szCs w:val="18"/>
          <w:color w:val="auto"/>
        </w:rPr>
      </w:pPr>
      <w:r>
        <w:rPr>
          <w:rFonts w:ascii="Arial" w:cs="Arial" w:eastAsia="Arial" w:hAnsi="Arial"/>
          <w:sz w:val="18"/>
          <w:szCs w:val="18"/>
          <w:color w:val="auto"/>
        </w:rPr>
        <w:t>(i) (1) in the case of immediately preceding clauses (x) or (y), an error shall be presumed to have been made (absent written confirmation from the Agent to the contrary) or (2) an error has been made (in the case of immediately preceding clause (z)), in each case, with respect to such payment, prepayment or repayment; and</w:t>
      </w:r>
    </w:p>
    <w:p>
      <w:pPr>
        <w:spacing w:after="0" w:line="183" w:lineRule="exact"/>
        <w:rPr>
          <w:rFonts w:ascii="Arial" w:cs="Arial" w:eastAsia="Arial" w:hAnsi="Arial"/>
          <w:sz w:val="18"/>
          <w:szCs w:val="18"/>
          <w:color w:val="auto"/>
        </w:rPr>
      </w:pPr>
    </w:p>
    <w:p>
      <w:pPr>
        <w:jc w:val="both"/>
        <w:ind w:left="1740" w:firstLine="726"/>
        <w:spacing w:after="0" w:line="259" w:lineRule="auto"/>
        <w:tabs>
          <w:tab w:leader="none" w:pos="3359"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such Lender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Section 9.11(b).</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jc w:val="both"/>
        <w:ind w:firstLine="1735"/>
        <w:spacing w:after="0" w:line="263" w:lineRule="auto"/>
        <w:tabs>
          <w:tab w:leader="none" w:pos="25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Lender hereby authorizes the Agent to set off, net and apply any and all amounts at any time owing to such Lender under any Loan Document, or otherwise payable or distributable by the Agent to such Lender from any source, against any amount due to the Agent under clause (a) hereof or under the indemnification provisions of this Agreement.</w:t>
      </w:r>
    </w:p>
    <w:p>
      <w:pPr>
        <w:spacing w:after="0" w:line="183" w:lineRule="exact"/>
        <w:rPr>
          <w:rFonts w:ascii="Arial" w:cs="Arial" w:eastAsia="Arial" w:hAnsi="Arial"/>
          <w:sz w:val="18"/>
          <w:szCs w:val="18"/>
          <w:color w:val="auto"/>
        </w:rPr>
      </w:pPr>
    </w:p>
    <w:p>
      <w:pPr>
        <w:jc w:val="both"/>
        <w:ind w:firstLine="1735"/>
        <w:spacing w:after="0" w:line="267" w:lineRule="auto"/>
        <w:tabs>
          <w:tab w:leader="none" w:pos="2585"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the event that an Erroneous Payment (or portion thereof) is not recovered by the Agent for any reason, after demand therefor by the Agent in accordance with clause (a) hereof,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7"/>
          <w:szCs w:val="17"/>
          <w:b w:val="1"/>
          <w:bCs w:val="1"/>
          <w:color w:val="auto"/>
        </w:rPr>
        <w:t>Erroneous</w:t>
      </w:r>
      <w:r>
        <w:rPr>
          <w:rFonts w:ascii="Arial" w:cs="Arial" w:eastAsia="Arial" w:hAnsi="Arial"/>
          <w:sz w:val="17"/>
          <w:szCs w:val="17"/>
          <w:color w:val="auto"/>
        </w:rPr>
        <w:t xml:space="preserve"> </w:t>
      </w:r>
      <w:r>
        <w:rPr>
          <w:rFonts w:ascii="Arial" w:cs="Arial" w:eastAsia="Arial" w:hAnsi="Arial"/>
          <w:sz w:val="17"/>
          <w:szCs w:val="17"/>
          <w:b w:val="1"/>
          <w:bCs w:val="1"/>
          <w:color w:val="auto"/>
        </w:rPr>
        <w:t>Payment Return Deficiency</w:t>
      </w:r>
      <w:r>
        <w:rPr>
          <w:rFonts w:ascii="Arial" w:cs="Arial" w:eastAsia="Arial" w:hAnsi="Arial"/>
          <w:sz w:val="17"/>
          <w:szCs w:val="17"/>
          <w:color w:val="auto"/>
        </w:rPr>
        <w:t>”), upon the Agent’s notice to such Lender at any time, (i) such Lender shall be deemed to have assigned all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owing from Borrower to such Lender hereunder (but not its Term Loan Commitments) with respect to which such Erroneous Payment was made in an amount equal to the Erroneous Payment Return Deficiency (or such lesser amount as the Agent may specify) (such assignment of the Loans (but not Commitments), the “</w:t>
      </w:r>
      <w:r>
        <w:rPr>
          <w:rFonts w:ascii="Arial" w:cs="Arial" w:eastAsia="Arial" w:hAnsi="Arial"/>
          <w:sz w:val="17"/>
          <w:szCs w:val="17"/>
          <w:b w:val="1"/>
          <w:bCs w:val="1"/>
          <w:color w:val="auto"/>
        </w:rPr>
        <w:t>Erroneous Payment Deficiency Assignment</w:t>
      </w:r>
      <w:r>
        <w:rPr>
          <w:rFonts w:ascii="Arial" w:cs="Arial" w:eastAsia="Arial" w:hAnsi="Arial"/>
          <w:sz w:val="17"/>
          <w:szCs w:val="17"/>
          <w:color w:val="auto"/>
        </w:rPr>
        <w:t>”) at par plus any accrued and unpaid interest (with the assignment fee to be waived by the Agent in such instance), and is hereby (together with the Borrower) deemed to execute and deliver an Assignment and Assumption with respect to such Erroneous Payment Deficiency Assignment, and such Lender shall deliver any promissory notes (if any) evidencing such Obligations to the Borrower or the Agent, (ii) the Agent as the assignee Lender shall be deemed to acquire the Erroneous Payment Deficiency Assignment, (iii) upon such deemed acquisition, the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Term Loan Commitments which shall survive as to such assigning Lender, and (iv) the Agent may reflect in the register (if any) its ownership interest in the Obligations subject to the Erroneous Payment Deficiency Assignment. The Agent may, in its discretion, sell any Obligations acquired pursuant to an Erroneous Payment Deficiency Assignment and upon receipt of the proceeds of such sale, the Erroneous Payment Return Deficiency owing by the applicable Lender shall be reduced by the net proceeds of the sale of such portion of the Obligations, and the Agent shall retain all other rights, remedies and claims against such Lender (and/or against any recipient that receives funds on its respective behalf). For the avoidance of doubt, no Erroneous Payment Deficiency Assignment will reduce the Term Loan Commitments of any Lender and such Term Loan Commitments shall remain available in accordance with the terms of this Agreement. In addition, each party hereto agrees that, except to the extent that the Agent has sold any portion of the Obligations acquired pursuant to an Erroneous Payment Deficiency Assignment, and irrespective of whether the Agent may be equitably subrogated, the Agent shall be contractually subrogated to all the rights and interests of the applicable Lender under the Loan Documents with respect to each Erroneous Payment Return Deficiency (the “</w:t>
      </w:r>
      <w:r>
        <w:rPr>
          <w:rFonts w:ascii="Arial" w:cs="Arial" w:eastAsia="Arial" w:hAnsi="Arial"/>
          <w:sz w:val="17"/>
          <w:szCs w:val="17"/>
          <w:b w:val="1"/>
          <w:bCs w:val="1"/>
          <w:color w:val="auto"/>
        </w:rPr>
        <w:t>Erroneous Payment</w:t>
      </w:r>
      <w:r>
        <w:rPr>
          <w:rFonts w:ascii="Arial" w:cs="Arial" w:eastAsia="Arial" w:hAnsi="Arial"/>
          <w:sz w:val="17"/>
          <w:szCs w:val="17"/>
          <w:color w:val="auto"/>
        </w:rPr>
        <w:t xml:space="preserve"> </w:t>
      </w:r>
      <w:r>
        <w:rPr>
          <w:rFonts w:ascii="Arial" w:cs="Arial" w:eastAsia="Arial" w:hAnsi="Arial"/>
          <w:sz w:val="17"/>
          <w:szCs w:val="17"/>
          <w:b w:val="1"/>
          <w:bCs w:val="1"/>
          <w:color w:val="auto"/>
        </w:rPr>
        <w:t>Subrogation Rights</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firstLine="1735"/>
        <w:spacing w:after="0" w:line="259" w:lineRule="auto"/>
        <w:tabs>
          <w:tab w:leader="none" w:pos="25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parties hereto agree that an Erroneous Payment shall not pay, prepay, repay, discharge or otherwise satisfy any Obligations owed by the Borrower or any Guarantor, except, in each case, to the extent such Erroneous Payment is, and solely with respect to the amount of such Erroneous Payment that is, comprised of funds received by the Agent from the Borrower or any Guarantor for the purpose of making such Erroneous Payment.</w:t>
      </w:r>
    </w:p>
    <w:p>
      <w:pPr>
        <w:spacing w:after="0" w:line="186" w:lineRule="exact"/>
        <w:rPr>
          <w:rFonts w:ascii="Arial" w:cs="Arial" w:eastAsia="Arial" w:hAnsi="Arial"/>
          <w:sz w:val="18"/>
          <w:szCs w:val="18"/>
          <w:color w:val="auto"/>
        </w:rPr>
      </w:pPr>
    </w:p>
    <w:p>
      <w:pPr>
        <w:jc w:val="both"/>
        <w:ind w:firstLine="1735"/>
        <w:spacing w:after="0" w:line="259" w:lineRule="auto"/>
        <w:tabs>
          <w:tab w:leader="none" w:pos="25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any defense based on “discharge for value” or any similar doctrine</w:t>
      </w:r>
    </w:p>
    <w:p>
      <w:pPr>
        <w:spacing w:after="0" w:line="186"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party’s obligations, agreements and waivers under this Section 9.11 shall survive the resignation or replacement of the Agent, any transfer of rights or obligations by, or the replacement of, a Lender, the termination of the Term Loan Commitments and/or the repayment, satisfaction or discharge of all Obligations (or any portion thereof) under any Loan Document.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ind w:left="1700" w:hanging="828"/>
        <w:spacing w:after="0"/>
        <w:tabs>
          <w:tab w:leader="none" w:pos="17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Agent or Borrower may change its mailing or electronic mail address by giving the other party written notice thereof in accordance with the terms of this Section 10.</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380" w:type="dxa"/>
            <w:vAlign w:val="bottom"/>
          </w:tcPr>
          <w:p>
            <w:pPr>
              <w:jc w:val="center"/>
              <w:ind w:right="850"/>
              <w:spacing w:after="0"/>
              <w:rPr>
                <w:sz w:val="20"/>
                <w:szCs w:val="20"/>
                <w:color w:val="auto"/>
              </w:rPr>
            </w:pPr>
            <w:r>
              <w:rPr>
                <w:rFonts w:ascii="Arial" w:cs="Arial" w:eastAsia="Arial" w:hAnsi="Arial"/>
                <w:sz w:val="18"/>
                <w:szCs w:val="18"/>
                <w:color w:val="auto"/>
                <w:w w:val="95"/>
              </w:rPr>
              <w:t>If to Borrower:</w:t>
            </w:r>
          </w:p>
        </w:tc>
        <w:tc>
          <w:tcPr>
            <w:tcW w:w="4500" w:type="dxa"/>
            <w:vAlign w:val="bottom"/>
          </w:tcPr>
          <w:p>
            <w:pPr>
              <w:ind w:left="940"/>
              <w:spacing w:after="0"/>
              <w:rPr>
                <w:sz w:val="20"/>
                <w:szCs w:val="20"/>
                <w:color w:val="auto"/>
              </w:rPr>
            </w:pPr>
            <w:r>
              <w:rPr>
                <w:rFonts w:ascii="Arial" w:cs="Arial" w:eastAsia="Arial" w:hAnsi="Arial"/>
                <w:sz w:val="18"/>
                <w:szCs w:val="18"/>
                <w:color w:val="auto"/>
              </w:rPr>
              <w:t>AVROBIO, Inc.</w:t>
            </w:r>
          </w:p>
        </w:tc>
      </w:tr>
      <w:tr>
        <w:trPr>
          <w:trHeight w:val="230"/>
        </w:trPr>
        <w:tc>
          <w:tcPr>
            <w:tcW w:w="2380" w:type="dxa"/>
            <w:vAlign w:val="bottom"/>
          </w:tcPr>
          <w:p>
            <w:pPr>
              <w:spacing w:after="0"/>
              <w:rPr>
                <w:sz w:val="20"/>
                <w:szCs w:val="20"/>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One Kendall Square</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Building 300, Suite 201</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Cambridge, MA 02139</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Attn: Erik Ostrowski</w:t>
            </w:r>
          </w:p>
        </w:tc>
      </w:tr>
      <w:tr>
        <w:trPr>
          <w:trHeight w:val="486"/>
        </w:trPr>
        <w:tc>
          <w:tcPr>
            <w:tcW w:w="2380" w:type="dxa"/>
            <w:vAlign w:val="bottom"/>
          </w:tcPr>
          <w:p>
            <w:pPr>
              <w:spacing w:after="0"/>
              <w:rPr>
                <w:sz w:val="24"/>
                <w:szCs w:val="24"/>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w w:val="91"/>
              </w:rPr>
              <w:t>with a copy to (which shall not constitute notice):</w:t>
            </w:r>
          </w:p>
        </w:tc>
      </w:tr>
      <w:tr>
        <w:trPr>
          <w:trHeight w:val="486"/>
        </w:trPr>
        <w:tc>
          <w:tcPr>
            <w:tcW w:w="2380" w:type="dxa"/>
            <w:vAlign w:val="bottom"/>
          </w:tcPr>
          <w:p>
            <w:pPr>
              <w:spacing w:after="0"/>
              <w:rPr>
                <w:sz w:val="24"/>
                <w:szCs w:val="24"/>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Goodwin Procter LLP (US)</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100 Northern Avenue</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Boston, MA 02210</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Attn: Mark D. Smith</w:t>
            </w:r>
          </w:p>
        </w:tc>
      </w:tr>
      <w:tr>
        <w:trPr>
          <w:trHeight w:val="472"/>
        </w:trPr>
        <w:tc>
          <w:tcPr>
            <w:tcW w:w="2380" w:type="dxa"/>
            <w:vAlign w:val="bottom"/>
          </w:tcPr>
          <w:p>
            <w:pPr>
              <w:jc w:val="center"/>
              <w:ind w:right="850"/>
              <w:spacing w:after="0"/>
              <w:rPr>
                <w:sz w:val="20"/>
                <w:szCs w:val="20"/>
                <w:color w:val="auto"/>
              </w:rPr>
            </w:pPr>
            <w:r>
              <w:rPr>
                <w:rFonts w:ascii="Arial" w:cs="Arial" w:eastAsia="Arial" w:hAnsi="Arial"/>
                <w:sz w:val="18"/>
                <w:szCs w:val="18"/>
                <w:color w:val="auto"/>
                <w:w w:val="96"/>
              </w:rPr>
              <w:t>If to Agent or SVB:</w:t>
            </w:r>
          </w:p>
        </w:tc>
        <w:tc>
          <w:tcPr>
            <w:tcW w:w="4500" w:type="dxa"/>
            <w:vAlign w:val="bottom"/>
          </w:tcPr>
          <w:p>
            <w:pPr>
              <w:ind w:left="940"/>
              <w:spacing w:after="0"/>
              <w:rPr>
                <w:sz w:val="20"/>
                <w:szCs w:val="20"/>
                <w:color w:val="auto"/>
              </w:rPr>
            </w:pPr>
            <w:r>
              <w:rPr>
                <w:rFonts w:ascii="Arial" w:cs="Arial" w:eastAsia="Arial" w:hAnsi="Arial"/>
                <w:sz w:val="18"/>
                <w:szCs w:val="18"/>
                <w:color w:val="auto"/>
              </w:rPr>
              <w:t>Silicon Valley Bank</w:t>
            </w:r>
          </w:p>
        </w:tc>
      </w:tr>
      <w:tr>
        <w:trPr>
          <w:trHeight w:val="230"/>
        </w:trPr>
        <w:tc>
          <w:tcPr>
            <w:tcW w:w="2380" w:type="dxa"/>
            <w:vAlign w:val="bottom"/>
          </w:tcPr>
          <w:p>
            <w:pPr>
              <w:spacing w:after="0"/>
              <w:rPr>
                <w:sz w:val="20"/>
                <w:szCs w:val="20"/>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275 Grove Street, Suite 2-200</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Newton, MA 02466</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Attn: Lauren Cole</w:t>
            </w:r>
          </w:p>
        </w:tc>
      </w:tr>
      <w:tr>
        <w:trPr>
          <w:trHeight w:val="486"/>
        </w:trPr>
        <w:tc>
          <w:tcPr>
            <w:tcW w:w="2380" w:type="dxa"/>
            <w:vAlign w:val="bottom"/>
          </w:tcPr>
          <w:p>
            <w:pPr>
              <w:spacing w:after="0"/>
              <w:rPr>
                <w:sz w:val="24"/>
                <w:szCs w:val="24"/>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w w:val="91"/>
              </w:rPr>
              <w:t>with a copy to (which shall not constitute notice):</w:t>
            </w:r>
          </w:p>
        </w:tc>
      </w:tr>
      <w:tr>
        <w:trPr>
          <w:trHeight w:val="486"/>
        </w:trPr>
        <w:tc>
          <w:tcPr>
            <w:tcW w:w="2380" w:type="dxa"/>
            <w:vAlign w:val="bottom"/>
          </w:tcPr>
          <w:p>
            <w:pPr>
              <w:spacing w:after="0"/>
              <w:rPr>
                <w:sz w:val="24"/>
                <w:szCs w:val="24"/>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DLA Piper LLP (US)</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401 B Street, Suite 1700</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San Diego, CA 92101</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Attn: Laurie E. Hutchins, Esq.</w:t>
            </w:r>
          </w:p>
        </w:tc>
      </w:tr>
      <w:tr>
        <w:trPr>
          <w:trHeight w:val="472"/>
        </w:trPr>
        <w:tc>
          <w:tcPr>
            <w:tcW w:w="2380" w:type="dxa"/>
            <w:vAlign w:val="bottom"/>
          </w:tcPr>
          <w:p>
            <w:pPr>
              <w:jc w:val="center"/>
              <w:ind w:right="850"/>
              <w:spacing w:after="0"/>
              <w:rPr>
                <w:sz w:val="20"/>
                <w:szCs w:val="20"/>
                <w:color w:val="auto"/>
              </w:rPr>
            </w:pPr>
            <w:r>
              <w:rPr>
                <w:rFonts w:ascii="Arial" w:cs="Arial" w:eastAsia="Arial" w:hAnsi="Arial"/>
                <w:sz w:val="18"/>
                <w:szCs w:val="18"/>
                <w:color w:val="auto"/>
                <w:w w:val="96"/>
              </w:rPr>
              <w:t>If to SVB Capital:</w:t>
            </w:r>
          </w:p>
        </w:tc>
        <w:tc>
          <w:tcPr>
            <w:tcW w:w="4500" w:type="dxa"/>
            <w:vAlign w:val="bottom"/>
          </w:tcPr>
          <w:p>
            <w:pPr>
              <w:ind w:left="940"/>
              <w:spacing w:after="0"/>
              <w:rPr>
                <w:sz w:val="20"/>
                <w:szCs w:val="20"/>
                <w:color w:val="auto"/>
              </w:rPr>
            </w:pPr>
            <w:r>
              <w:rPr>
                <w:rFonts w:ascii="Arial" w:cs="Arial" w:eastAsia="Arial" w:hAnsi="Arial"/>
                <w:sz w:val="18"/>
                <w:szCs w:val="18"/>
                <w:color w:val="auto"/>
              </w:rPr>
              <w:t>SVB Innovation Credit Fund VIII, L.P.</w:t>
            </w:r>
          </w:p>
        </w:tc>
      </w:tr>
      <w:tr>
        <w:trPr>
          <w:trHeight w:val="230"/>
        </w:trPr>
        <w:tc>
          <w:tcPr>
            <w:tcW w:w="2380" w:type="dxa"/>
            <w:vAlign w:val="bottom"/>
          </w:tcPr>
          <w:p>
            <w:pPr>
              <w:spacing w:after="0"/>
              <w:rPr>
                <w:sz w:val="20"/>
                <w:szCs w:val="20"/>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c/o SVB Capital</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2770 Sand Hill Road</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Menlo Park, CA 94025</w:t>
            </w:r>
          </w:p>
        </w:tc>
      </w:tr>
      <w:tr>
        <w:trPr>
          <w:trHeight w:val="243"/>
        </w:trPr>
        <w:tc>
          <w:tcPr>
            <w:tcW w:w="2380" w:type="dxa"/>
            <w:vAlign w:val="bottom"/>
          </w:tcPr>
          <w:p>
            <w:pPr>
              <w:spacing w:after="0"/>
              <w:rPr>
                <w:sz w:val="21"/>
                <w:szCs w:val="21"/>
                <w:color w:val="auto"/>
              </w:rPr>
            </w:pPr>
          </w:p>
        </w:tc>
        <w:tc>
          <w:tcPr>
            <w:tcW w:w="4500" w:type="dxa"/>
            <w:vAlign w:val="bottom"/>
          </w:tcPr>
          <w:p>
            <w:pPr>
              <w:ind w:left="940"/>
              <w:spacing w:after="0"/>
              <w:rPr>
                <w:sz w:val="20"/>
                <w:szCs w:val="20"/>
                <w:color w:val="auto"/>
              </w:rPr>
            </w:pPr>
            <w:r>
              <w:rPr>
                <w:rFonts w:ascii="Arial" w:cs="Arial" w:eastAsia="Arial" w:hAnsi="Arial"/>
                <w:sz w:val="18"/>
                <w:szCs w:val="18"/>
                <w:color w:val="auto"/>
              </w:rPr>
              <w:t>Attn: SVB Capital Finance and Operations</w:t>
            </w:r>
          </w:p>
        </w:tc>
      </w:tr>
    </w:tbl>
    <w:p>
      <w:pPr>
        <w:spacing w:after="0" w:line="252" w:lineRule="exact"/>
        <w:rPr>
          <w:sz w:val="20"/>
          <w:szCs w:val="20"/>
          <w:color w:val="auto"/>
        </w:rPr>
      </w:pPr>
    </w:p>
    <w:p>
      <w:pPr>
        <w:ind w:left="1680" w:hanging="808"/>
        <w:spacing w:after="0"/>
        <w:tabs>
          <w:tab w:leader="none" w:pos="16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JUDICIAL REFERENCE</w:t>
      </w:r>
    </w:p>
    <w:p>
      <w:pPr>
        <w:spacing w:after="0" w:line="229"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Except as otherwise expressly provided in any of the Loan Documents, California law governs the Loan Documents without regard to principles of conflicts of law that would require the application of the laws of another jurisdiction. Borrower, Agent, and Lenders each irrevocably and unconditionally submit to the exclusive jurisdiction of the State and Federal courts in Santa Clara County, California; provided, however, that nothing in this Agreement shall be deemed to operate to preclude Agent or Lenders from bringing suit or taking other legal action in any other jurisdiction with respect to the Loan Documents or to realize on the Collateral or any other security for the Obligations, or to enforce a judgment or other court order in favor of Agent or any Lender. Borrower expressly, irrevocably and unconditionally submits and consents in advance to such jurisdiction in any action or suit commenced in any such court, and Borrower hereby irrevocably and unconditionally waives, to the fullest extent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both"/>
        <w:spacing w:after="0" w:line="273" w:lineRule="auto"/>
        <w:rPr>
          <w:sz w:val="20"/>
          <w:szCs w:val="20"/>
          <w:color w:val="auto"/>
        </w:rPr>
      </w:pPr>
      <w:r>
        <w:rPr>
          <w:rFonts w:ascii="Arial" w:cs="Arial" w:eastAsia="Arial" w:hAnsi="Arial"/>
          <w:sz w:val="17"/>
          <w:szCs w:val="17"/>
          <w:color w:val="auto"/>
        </w:rPr>
        <w:t>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AGENT AND EACH LENDER EACH WAIVES THEIR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w:t>
      </w:r>
    </w:p>
    <w:p>
      <w:pPr>
        <w:spacing w:after="0" w:line="187"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Section 11 shall survive the termination of this Agreement and the repayment of all Obligations.</w:t>
      </w:r>
    </w:p>
    <w:p>
      <w:pPr>
        <w:spacing w:after="0" w:line="221" w:lineRule="exact"/>
        <w:rPr>
          <w:sz w:val="20"/>
          <w:szCs w:val="20"/>
          <w:color w:val="auto"/>
        </w:rPr>
      </w:pPr>
    </w:p>
    <w:p>
      <w:pPr>
        <w:ind w:left="1700" w:hanging="828"/>
        <w:spacing w:after="0"/>
        <w:tabs>
          <w:tab w:leader="none" w:pos="17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b w:val="1"/>
          <w:bCs w:val="1"/>
          <w:color w:val="auto"/>
        </w:rPr>
        <w:t xml:space="preserve">12.1 Termination Prior to the Term Loan Maturity Date; Survival. </w:t>
      </w:r>
      <w:r>
        <w:rPr>
          <w:rFonts w:ascii="Arial" w:cs="Arial" w:eastAsia="Arial" w:hAnsi="Arial"/>
          <w:sz w:val="18"/>
          <w:szCs w:val="18"/>
          <w:color w:val="auto"/>
        </w:rPr>
        <w:t>All covenants, representations and warranties made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continue in full force until this Agreement has terminated pursuant to its terms and all Obligations (other than inchoate indemnity obligations) have been satisfied. So long as Borrower has satisfied the Obligations (other than inchoate indemnity obligations, any other obligations which, by their terms, are to survive the termination of this Agreement and the repayment of all Obligations, and any Obligations under Bank Services Agreements that are cash collateralized in accordance with Section 3.1 of this Agreement), this Agreement may be terminated prior to the Term Loan Maturity Date by Borrower pursuant to Section 1.1(c) of this Agreement.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jc w:val="both"/>
        <w:ind w:firstLine="864"/>
        <w:spacing w:after="0" w:line="272" w:lineRule="auto"/>
        <w:rPr>
          <w:sz w:val="20"/>
          <w:szCs w:val="20"/>
          <w:color w:val="auto"/>
        </w:rPr>
      </w:pPr>
      <w:r>
        <w:rPr>
          <w:rFonts w:ascii="Arial" w:cs="Arial" w:eastAsia="Arial" w:hAnsi="Arial"/>
          <w:sz w:val="17"/>
          <w:szCs w:val="17"/>
          <w:b w:val="1"/>
          <w:bCs w:val="1"/>
          <w:color w:val="auto"/>
        </w:rPr>
        <w:t xml:space="preserve">12.2 Successors and Assigns. </w:t>
      </w:r>
      <w:r>
        <w:rPr>
          <w:rFonts w:ascii="Arial" w:cs="Arial" w:eastAsia="Arial" w:hAnsi="Arial"/>
          <w:sz w:val="17"/>
          <w:szCs w:val="17"/>
          <w:color w:val="auto"/>
        </w:rPr>
        <w:t>This Agreement binds and is for the benefit of the successors and permitted assigns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party. Borrower may not assign or transfer this Agreement or any rights or obligations under it without Agent and Lenders’ prior written consent (which may be granted or withheld in Agent’s and Lenders’ sole discretion) and any other attempted assignment or transfer by Borrower shall be null and void.</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Agent and each Lender has the right, without the consent of or notice to Borrower, to sell, transfer, assign, negotiate, or grant participation in all or any part of, or any interest in, such Lender’s obligations, rights, and benefits under this Agreement and the other Loan Documents. Notwithstanding the foregoing, prior to the occurrence of an Event of Default that is continuing, neither Agent nor any Lender shall assign any interest in the Loan Documents to any Person who is (a) a direct competitor of Borrower, whether as an operating company or direct or indirect parent with voting control over such operating company or (b) a distressed debt fund; provided that the minimum amount of any such sale, transfer, assignment or negotiation effected to a Person that is not an Affiliate of any Lender prior to the occurrence of an Event of Default that is continuing shall be One Million Dollars ($1,000,000).</w:t>
      </w:r>
    </w:p>
    <w:p>
      <w:pPr>
        <w:spacing w:after="0" w:line="16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jc w:val="both"/>
        <w:ind w:firstLine="1735"/>
        <w:spacing w:after="0" w:line="286" w:lineRule="auto"/>
        <w:tabs>
          <w:tab w:leader="none" w:pos="257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General Indemnification</w:t>
      </w:r>
      <w:r>
        <w:rPr>
          <w:rFonts w:ascii="Arial" w:cs="Arial" w:eastAsia="Arial" w:hAnsi="Arial"/>
          <w:sz w:val="16"/>
          <w:szCs w:val="16"/>
          <w:color w:val="auto"/>
        </w:rPr>
        <w:t>. Borrower shall indemnify, defend and hold Agent, each Lender and their respective partners, directors, officers, employees, agents, trustees, administrators, managers, advisors and representatives of Agent and its Affiliates or any Lender and its Affiliates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losses, claims, damages, liabilities and related expenses (including Lenders’ Expenses and the reasonable fees, charges and disbursements of any counsel for any Indemnified Person)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12.3 shall be payable promptly after demand therefor.</w:t>
      </w:r>
    </w:p>
    <w:p>
      <w:pPr>
        <w:spacing w:after="0" w:line="173" w:lineRule="exact"/>
        <w:rPr>
          <w:rFonts w:ascii="Arial" w:cs="Arial" w:eastAsia="Arial" w:hAnsi="Arial"/>
          <w:sz w:val="16"/>
          <w:szCs w:val="16"/>
          <w:color w:val="auto"/>
        </w:rPr>
      </w:pPr>
    </w:p>
    <w:p>
      <w:pPr>
        <w:jc w:val="both"/>
        <w:ind w:firstLine="1735"/>
        <w:spacing w:after="0" w:line="272" w:lineRule="auto"/>
        <w:tabs>
          <w:tab w:leader="none" w:pos="258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This Section 12.3 shall survive the termination of this Agreement and the repayment of all Obligations until all statutes of limitation with respect to the Claims, losses, and expenses for which indemnity is given shall have run.</w:t>
      </w:r>
    </w:p>
    <w:p>
      <w:pPr>
        <w:spacing w:after="0" w:line="166"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for the performance of all Obligations in this Agreement.</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provision.</w:t>
      </w:r>
    </w:p>
    <w:p>
      <w:pPr>
        <w:spacing w:after="0" w:line="16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12.6 Amendments in Writing; Waiver; Integration. </w:t>
      </w:r>
      <w:r>
        <w:rPr>
          <w:rFonts w:ascii="Arial" w:cs="Arial" w:eastAsia="Arial" w:hAnsi="Arial"/>
          <w:sz w:val="18"/>
          <w:szCs w:val="18"/>
          <w:color w:val="auto"/>
        </w:rPr>
        <w:t>No purported amendment or modification of any Loan Document,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or termination of any obligation under any Loan Document, shall be effective unless, and only to the extent, expressly set forth in a writing signed by Agent, with the consent of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both"/>
        <w:spacing w:after="0" w:line="291" w:lineRule="auto"/>
        <w:rPr>
          <w:sz w:val="20"/>
          <w:szCs w:val="20"/>
          <w:color w:val="auto"/>
        </w:rPr>
      </w:pPr>
      <w:r>
        <w:rPr>
          <w:rFonts w:ascii="Arial" w:cs="Arial" w:eastAsia="Arial" w:hAnsi="Arial"/>
          <w:sz w:val="16"/>
          <w:szCs w:val="16"/>
          <w:color w:val="auto"/>
        </w:rPr>
        <w:t>Lenders in accordance with the Lender Intercreditor Agreement or, if such item is not addressed in the Lender Intercreditor Agreement, as consented to by a majority of the Lenders, and Borrower.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b w:val="1"/>
          <w:bCs w:val="1"/>
          <w:color w:val="auto"/>
        </w:rPr>
        <w:t xml:space="preserve">12.7 Counterparts. </w:t>
      </w:r>
      <w:r>
        <w:rPr>
          <w:rFonts w:ascii="Arial" w:cs="Arial" w:eastAsia="Arial" w:hAnsi="Arial"/>
          <w:sz w:val="17"/>
          <w:szCs w:val="17"/>
          <w:color w:val="auto"/>
        </w:rPr>
        <w:t>This Agreement may be executed in any number of counterparts and by different parties on separate 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which, when executed and delivered, is an original, and all taken together, constitute one Agreement. Delivery of an executed signature page of this Agreement by electronic mail transmission shall be effective as delivery of a manually executed counterpart hereof.</w:t>
      </w:r>
    </w:p>
    <w:p>
      <w:pPr>
        <w:spacing w:after="0" w:line="158"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b w:val="1"/>
          <w:bCs w:val="1"/>
          <w:color w:val="auto"/>
        </w:rPr>
        <w:t xml:space="preserve">12.8 Confidentiality. </w:t>
      </w:r>
      <w:r>
        <w:rPr>
          <w:rFonts w:ascii="Arial" w:cs="Arial" w:eastAsia="Arial" w:hAnsi="Arial"/>
          <w:sz w:val="17"/>
          <w:szCs w:val="17"/>
          <w:color w:val="auto"/>
        </w:rPr>
        <w:t>Agent and each Lender agrees to maintain the confidentiality of Information (as defined below), except that</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may be disclosed (a) to Agent and/or any Lender’s Subsidiaries and Affiliates, and their respective employees, directors, agents, attorneys, accountants, investors, potential investors, and other professional advisors (collectively, “</w:t>
      </w:r>
      <w:r>
        <w:rPr>
          <w:rFonts w:ascii="Arial" w:cs="Arial" w:eastAsia="Arial" w:hAnsi="Arial"/>
          <w:sz w:val="17"/>
          <w:szCs w:val="17"/>
          <w:b w:val="1"/>
          <w:bCs w:val="1"/>
          <w:color w:val="auto"/>
        </w:rPr>
        <w:t>Representatives</w:t>
      </w:r>
      <w:r>
        <w:rPr>
          <w:rFonts w:ascii="Arial" w:cs="Arial" w:eastAsia="Arial" w:hAnsi="Arial"/>
          <w:sz w:val="17"/>
          <w:szCs w:val="17"/>
          <w:color w:val="auto"/>
        </w:rPr>
        <w:t>” and, together with Agent and the Lenders, collectively, “</w:t>
      </w:r>
      <w:r>
        <w:rPr>
          <w:rFonts w:ascii="Arial" w:cs="Arial" w:eastAsia="Arial" w:hAnsi="Arial"/>
          <w:sz w:val="17"/>
          <w:szCs w:val="17"/>
          <w:b w:val="1"/>
          <w:bCs w:val="1"/>
          <w:color w:val="auto"/>
        </w:rPr>
        <w:t>Lender Entities</w:t>
      </w:r>
      <w:r>
        <w:rPr>
          <w:rFonts w:ascii="Arial" w:cs="Arial" w:eastAsia="Arial" w:hAnsi="Arial"/>
          <w:sz w:val="17"/>
          <w:szCs w:val="17"/>
          <w:color w:val="auto"/>
        </w:rPr>
        <w:t>”); (b) to prospective transferees, assignees, credit providers or purchasers of Agent’s or Lenders’ interests under or in connection with this Agreement and their Representatives (provided, however, Agent and the Lenders shall use commercially reasonable efforts to obtain any such prospective transferee’s, assignee’s, credit provider’s, purchaser’s or their Representatives’ agreement to the terms of this provision); (c) as required by law, regulation, subpoena, or other order; (d) to Agent’s or any Lender’s regulators or as otherwise required or requested in connection with Agent’s or any Lender’s examination or audit; (e) in connection with the exercise of remedies under the Loan Documents or any action or proceeding relating to this Agreement or any other Loan Document or the enforcement of rights hereunder or thereunder; and (f) to third-party service providers of Agent and/or any Lender so long as such service providers have executed a confidentiality agreement with Agent or the Lenders, as applicable, with terms no less restrictive than those contained herein. “</w:t>
      </w:r>
      <w:r>
        <w:rPr>
          <w:rFonts w:ascii="Arial" w:cs="Arial" w:eastAsia="Arial" w:hAnsi="Arial"/>
          <w:sz w:val="17"/>
          <w:szCs w:val="17"/>
          <w:b w:val="1"/>
          <w:bCs w:val="1"/>
          <w:color w:val="auto"/>
        </w:rPr>
        <w:t>Information</w:t>
      </w:r>
      <w:r>
        <w:rPr>
          <w:rFonts w:ascii="Arial" w:cs="Arial" w:eastAsia="Arial" w:hAnsi="Arial"/>
          <w:sz w:val="17"/>
          <w:szCs w:val="17"/>
          <w:color w:val="auto"/>
        </w:rPr>
        <w:t>” means all information received from Borrower regarding Borrower or its business, in each case other than information that is either: (i) in the public domain or in Agent’s or any Lender’s possession when disclosed to Agent or such Lender, or becomes part of the public domain (other than as a result of its disclosure by Agent or a Lender in violation of this Agreement) after disclosure to Agent and/or the Lenders; or (ii) disclosed to Agent and/or a Lender by a third party, if Agent or such Lender, as applicable, does not know that the third party is prohibited from disclosing the information.</w:t>
      </w:r>
    </w:p>
    <w:p>
      <w:pPr>
        <w:spacing w:after="0" w:line="18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12.9 Electronic Execution of Documents. </w:t>
      </w:r>
      <w:r>
        <w:rPr>
          <w:rFonts w:ascii="Arial" w:cs="Arial" w:eastAsia="Arial" w:hAnsi="Arial"/>
          <w:sz w:val="18"/>
          <w:szCs w:val="18"/>
          <w:color w:val="auto"/>
        </w:rPr>
        <w:t>The words “execution,” “signed,” “signature” and words of like import in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w:t>
      </w:r>
    </w:p>
    <w:p>
      <w:pPr>
        <w:spacing w:after="0" w:line="18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b w:val="1"/>
          <w:bCs w:val="1"/>
          <w:color w:val="auto"/>
        </w:rPr>
        <w:t xml:space="preserve">12.10 Right of Setoff. </w:t>
      </w:r>
      <w:r>
        <w:rPr>
          <w:rFonts w:ascii="Arial" w:cs="Arial" w:eastAsia="Arial" w:hAnsi="Arial"/>
          <w:sz w:val="17"/>
          <w:szCs w:val="17"/>
          <w:color w:val="auto"/>
        </w:rPr>
        <w:t>Borrower hereby grants to Agent, for the ratable benefit of the Lenders, a Lien, security interest, and a right of</w:t>
      </w:r>
      <w:r>
        <w:rPr>
          <w:rFonts w:ascii="Arial" w:cs="Arial" w:eastAsia="Arial" w:hAnsi="Arial"/>
          <w:sz w:val="17"/>
          <w:szCs w:val="17"/>
          <w:b w:val="1"/>
          <w:bCs w:val="1"/>
          <w:color w:val="auto"/>
        </w:rPr>
        <w:t xml:space="preserve"> </w:t>
      </w:r>
      <w:r>
        <w:rPr>
          <w:rFonts w:ascii="Arial" w:cs="Arial" w:eastAsia="Arial" w:hAnsi="Arial"/>
          <w:sz w:val="17"/>
          <w:szCs w:val="17"/>
          <w:color w:val="auto"/>
        </w:rPr>
        <w:t>setoff as security for all Obligations to Agent and the Lenders, whether now existing or hereafter arising upon and against all deposits, credits, collateral and property, now or hereafter in the possession, custody, safekeeping or control of Agent or any entity under the control of Agent (including a subsidiary of Agent) or in transit to any of them, and other obligations owing to Agent or any such entity. At any time after the occurrence and during the continuance of an Event of Default, without demand or notice, Agent or any Lender may setoff the same or any part thereof and apply the same to any Obligation of Borrower then due regardless of the adequacy of any other collateral securing the Obligations. ANY AND ALL RIGHTS TO REQUIRE AGENT OR ANY LENDER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12.11 Captions and Section References. </w:t>
      </w:r>
      <w:r>
        <w:rPr>
          <w:rFonts w:ascii="Arial" w:cs="Arial" w:eastAsia="Arial" w:hAnsi="Arial"/>
          <w:sz w:val="18"/>
          <w:szCs w:val="18"/>
          <w:color w:val="auto"/>
        </w:rPr>
        <w:t>The headings used in this Agreement are for convenience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 Unless indicated otherwise, section references herein are to sections of this Agreement.</w:t>
      </w:r>
    </w:p>
    <w:p>
      <w:pPr>
        <w:spacing w:after="0" w:line="16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12.12 Construction of Agreement. </w:t>
      </w:r>
      <w:r>
        <w:rPr>
          <w:rFonts w:ascii="Arial" w:cs="Arial" w:eastAsia="Arial" w:hAnsi="Arial"/>
          <w:sz w:val="18"/>
          <w:szCs w:val="18"/>
          <w:color w:val="auto"/>
        </w:rPr>
        <w:t>The parties hereto mutually acknowledge that they and their attorneys have participated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preparation and 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12.13 Relationship. </w:t>
      </w:r>
      <w:r>
        <w:rPr>
          <w:rFonts w:ascii="Arial" w:cs="Arial" w:eastAsia="Arial" w:hAnsi="Arial"/>
          <w:sz w:val="18"/>
          <w:szCs w:val="18"/>
          <w:color w:val="auto"/>
        </w:rPr>
        <w:t>The relationship of the parties to this Agreement is determined solely by the provisions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do not 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right="20" w:firstLine="864"/>
        <w:spacing w:after="0" w:line="261" w:lineRule="auto"/>
        <w:rPr>
          <w:sz w:val="20"/>
          <w:szCs w:val="20"/>
          <w:color w:val="auto"/>
        </w:rPr>
      </w:pPr>
      <w:r>
        <w:rPr>
          <w:rFonts w:ascii="Arial" w:cs="Arial" w:eastAsia="Arial" w:hAnsi="Arial"/>
          <w:sz w:val="18"/>
          <w:szCs w:val="18"/>
          <w:b w:val="1"/>
          <w:bCs w:val="1"/>
          <w:color w:val="auto"/>
        </w:rPr>
        <w:t xml:space="preserve">12.14 Third Parties. </w:t>
      </w:r>
      <w:r>
        <w:rPr>
          <w:rFonts w:ascii="Arial" w:cs="Arial" w:eastAsia="Arial" w:hAnsi="Arial"/>
          <w:sz w:val="18"/>
          <w:szCs w:val="18"/>
          <w:color w:val="auto"/>
        </w:rPr>
        <w:t>Nothing in this Agreement, whether express or implied, is intended to: (a) confer any benefits, rights or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12.15 Anti-Terrorism Law. </w:t>
      </w:r>
      <w:r>
        <w:rPr>
          <w:rFonts w:ascii="Arial" w:cs="Arial" w:eastAsia="Arial" w:hAnsi="Arial"/>
          <w:sz w:val="18"/>
          <w:szCs w:val="18"/>
          <w:color w:val="auto"/>
        </w:rPr>
        <w:t>Each Lender hereby notifies Borrower that, pursuant to the requirements of Anti-Terrorism Law, it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required to obtain, verify and record information that identifies Borrower, which information may include the name and address of Borrower and other information that will allow Lender to identify Borrower in accordance with Anti-Terrorism Law. Borrower hereby agrees to take any action necessary to enable each Lender to comply with the requirements of Anti-Terrorism Law.</w:t>
      </w:r>
    </w:p>
    <w:p>
      <w:pPr>
        <w:spacing w:after="0" w:line="180" w:lineRule="exact"/>
        <w:rPr>
          <w:sz w:val="20"/>
          <w:szCs w:val="20"/>
          <w:color w:val="auto"/>
        </w:rPr>
      </w:pPr>
    </w:p>
    <w:p>
      <w:pPr>
        <w:ind w:left="1700" w:hanging="828"/>
        <w:spacing w:after="0"/>
        <w:tabs>
          <w:tab w:leader="none" w:pos="17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TERMS AND OTHER DEFINITIONS</w:t>
      </w:r>
    </w:p>
    <w:p>
      <w:pPr>
        <w:spacing w:after="0" w:line="225"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Accounting and Other Terms.</w:t>
      </w:r>
    </w:p>
    <w:p>
      <w:pPr>
        <w:spacing w:after="0" w:line="229" w:lineRule="exact"/>
        <w:rPr>
          <w:sz w:val="20"/>
          <w:szCs w:val="20"/>
          <w:color w:val="auto"/>
        </w:rPr>
      </w:pPr>
    </w:p>
    <w:p>
      <w:pPr>
        <w:jc w:val="both"/>
        <w:ind w:firstLine="1735"/>
        <w:spacing w:after="0" w:line="271" w:lineRule="auto"/>
        <w:tabs>
          <w:tab w:leader="none" w:pos="25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Agent, and/or any Lender shall so request, Borrower and Agent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Agent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8" w:lineRule="exact"/>
        <w:rPr>
          <w:rFonts w:ascii="Arial" w:cs="Arial" w:eastAsia="Arial" w:hAnsi="Arial"/>
          <w:sz w:val="17"/>
          <w:szCs w:val="17"/>
          <w:color w:val="auto"/>
        </w:rPr>
      </w:pPr>
    </w:p>
    <w:p>
      <w:pPr>
        <w:jc w:val="both"/>
        <w:ind w:firstLine="1735"/>
        <w:spacing w:after="0" w:line="296" w:lineRule="auto"/>
        <w:tabs>
          <w:tab w:leader="none" w:pos="258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57"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13.2 Definitions. </w:t>
      </w:r>
      <w:r>
        <w:rPr>
          <w:rFonts w:ascii="Arial" w:cs="Arial" w:eastAsia="Arial" w:hAnsi="Arial"/>
          <w:sz w:val="18"/>
          <w:szCs w:val="18"/>
          <w:color w:val="auto"/>
        </w:rPr>
        <w:t>Capitalized terms not otherwise defined in this Agreement shall have the meanings set forth in this Section 13.2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All other terms contained in this Agreement, unless otherwise indicated, shall have the meaning provided by the Code to the extent such terms are defined therein. As used in this Agreement, the following capitalized terms have the following meanings:</w:t>
      </w:r>
    </w:p>
    <w:p>
      <w:pPr>
        <w:spacing w:after="0" w:line="17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Law</w:t>
      </w:r>
      <w:r>
        <w:rPr>
          <w:rFonts w:ascii="Arial" w:cs="Arial" w:eastAsia="Arial" w:hAnsi="Arial"/>
          <w:sz w:val="16"/>
          <w:szCs w:val="16"/>
          <w:color w:val="auto"/>
        </w:rPr>
        <w:t>” means any law relating to terrorism or money-laundering, including Executive Order No. 13224 and the USA Patriot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Australian Subsidiary</w:t>
      </w:r>
      <w:r>
        <w:rPr>
          <w:rFonts w:ascii="Arial" w:cs="Arial" w:eastAsia="Arial" w:hAnsi="Arial"/>
          <w:sz w:val="18"/>
          <w:szCs w:val="18"/>
          <w:color w:val="auto"/>
        </w:rPr>
        <w:t>” means Borrower’s wholly-owned Subsidiary AVROBIO Australia PTY LTD a corporation organized under the laws of Australia with an Australian business no. 53 618 483 695.</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means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jc w:val="both"/>
        <w:ind w:firstLine="86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SVB or any SVB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SVB’s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 or equivalent governing body.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set forth on Schedule I hereto.</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Agent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Agent and Lenders may conclusively rely on such certificate unless and until such Person shall have delivered to Agent and Lenders a further certificate canceling or amending such prior certificate.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 day other than a Saturday, Sunday or other day on which commercial banks in the State of California are authorized or required by law to close, except that if any determination of a “Business Day” shall relate to an FX Contract, the term “Business Day” shall be a FX Business Day.</w:t>
      </w:r>
    </w:p>
    <w:p>
      <w:pPr>
        <w:spacing w:after="0" w:line="17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Subsidiary</w:t>
      </w:r>
      <w:r>
        <w:rPr>
          <w:rFonts w:ascii="Arial" w:cs="Arial" w:eastAsia="Arial" w:hAnsi="Arial"/>
          <w:sz w:val="18"/>
          <w:szCs w:val="18"/>
          <w:color w:val="auto"/>
        </w:rPr>
        <w:t>” means Borrower’s wholly-owned Subsidiary AVROBIO Inc. a corporation organized under the laws of Canada with business no. 80672 5362 RC0001.</w:t>
      </w:r>
    </w:p>
    <w:p>
      <w:pPr>
        <w:spacing w:after="0" w:line="16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SVB’s certificates of deposit issued maturing no more than one (1) year after issue; and (d) money market funds at least ninety-five percent (95.0%) of the assets of which constitute Cash Equivalents of the kinds described in clauses (a) through (c) of this definition.</w:t>
      </w:r>
    </w:p>
    <w:p>
      <w:pPr>
        <w:spacing w:after="0" w:line="183" w:lineRule="exact"/>
        <w:rPr>
          <w:sz w:val="20"/>
          <w:szCs w:val="20"/>
          <w:color w:val="auto"/>
        </w:rPr>
      </w:pPr>
    </w:p>
    <w:p>
      <w:pPr>
        <w:jc w:val="both"/>
        <w:ind w:firstLine="864"/>
        <w:spacing w:after="0" w:line="217"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 at any time, any “person” or “group” (as such terms are used in Sections 13(d) and 14(d) of the Exchange Act), shall become, or obtain rights (whether by means of warrants, options or otherwise) to become, the “beneficial owner” (as defined in Rules 13(d)-3 and 13(d)</w:t>
      </w:r>
      <w:r>
        <w:rPr>
          <w:rFonts w:ascii="MS PGothic" w:cs="MS PGothic" w:eastAsia="MS PGothic" w:hAnsi="MS PGothic"/>
          <w:sz w:val="17"/>
          <w:szCs w:val="17"/>
          <w:color w:val="auto"/>
        </w:rPr>
        <w:t>‑</w:t>
      </w:r>
      <w:r>
        <w:rPr>
          <w:rFonts w:ascii="Arial" w:cs="Arial" w:eastAsia="Arial" w:hAnsi="Arial"/>
          <w:sz w:val="17"/>
          <w:szCs w:val="17"/>
          <w:color w:val="auto"/>
        </w:rPr>
        <w:t>5 under the Exchange Act), directly or indirectly, of forty percent (40.0%)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the Agent and the Lenders the venture capital or private equity investors at least seven (7) Business Days prior to the closing of the transaction and provides to Agent and the Lenders a description of the material terms of the transaction; (b) during any period of twelve (12) consecutive months, a majority of the members of the Board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stock, partnership, membership, or other ownership interest or other equity securities of each Subsidiary of Borrower free and clear of all Liens (except Permitted Liens).</w:t>
      </w:r>
    </w:p>
    <w:p>
      <w:pPr>
        <w:spacing w:after="0" w:line="207"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“Code” shall mean the Uniform Commercial Code as enacted and in effect in such other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t>jurisdiction solely for purposes of the provisions thereof relating to such attachment, perfection, priority, or remedies and for purposes of definitions relating to such provisions.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consists of all of Borrower’s right, title and interest in and to the following personal property:</w:t>
      </w:r>
    </w:p>
    <w:p>
      <w:pPr>
        <w:spacing w:after="0" w:line="229" w:lineRule="exact"/>
        <w:rPr>
          <w:sz w:val="20"/>
          <w:szCs w:val="20"/>
          <w:color w:val="auto"/>
        </w:rPr>
      </w:pPr>
    </w:p>
    <w:p>
      <w:pPr>
        <w:jc w:val="both"/>
        <w:ind w:firstLine="1735"/>
        <w:spacing w:after="0" w:line="275" w:lineRule="auto"/>
        <w:tabs>
          <w:tab w:leader="none" w:pos="257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w:t>
      </w:r>
    </w:p>
    <w:p>
      <w:pPr>
        <w:spacing w:after="0" w:line="176"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3" w:lineRule="exact"/>
        <w:rPr>
          <w:rFonts w:ascii="Arial" w:cs="Arial" w:eastAsia="Arial" w:hAnsi="Arial"/>
          <w:sz w:val="18"/>
          <w:szCs w:val="18"/>
          <w:color w:val="auto"/>
        </w:rPr>
      </w:pPr>
    </w:p>
    <w:p>
      <w:pPr>
        <w:jc w:val="both"/>
        <w:ind w:firstLine="1735"/>
        <w:spacing w:after="0" w:line="255" w:lineRule="auto"/>
        <w:tabs>
          <w:tab w:leader="none" w:pos="25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the foregoing, the Collateral does not include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Agent’s, for the ratable benefit of the Lenders, security interest in such Accounts and such other property of Borrower that are proceeds of the Intellectual Property.</w:t>
      </w:r>
    </w:p>
    <w:p>
      <w:pPr>
        <w:spacing w:after="0" w:line="192" w:lineRule="exact"/>
        <w:rPr>
          <w:rFonts w:ascii="Arial" w:cs="Arial" w:eastAsia="Arial" w:hAnsi="Arial"/>
          <w:sz w:val="18"/>
          <w:szCs w:val="18"/>
          <w:color w:val="auto"/>
        </w:rPr>
      </w:pPr>
    </w:p>
    <w:p>
      <w:pPr>
        <w:ind w:right="20" w:firstLine="1735"/>
        <w:spacing w:after="0" w:line="277" w:lineRule="auto"/>
        <w:tabs>
          <w:tab w:leader="none" w:pos="25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Pursuant to the terms of a certain negative pledge arrangement with Agent and the Lenders, Borrower has agreed not to encumber any of its Intellectual Property without Agent and the Lenders’ prior written consent.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and “</w:t>
      </w:r>
      <w:r>
        <w:rPr>
          <w:rFonts w:ascii="Arial" w:cs="Arial" w:eastAsia="Arial" w:hAnsi="Arial"/>
          <w:sz w:val="18"/>
          <w:szCs w:val="18"/>
          <w:b w:val="1"/>
          <w:bCs w:val="1"/>
          <w:color w:val="auto"/>
        </w:rPr>
        <w:t>Commitments</w:t>
      </w:r>
      <w:r>
        <w:rPr>
          <w:rFonts w:ascii="Arial" w:cs="Arial" w:eastAsia="Arial" w:hAnsi="Arial"/>
          <w:sz w:val="18"/>
          <w:szCs w:val="18"/>
          <w:color w:val="auto"/>
        </w:rPr>
        <w:t>” means the Term Loan Commitments.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Statement</w:t>
      </w:r>
      <w:r>
        <w:rPr>
          <w:rFonts w:ascii="Arial" w:cs="Arial" w:eastAsia="Arial" w:hAnsi="Arial"/>
          <w:sz w:val="18"/>
          <w:szCs w:val="18"/>
          <w:color w:val="auto"/>
        </w:rPr>
        <w:t xml:space="preserve">” is that certain statement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59"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maintains a Deposit Account or the securities intermediary or commodity intermediary at which Borrower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jc w:val="both"/>
        <w:spacing w:after="0" w:line="277" w:lineRule="auto"/>
        <w:rPr>
          <w:sz w:val="20"/>
          <w:szCs w:val="20"/>
          <w:color w:val="auto"/>
        </w:rPr>
      </w:pPr>
      <w:r>
        <w:rPr>
          <w:rFonts w:ascii="Arial" w:cs="Arial" w:eastAsia="Arial" w:hAnsi="Arial"/>
          <w:sz w:val="18"/>
          <w:szCs w:val="18"/>
          <w:color w:val="auto"/>
        </w:rPr>
        <w:t>maintains a Securities Account or a Commodity Account, Borrower, and Agent pursuant to which Agent obtains control (within the meaning of the Code) for the benefit of the Lenders over such Deposit Account, Securities Account, or Commodity Account.</w:t>
      </w:r>
    </w:p>
    <w:p>
      <w:pPr>
        <w:spacing w:after="0" w:line="166"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Letter of Credit, FX Contract, amount utilized for cash management services, Term Loan Advance, or any other extension of credit by any Lender for Borrower’s benefit.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with notice or passage of time or both, would constitute an Event of Default.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1.2(c).</w:t>
      </w:r>
    </w:p>
    <w:p>
      <w:pPr>
        <w:spacing w:after="0" w:line="225"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is, subject to Section 9.10(b), any Lender that (a) has failed to (i) fund all or any portion of its Term Loan Advances within two (2) Business Days of the date such Term Loan Advances were required to be funded hereunder unless such Lender notifies Agent and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(2) Business Days of the date when due, (b) has notified Borrower or Agent in writing that it does not intend to comply with its funding obligations hereunder, or has made a public statement to that effect (unless such writing or public statement relates to such Lender’s obligation to fund a Term Loan Advance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to confirm in writing to Agent and Borrower that it will comply with its prospective funding obligations hereunder (provided that such Lender shall cease to be a Defaulting Lender pursuant to this clause (c) upon receipt of such written confirmation by Agent and Borrower), or (d) has, or has a direct or indirect parent company that has, (i) become the subject of an Insolvency Proceeding,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Section 9.10(b)) upon delivery of written notice of such determination to Borrower and each Lender.</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w:t>
      </w:r>
      <w:r>
        <w:rPr>
          <w:rFonts w:ascii="Arial" w:cs="Arial" w:eastAsia="Arial" w:hAnsi="Arial"/>
          <w:sz w:val="18"/>
          <w:szCs w:val="18"/>
          <w:b w:val="1"/>
          <w:bCs w:val="1"/>
          <w:color w:val="auto"/>
        </w:rPr>
        <w:t>deposit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is the deposit account established by Borrower with SVB xxxxxx9738 for purposes of receiving Credit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Extensions.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Division</w:t>
      </w:r>
      <w:r>
        <w:rPr>
          <w:rFonts w:ascii="Arial" w:cs="Arial" w:eastAsia="Arial" w:hAnsi="Arial"/>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jc w:val="both"/>
        <w:spacing w:after="0" w:line="263" w:lineRule="auto"/>
        <w:rPr>
          <w:sz w:val="20"/>
          <w:szCs w:val="20"/>
          <w:color w:val="auto"/>
        </w:rPr>
      </w:pPr>
      <w:r>
        <w:rPr>
          <w:rFonts w:ascii="Arial" w:cs="Arial" w:eastAsia="Arial" w:hAnsi="Arial"/>
          <w:sz w:val="18"/>
          <w:szCs w:val="18"/>
          <w:color w:val="auto"/>
        </w:rPr>
        <w:t>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80"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Agent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set forth on Schedule I hereto.</w:t>
      </w:r>
    </w:p>
    <w:p>
      <w:pPr>
        <w:spacing w:after="0" w:line="22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5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Erroneous Payment</w:t>
      </w:r>
      <w:r>
        <w:rPr>
          <w:rFonts w:ascii="Arial" w:cs="Arial" w:eastAsia="Arial" w:hAnsi="Arial"/>
          <w:sz w:val="18"/>
          <w:szCs w:val="18"/>
          <w:color w:val="auto"/>
        </w:rPr>
        <w:t>” has the meaning assigned to it in Section 9.11(a).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Erroneous Payment Deficiency Assignment</w:t>
      </w:r>
      <w:r>
        <w:rPr>
          <w:rFonts w:ascii="Arial" w:cs="Arial" w:eastAsia="Arial" w:hAnsi="Arial"/>
          <w:sz w:val="18"/>
          <w:szCs w:val="18"/>
          <w:color w:val="auto"/>
        </w:rPr>
        <w:t>” has the meaning assigned to it in Section 9.11(d).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Erroneous Payment Return Deficiency</w:t>
      </w:r>
      <w:r>
        <w:rPr>
          <w:rFonts w:ascii="Arial" w:cs="Arial" w:eastAsia="Arial" w:hAnsi="Arial"/>
          <w:sz w:val="18"/>
          <w:szCs w:val="18"/>
          <w:color w:val="auto"/>
        </w:rPr>
        <w:t>” has the meaning assigned to it in Section 9.11(d).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Erroneous Payment Subrogation Rights</w:t>
      </w:r>
      <w:r>
        <w:rPr>
          <w:rFonts w:ascii="Arial" w:cs="Arial" w:eastAsia="Arial" w:hAnsi="Arial"/>
          <w:sz w:val="18"/>
          <w:szCs w:val="18"/>
          <w:color w:val="auto"/>
        </w:rPr>
        <w:t>” has the meaning assigned to it in Section 9.11(d).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7.</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SVB or required to be withheld or deducted from a payment to SVB, (a) Taxes imposed on or measured by net income (however denominated), franchise Taxes, and branch profits Taxes, in each case, (i) imposed as a result of SVB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SVB with respect to an applicable interest in a Credit Extension pursuant to a law in effect on the date on which (i) SVB acquires such interest in the Credit Extensions or (ii) SVB changes its lending office, except in each case to the extent that, pursuant to Section 1.8, amounts with respect to such Taxes were payable either to SVB’s assignor immediately before SVB became a party hereto or to SVB immediately before it changed its lending office, (c) Taxes attributable to SVB’s failure to comply with Section 1.8(e), and (d) any withholding Taxes imposed under FATCA.</w:t>
      </w:r>
    </w:p>
    <w:p>
      <w:pPr>
        <w:spacing w:after="0" w:line="159"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jc w:val="both"/>
        <w:ind w:right="20"/>
        <w:spacing w:after="0" w:line="277" w:lineRule="auto"/>
        <w:rPr>
          <w:sz w:val="20"/>
          <w:szCs w:val="20"/>
          <w:color w:val="auto"/>
        </w:rPr>
      </w:pPr>
      <w:r>
        <w:rPr>
          <w:rFonts w:ascii="Arial" w:cs="Arial" w:eastAsia="Arial" w:hAnsi="Arial"/>
          <w:sz w:val="18"/>
          <w:szCs w:val="18"/>
          <w:color w:val="auto"/>
        </w:rPr>
        <w:t>practices adopted pursuant to any intergovernmental agreement, treaty or convention among Governmental Authorities and implementing such Sections of the Internal Revenue Code.</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is the United States Food and Drug Administration.</w:t>
      </w:r>
    </w:p>
    <w:p>
      <w:pPr>
        <w:spacing w:after="0" w:line="22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8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in substitution for the regular monthly payments of principal plus accrued interest) equal to the original principal amount of each Term Loan Advance extended by the Lenders to Borrower hereunder multiplied by nine percent (9.00%), due on the earliest to occur of (a) the Term Loan Maturity Date, (b) the repayment of such Term Loan Advance, (c) as required pursuant to Sections 1.1(c) or 1.1(d), or (d) the termination of this Agreement.</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 Repository</w:t>
      </w:r>
      <w:r>
        <w:rPr>
          <w:rFonts w:ascii="Arial" w:cs="Arial" w:eastAsia="Arial" w:hAnsi="Arial"/>
          <w:sz w:val="18"/>
          <w:szCs w:val="18"/>
          <w:color w:val="auto"/>
        </w:rPr>
        <w:t>” is NECreditSolutions@svb.com or such other means of collecting information approved and designated by Agent or a Lender after providing notice thereof to Borrower from time to time.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Accounts</w:t>
      </w:r>
      <w:r>
        <w:rPr>
          <w:rFonts w:ascii="Arial" w:cs="Arial" w:eastAsia="Arial" w:hAnsi="Arial"/>
          <w:sz w:val="18"/>
          <w:szCs w:val="18"/>
          <w:color w:val="auto"/>
        </w:rPr>
        <w:t>” is defined in Section 5.7(a)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is the lawful money of a country other than the United States.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firstLine="86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FX Business Day</w:t>
      </w:r>
      <w:r>
        <w:rPr>
          <w:rFonts w:ascii="Arial" w:cs="Arial" w:eastAsia="Arial" w:hAnsi="Arial"/>
          <w:sz w:val="17"/>
          <w:szCs w:val="17"/>
          <w:color w:val="auto"/>
        </w:rPr>
        <w:t>” is any day when (a) SVB’s Foreign Exchange Department is conducting its normal business and (b) the Foreign Currency being purchased or sold by Borrower is available to SVB from the entity from which SVB shall buy or sell such Foreign Currency.</w:t>
      </w:r>
    </w:p>
    <w:p>
      <w:pPr>
        <w:spacing w:after="0" w:line="14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SVB under which Borrower commits to purchase from or sell to SVB a specific amount of Foreign Currency at a set price or on a specified date.</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Faith Deposit</w:t>
      </w:r>
      <w:r>
        <w:rPr>
          <w:rFonts w:ascii="Arial" w:cs="Arial" w:eastAsia="Arial" w:hAnsi="Arial"/>
          <w:sz w:val="18"/>
          <w:szCs w:val="18"/>
          <w:color w:val="auto"/>
        </w:rPr>
        <w:t>” is defined in Section 1.3(c).</w:t>
      </w:r>
    </w:p>
    <w:p>
      <w:pPr>
        <w:spacing w:after="0" w:line="225" w:lineRule="exact"/>
        <w:rPr>
          <w:sz w:val="20"/>
          <w:szCs w:val="20"/>
          <w:color w:val="auto"/>
        </w:rPr>
      </w:pPr>
    </w:p>
    <w:p>
      <w:pPr>
        <w:jc w:val="both"/>
        <w:ind w:right="20" w:firstLine="86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is any consent, authorization, approval, order, license, franchise, permit, certificate, accreditation, registration, filing or notice, of, issued by, from or to, or other act by or in respect of, any Governmental Authority, including, without limitation, Healthcare Permits.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Member</w:t>
      </w:r>
      <w:r>
        <w:rPr>
          <w:rFonts w:ascii="Arial" w:cs="Arial" w:eastAsia="Arial" w:hAnsi="Arial"/>
          <w:sz w:val="18"/>
          <w:szCs w:val="18"/>
          <w:color w:val="auto"/>
        </w:rPr>
        <w:t>” means Borrower and its Subsidiaries.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Lenders.</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jc w:val="both"/>
        <w:ind w:firstLine="86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Healthcare Laws</w:t>
      </w:r>
      <w:r>
        <w:rPr>
          <w:rFonts w:ascii="Arial" w:cs="Arial" w:eastAsia="Arial" w:hAnsi="Arial"/>
          <w:sz w:val="16"/>
          <w:szCs w:val="16"/>
          <w:color w:val="auto"/>
        </w:rPr>
        <w:t>”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w:t>
      </w:r>
    </w:p>
    <w:p>
      <w:pPr>
        <w:spacing w:after="0" w:line="1" w:lineRule="exact"/>
        <w:rPr>
          <w:sz w:val="20"/>
          <w:szCs w:val="20"/>
          <w:color w:val="auto"/>
        </w:rPr>
      </w:pPr>
    </w:p>
    <w:p>
      <w:pPr>
        <w:jc w:val="both"/>
        <w:ind w:firstLine="8"/>
        <w:spacing w:after="0" w:line="253" w:lineRule="auto"/>
        <w:tabs>
          <w:tab w:leader="none" w:pos="2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w:t>
      </w:r>
    </w:p>
    <w:p>
      <w:pPr>
        <w:spacing w:after="0" w:line="189"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Healthcare Permit</w:t>
      </w:r>
      <w:r>
        <w:rPr>
          <w:rFonts w:ascii="Arial" w:cs="Arial" w:eastAsia="Arial" w:hAnsi="Arial"/>
          <w:sz w:val="18"/>
          <w:szCs w:val="18"/>
          <w:color w:val="auto"/>
        </w:rPr>
        <w:t>” means, with respect to any Person, a permit issued or required under Healthcare Laws applicable to the business of Borrower or any Guarantor, or necessary in the possession, ownership, warehousing, marketing, promoting, sale, labeling, furnishing, distribution or delivery of goods or services under Healthcare Laws applicable to the business of Borrower or any Guarantor.</w:t>
      </w:r>
    </w:p>
    <w:p>
      <w:pPr>
        <w:spacing w:after="0" w:line="176"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collectively, the Health Insurance Portability and Accountability Act of 1996, as amended by the Health Information Technology for Economic Clinical Health (HITECKH) Act and the implementing regulations thereto.</w:t>
      </w:r>
    </w:p>
    <w:p>
      <w:pPr>
        <w:spacing w:after="0" w:line="162"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w:t>
      </w:r>
    </w:p>
    <w:p>
      <w:pPr>
        <w:spacing w:after="0" w:line="1" w:lineRule="exact"/>
        <w:rPr>
          <w:sz w:val="20"/>
          <w:szCs w:val="20"/>
          <w:color w:val="auto"/>
        </w:rPr>
      </w:pPr>
    </w:p>
    <w:p>
      <w:pPr>
        <w:ind w:left="880" w:right="1400" w:hanging="872"/>
        <w:spacing w:after="0" w:line="490" w:lineRule="auto"/>
        <w:tabs>
          <w:tab w:leader="none" w:pos="2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Contingent Obligations and (e) other short- and long-term obligations under debt agreements, lines of credit and extensions of credit. “</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is defined in Section 12.8.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Tranche A Term Loan Advance</w:t>
      </w:r>
      <w:r>
        <w:rPr>
          <w:rFonts w:ascii="Arial" w:cs="Arial" w:eastAsia="Arial" w:hAnsi="Arial"/>
          <w:sz w:val="18"/>
          <w:szCs w:val="18"/>
          <w:color w:val="auto"/>
        </w:rPr>
        <w:t>” is defined in Section 1.1(a).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580" w:hanging="845"/>
        <w:spacing w:after="0"/>
        <w:tabs>
          <w:tab w:leader="none" w:pos="2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know-how and operating manuals;</w:t>
      </w:r>
    </w:p>
    <w:p>
      <w:pPr>
        <w:spacing w:after="0" w:line="210" w:lineRule="exact"/>
        <w:rPr>
          <w:rFonts w:ascii="Arial" w:cs="Arial" w:eastAsia="Arial" w:hAnsi="Arial"/>
          <w:sz w:val="17"/>
          <w:szCs w:val="17"/>
          <w:color w:val="auto"/>
        </w:rPr>
      </w:pPr>
    </w:p>
    <w:p>
      <w:pPr>
        <w:ind w:left="2580" w:hanging="845"/>
        <w:spacing w:after="0"/>
        <w:tabs>
          <w:tab w:leader="none" w:pos="2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firstLine="1735"/>
        <w:spacing w:after="0" w:line="308" w:lineRule="auto"/>
        <w:tabs>
          <w:tab w:leader="none" w:pos="257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2560" w:hanging="825"/>
        <w:spacing w:after="0"/>
        <w:tabs>
          <w:tab w:leader="none" w:pos="2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U.S. Internal Revenue Code of 1986, and the rules and regulations promulgated thereunder, each as amended or modified from time to time.</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membership, or other ownership interest or other equity securities), and any loan, advance or capital contribution to any Person.</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Geoff MacKay as of the Effective Date and (b) Chief Financial Officer, who is Erik Ostrowski as of the Effective Date.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 is defined in the preamble.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12.8.</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Intercreditor Agreement</w:t>
      </w:r>
      <w:r>
        <w:rPr>
          <w:rFonts w:ascii="Arial" w:cs="Arial" w:eastAsia="Arial" w:hAnsi="Arial"/>
          <w:sz w:val="18"/>
          <w:szCs w:val="18"/>
          <w:color w:val="auto"/>
        </w:rPr>
        <w:t>” is, collectively, any and all intercreditor agreement, participation agreements, master arrangement agreement or similar agreement by and between SVB Capital and SVB, as each may be amended from time to time in accordance with the provisions thereof.</w:t>
      </w:r>
    </w:p>
    <w:p>
      <w:pPr>
        <w:spacing w:after="0" w:line="17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of Agent’s and the Lenders’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7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SVB upon request of Borrower based upon an application, guarantee, indemnity, or similar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the Perfection Certificate, the Pledge Agreement, each Disbursement Letter, the Lender Intercreditor Agreement, any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Agent and the Lenders in connection with this Agreement or Bank Services, all as amended, restated, or otherwise modified in accordance with the terms thereof.</w:t>
      </w:r>
    </w:p>
    <w:p>
      <w:pPr>
        <w:spacing w:after="0" w:line="154"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Agent’s, for the ratable benefit of the Lenders,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MSC Subsidiary</w:t>
      </w:r>
      <w:r>
        <w:rPr>
          <w:rFonts w:ascii="Arial" w:cs="Arial" w:eastAsia="Arial" w:hAnsi="Arial"/>
          <w:sz w:val="18"/>
          <w:szCs w:val="18"/>
          <w:color w:val="auto"/>
        </w:rPr>
        <w:t>” means (a) AVROBIO Securities Corporation, and (b) any other Subsidiary of any Borrower or Guarantor incorporated under the laws of the Commonwealth of Massachusetts for the purpose of holding Investments as a Massachusetts security corporation under 830 CMR 63.38B.1 of the Massachusetts tax code and applicable regulations.</w:t>
      </w:r>
    </w:p>
    <w:p>
      <w:pPr>
        <w:spacing w:after="0" w:line="176" w:lineRule="exact"/>
        <w:rPr>
          <w:sz w:val="20"/>
          <w:szCs w:val="20"/>
          <w:color w:val="auto"/>
        </w:rPr>
      </w:pPr>
    </w:p>
    <w:p>
      <w:pPr>
        <w:jc w:val="both"/>
        <w:ind w:firstLine="86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Borrower’s obligations to pay when due any debts, principal, interest, fees, Lenders’ Expenses, the Final Payment, the Prepayment Premium, and other amounts Borrower owes Agent or any Lender now or later, whether under this Agreement, the other Loan Documents, or otherwise, including, without limitation, all obligations relating to Bank Services, if any, and including interest accruing after Insolvency Proceedings begin and debts, liabilities, or obligations of Borrower assigned to Agent and/or the Lenders, and to perform Borrower’s duties under the Loan Documents.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Office of Foreign Assets Control of the United States Department of the Treasury and any successor thereto.</w:t>
      </w:r>
    </w:p>
    <w:p>
      <w:pPr>
        <w:spacing w:after="0" w:line="22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firstLine="8"/>
        <w:spacing w:after="0" w:line="260" w:lineRule="auto"/>
        <w:tabs>
          <w:tab w:leader="none" w:pos="2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such Person is a partnership or limited partnership, its partnership agreement or limited partnership agreement (or similar agreement), each of the foregoing with all current amendments or modifications thereto.</w:t>
      </w:r>
    </w:p>
    <w:p>
      <w:pPr>
        <w:spacing w:after="0" w:line="181"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SVB, Taxes imposed as a result of a present or former connection between SVB and the jurisdiction imposing such Tax (other than connections arising from SVB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80"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Recipient</w:t>
      </w:r>
      <w:r>
        <w:rPr>
          <w:rFonts w:ascii="Arial" w:cs="Arial" w:eastAsia="Arial" w:hAnsi="Arial"/>
          <w:sz w:val="18"/>
          <w:szCs w:val="18"/>
          <w:color w:val="auto"/>
        </w:rPr>
        <w:t>” has the meaning assigned to it in Section 9.11(a).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the Perfection Certificate delivered by Borrower in connection with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580" w:hanging="845"/>
        <w:spacing w:after="0"/>
        <w:tabs>
          <w:tab w:leader="none" w:pos="2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Borrower’s Indebtedness to Agent and the Lenders under this Agreement, the other Loan Documents;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36" w:lineRule="exact"/>
        <w:rPr>
          <w:rFonts w:ascii="Arial" w:cs="Arial" w:eastAsia="Arial" w:hAnsi="Arial"/>
          <w:sz w:val="17"/>
          <w:szCs w:val="17"/>
          <w:color w:val="auto"/>
        </w:rPr>
      </w:pPr>
    </w:p>
    <w:p>
      <w:pPr>
        <w:ind w:left="2560" w:hanging="825"/>
        <w:spacing w:after="0"/>
        <w:tabs>
          <w:tab w:leader="none" w:pos="25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36" w:lineRule="exact"/>
        <w:rPr>
          <w:rFonts w:ascii="Arial" w:cs="Arial" w:eastAsia="Arial" w:hAnsi="Arial"/>
          <w:sz w:val="17"/>
          <w:szCs w:val="17"/>
          <w:color w:val="auto"/>
        </w:rPr>
      </w:pPr>
    </w:p>
    <w:p>
      <w:pPr>
        <w:ind w:firstLine="1735"/>
        <w:spacing w:after="0" w:line="277" w:lineRule="auto"/>
        <w:tabs>
          <w:tab w:leader="none" w:pos="25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Indebtedness in the form of security deposits related to real property leases in an aggregate amount not to exceed Six Hundred Thousand Dollars ($600,000);</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other unsecured Indebtedness not exceeding Five Hundred Thousand Dollars ($500,000) in the aggregate at any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firstLine="1735"/>
        <w:spacing w:after="0" w:line="263" w:lineRule="auto"/>
        <w:tabs>
          <w:tab w:leader="none" w:pos="25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2580" w:hanging="845"/>
        <w:spacing w:after="0"/>
        <w:tabs>
          <w:tab w:leader="none" w:pos="25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Investments (including, without limitation, Subsidiaries) existing on the Effective Date and shown on the Perfection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right="20" w:firstLine="1735"/>
        <w:spacing w:after="0" w:line="308" w:lineRule="auto"/>
        <w:tabs>
          <w:tab w:leader="none" w:pos="258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Investments consisting of (i) Cash Equivalents and (ii) Investments permitted by Borrower’s investment policy, as amended from time to time, provided that any amendment to such investment policy shall be approved, in advance, in writing, by Agent;</w:t>
      </w:r>
    </w:p>
    <w:p>
      <w:pPr>
        <w:spacing w:after="0" w:line="146" w:lineRule="exact"/>
        <w:rPr>
          <w:rFonts w:ascii="Arial" w:cs="Arial" w:eastAsia="Arial" w:hAnsi="Arial"/>
          <w:sz w:val="17"/>
          <w:szCs w:val="17"/>
          <w:color w:val="auto"/>
        </w:rPr>
      </w:pPr>
    </w:p>
    <w:p>
      <w:pPr>
        <w:ind w:firstLine="1735"/>
        <w:spacing w:after="0" w:line="277" w:lineRule="auto"/>
        <w:tabs>
          <w:tab w:leader="none" w:pos="257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Borrower’s business;</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6.1;</w:t>
      </w:r>
    </w:p>
    <w:p>
      <w:pPr>
        <w:spacing w:after="0" w:line="225" w:lineRule="exact"/>
        <w:rPr>
          <w:rFonts w:ascii="Arial" w:cs="Arial" w:eastAsia="Arial" w:hAnsi="Arial"/>
          <w:sz w:val="18"/>
          <w:szCs w:val="18"/>
          <w:color w:val="auto"/>
        </w:rPr>
      </w:pPr>
    </w:p>
    <w:p>
      <w:pPr>
        <w:jc w:val="both"/>
        <w:ind w:firstLine="1735"/>
        <w:spacing w:after="0" w:line="279" w:lineRule="auto"/>
        <w:tabs>
          <w:tab w:leader="none" w:pos="257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Investments (i) by any Borrower or secured Guarantor hereunder in any other Borrower or secured Guarantor hereunder, (ii) by Borrower in the Australian Subsidiary, the Canadian Subsidiary, and any other Subsidiary that is not a co-Borrower or secured Guarantor hereunder not to exceed Two Million Dollars ($2,000,000) in the aggregate in any fiscal year, and (iii) by Subsidiaries that are not co-Borrowers or secured Guarantors hereunder in other Subsidiaries that are not co-Borrowers or secured Guarantors hereunder or in Borrower;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firstLine="1735"/>
        <w:spacing w:after="0" w:line="277" w:lineRule="auto"/>
        <w:tabs>
          <w:tab w:leader="none" w:pos="25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6.3 of this Agreement, which is otherwise a Permitted Investment;</w:t>
      </w:r>
    </w:p>
    <w:p>
      <w:pPr>
        <w:spacing w:after="0" w:line="170" w:lineRule="exact"/>
        <w:rPr>
          <w:rFonts w:ascii="Arial" w:cs="Arial" w:eastAsia="Arial" w:hAnsi="Arial"/>
          <w:sz w:val="18"/>
          <w:szCs w:val="18"/>
          <w:color w:val="auto"/>
        </w:rPr>
      </w:pPr>
    </w:p>
    <w:p>
      <w:pPr>
        <w:jc w:val="both"/>
        <w:ind w:firstLine="1735"/>
        <w:spacing w:after="0" w:line="311" w:lineRule="auto"/>
        <w:tabs>
          <w:tab w:leader="none" w:pos="25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pacing w:after="0" w:line="148" w:lineRule="exact"/>
        <w:rPr>
          <w:rFonts w:ascii="Arial" w:cs="Arial" w:eastAsia="Arial" w:hAnsi="Arial"/>
          <w:sz w:val="16"/>
          <w:szCs w:val="16"/>
          <w:color w:val="auto"/>
        </w:rPr>
      </w:pPr>
    </w:p>
    <w:p>
      <w:pPr>
        <w:ind w:firstLine="1735"/>
        <w:spacing w:after="0" w:line="308" w:lineRule="auto"/>
        <w:tabs>
          <w:tab w:leader="none" w:pos="258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jc w:val="both"/>
        <w:ind w:firstLine="1735"/>
        <w:spacing w:after="0" w:line="263" w:lineRule="auto"/>
        <w:tabs>
          <w:tab w:leader="none" w:pos="25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183" w:lineRule="exact"/>
        <w:rPr>
          <w:rFonts w:ascii="Arial" w:cs="Arial" w:eastAsia="Arial" w:hAnsi="Arial"/>
          <w:sz w:val="18"/>
          <w:szCs w:val="18"/>
          <w:color w:val="auto"/>
        </w:rPr>
      </w:pPr>
    </w:p>
    <w:p>
      <w:pPr>
        <w:ind w:firstLine="1735"/>
        <w:spacing w:after="0" w:line="277" w:lineRule="auto"/>
        <w:tabs>
          <w:tab w:leader="none" w:pos="25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Investments by any Borrower or secured Guarantor in MSC Subsidiaries; provided that no Event of Default has occurred and is continuing or would result from such Investment; and</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other Investments in an aggregate amount not exceeding Two Hundred Fifty Thousand Dollars ($250,000) in any fiscal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 of Borrower.</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2580" w:hanging="845"/>
        <w:spacing w:after="0"/>
        <w:tabs>
          <w:tab w:leader="none" w:pos="2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Liens existing on the Effective Date which are shown on the Perfection Certificate or arising under this Agreement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other Loan Documents;</w:t>
      </w:r>
    </w:p>
    <w:p>
      <w:pPr>
        <w:spacing w:after="0" w:line="210" w:lineRule="exact"/>
        <w:rPr>
          <w:rFonts w:ascii="Arial" w:cs="Arial" w:eastAsia="Arial" w:hAnsi="Arial"/>
          <w:sz w:val="16"/>
          <w:szCs w:val="16"/>
          <w:color w:val="auto"/>
        </w:rPr>
      </w:pPr>
    </w:p>
    <w:p>
      <w:pPr>
        <w:jc w:val="both"/>
        <w:ind w:firstLine="1735"/>
        <w:spacing w:after="0" w:line="263" w:lineRule="auto"/>
        <w:tabs>
          <w:tab w:leader="none" w:pos="25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83"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purchase money Liens (i) on Equipment acquired or held by 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183" w:lineRule="exact"/>
        <w:rPr>
          <w:rFonts w:ascii="Arial" w:cs="Arial" w:eastAsia="Arial" w:hAnsi="Arial"/>
          <w:sz w:val="18"/>
          <w:szCs w:val="18"/>
          <w:color w:val="auto"/>
        </w:rPr>
      </w:pPr>
    </w:p>
    <w:p>
      <w:pPr>
        <w:jc w:val="both"/>
        <w:ind w:firstLine="1735"/>
        <w:spacing w:after="0" w:line="259" w:lineRule="auto"/>
        <w:tabs>
          <w:tab w:leader="none" w:pos="226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Two Hundred Thousand Dollars ($200,000)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firstLine="1735"/>
        <w:spacing w:after="0" w:line="277" w:lineRule="auto"/>
        <w:tabs>
          <w:tab w:leader="none" w:pos="25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5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(e), but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jc w:val="both"/>
        <w:ind w:firstLine="1735"/>
        <w:spacing w:after="0" w:line="279" w:lineRule="auto"/>
        <w:tabs>
          <w:tab w:leader="none" w:pos="258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leases, subleases, licenses and sublicenses do not prohibit granting Agent a security interest therein;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jc w:val="both"/>
        <w:ind w:firstLine="1735"/>
        <w:spacing w:after="0" w:line="263" w:lineRule="auto"/>
        <w:tabs>
          <w:tab w:leader="none" w:pos="22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non-exclusive licenses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183" w:lineRule="exact"/>
        <w:rPr>
          <w:rFonts w:ascii="Arial" w:cs="Arial" w:eastAsia="Arial" w:hAnsi="Arial"/>
          <w:sz w:val="18"/>
          <w:szCs w:val="18"/>
          <w:color w:val="auto"/>
        </w:rPr>
      </w:pPr>
    </w:p>
    <w:p>
      <w:pPr>
        <w:ind w:left="2560" w:hanging="825"/>
        <w:spacing w:after="0"/>
        <w:tabs>
          <w:tab w:leader="none" w:pos="2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Sections 7.4 and 7.7;</w:t>
      </w:r>
    </w:p>
    <w:p>
      <w:pPr>
        <w:spacing w:after="0" w:line="210" w:lineRule="exact"/>
        <w:rPr>
          <w:rFonts w:ascii="Arial" w:cs="Arial" w:eastAsia="Arial" w:hAnsi="Arial"/>
          <w:sz w:val="16"/>
          <w:szCs w:val="16"/>
          <w:color w:val="auto"/>
        </w:rPr>
      </w:pPr>
    </w:p>
    <w:p>
      <w:pPr>
        <w:jc w:val="both"/>
        <w:ind w:firstLine="1735"/>
        <w:spacing w:after="0" w:line="263" w:lineRule="auto"/>
        <w:tabs>
          <w:tab w:leader="none" w:pos="25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3" w:lineRule="exact"/>
        <w:rPr>
          <w:rFonts w:ascii="Arial" w:cs="Arial" w:eastAsia="Arial" w:hAnsi="Arial"/>
          <w:sz w:val="18"/>
          <w:szCs w:val="18"/>
          <w:color w:val="auto"/>
        </w:rPr>
      </w:pPr>
    </w:p>
    <w:p>
      <w:pPr>
        <w:ind w:firstLine="1735"/>
        <w:spacing w:after="0" w:line="277" w:lineRule="auto"/>
        <w:tabs>
          <w:tab w:leader="none" w:pos="22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in favor of customs or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jc w:val="both"/>
        <w:ind w:firstLine="1735"/>
        <w:spacing w:after="0" w:line="286" w:lineRule="auto"/>
        <w:tabs>
          <w:tab w:leader="none" w:pos="222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customary Liens of any bank in connection with statutory, common law and contractual rights of setoff and recoupment with respect to any deposit account or securities account of Borrower, provided that (i) to the extent required by Section 5.7, Agent has a first priority perfected security interest in such account and (ii) such account is permitted to be maintained pursuant to Section 5.7 of this Agreement</w:t>
      </w:r>
    </w:p>
    <w:p>
      <w:pPr>
        <w:spacing w:after="0" w:line="165" w:lineRule="exact"/>
        <w:rPr>
          <w:rFonts w:ascii="Arial" w:cs="Arial" w:eastAsia="Arial" w:hAnsi="Arial"/>
          <w:sz w:val="17"/>
          <w:szCs w:val="17"/>
          <w:color w:val="auto"/>
        </w:rPr>
      </w:pPr>
    </w:p>
    <w:p>
      <w:pPr>
        <w:ind w:firstLine="1735"/>
        <w:spacing w:after="0" w:line="277" w:lineRule="auto"/>
        <w:tabs>
          <w:tab w:leader="none" w:pos="2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in connection with security deposits related to real property leases in an aggregate amount not to exceed Six Hundred Thousand Dollars ($600,000); and</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2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(other than for borrowed money), leases, statutory obligations, surety and appeal bonds, and other obligations of a like nature incurred in the ordinary course of business in an aggregate amount not to exceed Two Hundred Thousand Dollars ($200,000).</w:t>
      </w:r>
    </w:p>
    <w:p>
      <w:pPr>
        <w:spacing w:after="0" w:line="180" w:lineRule="exact"/>
        <w:rPr>
          <w:sz w:val="20"/>
          <w:szCs w:val="20"/>
          <w:color w:val="auto"/>
        </w:rPr>
      </w:pPr>
    </w:p>
    <w:p>
      <w:pPr>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is that certain Stock Pledge Agreement dated as of the Effective Date between Borrower and Agent, as amended, modified, supplemented and/or restated from time to time.</w:t>
      </w:r>
    </w:p>
    <w:p>
      <w:pPr>
        <w:spacing w:after="0" w:line="162"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Agent, for the ratable benefit of the Lenders based on their Pro Rata Share, with respect to the Term Loan Advances, in an amount equal to:</w:t>
      </w:r>
    </w:p>
    <w:p>
      <w:pPr>
        <w:spacing w:after="0" w:line="166" w:lineRule="exact"/>
        <w:rPr>
          <w:sz w:val="20"/>
          <w:szCs w:val="20"/>
          <w:color w:val="auto"/>
        </w:rPr>
      </w:pPr>
    </w:p>
    <w:p>
      <w:pPr>
        <w:jc w:val="both"/>
        <w:ind w:left="2160" w:hanging="438"/>
        <w:spacing w:after="0" w:line="263" w:lineRule="auto"/>
        <w:tabs>
          <w:tab w:leader="none" w:pos="2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 prepayment of the Term Loan Advances made on or prior to the first (1st) anniversary of the Effective Date, one and one-half of one percent (1.5%) of the then outstanding principal amount of the Term Loan Advances immediately prior to the date of such prepayment;</w:t>
      </w:r>
    </w:p>
    <w:p>
      <w:pPr>
        <w:spacing w:after="0" w:line="183" w:lineRule="exact"/>
        <w:rPr>
          <w:rFonts w:ascii="Arial" w:cs="Arial" w:eastAsia="Arial" w:hAnsi="Arial"/>
          <w:sz w:val="18"/>
          <w:szCs w:val="18"/>
          <w:color w:val="auto"/>
        </w:rPr>
      </w:pPr>
    </w:p>
    <w:p>
      <w:pPr>
        <w:jc w:val="both"/>
        <w:ind w:left="2160" w:hanging="438"/>
        <w:spacing w:after="0" w:line="263" w:lineRule="auto"/>
        <w:tabs>
          <w:tab w:leader="none" w:pos="2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first (1st) anniversary of the Effective Date, but on or prior to the second (2nd) anniversary of the Effective Date, one percent (1.0%) of the then outstanding principal amount of the Term Loan Advances immediately prior to the date of such prepayment; and</w:t>
      </w:r>
    </w:p>
    <w:p>
      <w:pPr>
        <w:spacing w:after="0" w:line="183" w:lineRule="exact"/>
        <w:rPr>
          <w:rFonts w:ascii="Arial" w:cs="Arial" w:eastAsia="Arial" w:hAnsi="Arial"/>
          <w:sz w:val="18"/>
          <w:szCs w:val="18"/>
          <w:color w:val="auto"/>
        </w:rPr>
      </w:pPr>
    </w:p>
    <w:p>
      <w:pPr>
        <w:jc w:val="both"/>
        <w:ind w:left="2160" w:hanging="438"/>
        <w:spacing w:after="0" w:line="263" w:lineRule="auto"/>
        <w:tabs>
          <w:tab w:leader="none" w:pos="2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second (2nd) anniversary of the Effective Date, but prior to the Term Loan Maturity Date, zero percent (0.0%) of the then outstanding principal amount of the Term Loan Advances immediately prior to the date of such prepayment.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 Margin</w:t>
      </w:r>
      <w:r>
        <w:rPr>
          <w:rFonts w:ascii="Arial" w:cs="Arial" w:eastAsia="Arial" w:hAnsi="Arial"/>
          <w:sz w:val="18"/>
          <w:szCs w:val="18"/>
          <w:color w:val="auto"/>
        </w:rPr>
        <w:t>” is set forth on Schedule I hereto.</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ind w:right="140"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xml:space="preserve">” is, as of any date of determination,, with respect to each Lender, a percentage (expressed as a decimal, rounded to the ninth decimal place) determined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outstanding principal amount of Term Loan Advances held by such Lender </w:t>
      </w:r>
      <w:r>
        <w:rPr>
          <w:rFonts w:ascii="Arial" w:cs="Arial" w:eastAsia="Arial" w:hAnsi="Arial"/>
          <w:sz w:val="18"/>
          <w:szCs w:val="18"/>
          <w:i w:val="1"/>
          <w:iCs w:val="1"/>
          <w:color w:val="auto"/>
        </w:rPr>
        <w:t>by</w:t>
      </w:r>
      <w:r>
        <w:rPr>
          <w:rFonts w:ascii="Arial" w:cs="Arial" w:eastAsia="Arial" w:hAnsi="Arial"/>
          <w:sz w:val="18"/>
          <w:szCs w:val="18"/>
          <w:color w:val="auto"/>
        </w:rPr>
        <w:t xml:space="preserve"> the aggregate outstanding principal amount of all Term Loan Advances.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is defined in Section 9.10(d).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is defined in Section 12.8.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and Chief Financial Officer of Borrower.</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similar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Agent’s right to sell any Collateral.</w:t>
      </w:r>
    </w:p>
    <w:p>
      <w:pPr>
        <w:spacing w:after="0" w:line="17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 clauses (a) and (b) hereof.</w:t>
      </w:r>
    </w:p>
    <w:p>
      <w:pPr>
        <w:spacing w:after="0" w:line="18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is the Securities and Exchange Commission, any successor thereto, and any analogous Governmental Authority.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w:t>
      </w:r>
    </w:p>
    <w:p>
      <w:pPr>
        <w:spacing w:after="0" w:line="237"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of Borrower’s or any of its Subsidiaries’ now or hereafter indebtedness to Agent and the Lenders (pursuant to a subordination, intercreditor, or other similar agreement in form and substance satisfactory to Agent and the Lenders entered into between Agent, the Lenders, and the other creditor), on terms acceptable to Agent and the Lenders.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Tranche A Term Loan Advance</w:t>
      </w:r>
      <w:r>
        <w:rPr>
          <w:rFonts w:ascii="Arial" w:cs="Arial" w:eastAsia="Arial" w:hAnsi="Arial"/>
          <w:sz w:val="18"/>
          <w:szCs w:val="18"/>
          <w:color w:val="auto"/>
        </w:rPr>
        <w:t>” is defined in Section 1.1(a).</w:t>
      </w:r>
    </w:p>
    <w:p>
      <w:pPr>
        <w:spacing w:after="0" w:line="22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Capital</w:t>
      </w:r>
      <w:r>
        <w:rPr>
          <w:rFonts w:ascii="Arial" w:cs="Arial" w:eastAsia="Arial" w:hAnsi="Arial"/>
          <w:sz w:val="18"/>
          <w:szCs w:val="18"/>
          <w:color w:val="auto"/>
        </w:rPr>
        <w:t>” is defined in the preamble hereof.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both"/>
        <w:ind w:firstLine="86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1.1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Amortization Date</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Availability Amount</w:t>
      </w:r>
      <w:r>
        <w:rPr>
          <w:rFonts w:ascii="Arial" w:cs="Arial" w:eastAsia="Arial" w:hAnsi="Arial"/>
          <w:sz w:val="18"/>
          <w:szCs w:val="18"/>
          <w:color w:val="auto"/>
        </w:rPr>
        <w:t>” is set forth on Schedule I hereto.</w:t>
      </w:r>
    </w:p>
    <w:p>
      <w:pPr>
        <w:spacing w:after="0" w:line="225" w:lineRule="exact"/>
        <w:rPr>
          <w:sz w:val="20"/>
          <w:szCs w:val="20"/>
          <w:color w:val="auto"/>
        </w:rPr>
      </w:pPr>
    </w:p>
    <w:p>
      <w:pPr>
        <w:jc w:val="both"/>
        <w:ind w:firstLine="86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w:t>
      </w:r>
      <w:r>
        <w:rPr>
          <w:rFonts w:ascii="Arial" w:cs="Arial" w:eastAsia="Arial" w:hAnsi="Arial"/>
          <w:sz w:val="17"/>
          <w:szCs w:val="17"/>
          <w:color w:val="auto"/>
        </w:rPr>
        <w:t>” means, for any Lender, the obligation of such Lender to make a Term Loan Advance as and when available, up to the principal amount shown on Schedule II. “</w:t>
      </w:r>
      <w:r>
        <w:rPr>
          <w:rFonts w:ascii="Arial" w:cs="Arial" w:eastAsia="Arial" w:hAnsi="Arial"/>
          <w:sz w:val="17"/>
          <w:szCs w:val="17"/>
          <w:b w:val="1"/>
          <w:bCs w:val="1"/>
          <w:color w:val="auto"/>
        </w:rPr>
        <w:t>Term Loan Commitments</w:t>
      </w:r>
      <w:r>
        <w:rPr>
          <w:rFonts w:ascii="Arial" w:cs="Arial" w:eastAsia="Arial" w:hAnsi="Arial"/>
          <w:sz w:val="17"/>
          <w:szCs w:val="17"/>
          <w:color w:val="auto"/>
        </w:rPr>
        <w:t>” means the aggregate amount of such commitments of all Lenders.</w:t>
      </w:r>
    </w:p>
    <w:p>
      <w:pPr>
        <w:spacing w:after="0" w:line="14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means, as to any Lender at any time, the percentage (carried out to the fourth decimal place) of the Term Loan Commitments represented by such Lender’s Term Loan Commitment at such time. The initial Term Loan Commitment Percentage of each Lender is set forth opposite the name of such Lender on Schedule II.</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set forth on Schedule I hereto.</w:t>
      </w:r>
    </w:p>
    <w:p>
      <w:pPr>
        <w:spacing w:after="0" w:line="225" w:lineRule="exact"/>
        <w:rPr>
          <w:sz w:val="20"/>
          <w:szCs w:val="20"/>
          <w:color w:val="auto"/>
        </w:rPr>
      </w:pPr>
    </w:p>
    <w:p>
      <w:pPr>
        <w:jc w:val="both"/>
        <w:ind w:firstLine="86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w:t>
      </w:r>
      <w:r>
        <w:rPr>
          <w:rFonts w:ascii="Arial" w:cs="Arial" w:eastAsia="Arial" w:hAnsi="Arial"/>
          <w:sz w:val="18"/>
          <w:szCs w:val="18"/>
          <w:color w:val="auto"/>
        </w:rPr>
        <w:t>” is defined in Section 1.1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Draw Period</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Term Loan Advances</w:t>
      </w:r>
      <w:r>
        <w:rPr>
          <w:rFonts w:ascii="Arial" w:cs="Arial" w:eastAsia="Arial" w:hAnsi="Arial"/>
          <w:sz w:val="18"/>
          <w:szCs w:val="18"/>
          <w:color w:val="auto"/>
        </w:rPr>
        <w:t>” is defined in Section 1.1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w:t>
      </w:r>
      <w:r>
        <w:rPr>
          <w:rFonts w:ascii="Arial" w:cs="Arial" w:eastAsia="Arial" w:hAnsi="Arial"/>
          <w:sz w:val="18"/>
          <w:szCs w:val="18"/>
          <w:color w:val="auto"/>
        </w:rPr>
        <w:t>” is defined in Section 1.1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Draw Condition</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Draw Period</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Term Loan Advance</w:t>
      </w:r>
      <w:r>
        <w:rPr>
          <w:rFonts w:ascii="Arial" w:cs="Arial" w:eastAsia="Arial" w:hAnsi="Arial"/>
          <w:sz w:val="18"/>
          <w:szCs w:val="18"/>
          <w:color w:val="auto"/>
        </w:rPr>
        <w:t>” is defined in Section 1.1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w:t>
      </w:r>
      <w:r>
        <w:rPr>
          <w:rFonts w:ascii="Arial" w:cs="Arial" w:eastAsia="Arial" w:hAnsi="Arial"/>
          <w:sz w:val="18"/>
          <w:szCs w:val="18"/>
          <w:color w:val="auto"/>
        </w:rPr>
        <w:t>” is defined in Section 1.1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Draw Conditions</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Draw Period</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Term Loan Advance</w:t>
      </w:r>
      <w:r>
        <w:rPr>
          <w:rFonts w:ascii="Arial" w:cs="Arial" w:eastAsia="Arial" w:hAnsi="Arial"/>
          <w:sz w:val="18"/>
          <w:szCs w:val="18"/>
          <w:color w:val="auto"/>
        </w:rPr>
        <w:t>” is defined in Section 1.1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6.1.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Uncommitted Accordion</w:t>
      </w:r>
      <w:r>
        <w:rPr>
          <w:rFonts w:ascii="Arial" w:cs="Arial" w:eastAsia="Arial" w:hAnsi="Arial"/>
          <w:sz w:val="18"/>
          <w:szCs w:val="18"/>
          <w:color w:val="auto"/>
        </w:rPr>
        <w:t>” is defined in Section 1.1 of this Agreement.</w:t>
      </w:r>
    </w:p>
    <w:p>
      <w:pPr>
        <w:spacing w:after="0" w:line="22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(Public Law 107-56, signed into law on October 26, 2001), as amended from time to time.</w:t>
      </w: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left="8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AVROBIO,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Erik Ostrowski</w:t>
            </w:r>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Erik Ostrowski</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r>
        <w:rPr>
          <w:rFonts w:ascii="Arial" w:cs="Arial" w:eastAsia="Arial" w:hAnsi="Arial"/>
          <w:sz w:val="18"/>
          <w:szCs w:val="18"/>
          <w:color w:val="auto"/>
        </w:rPr>
        <w:t>, as Agent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1546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 Cole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r>
        <w:rPr>
          <w:rFonts w:ascii="Arial" w:cs="Arial" w:eastAsia="Arial" w:hAnsi="Arial"/>
          <w:sz w:val="18"/>
          <w:szCs w:val="18"/>
          <w:color w:val="auto"/>
        </w:rPr>
        <w:t>, as Lender</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1546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 Cole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Director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INNOVATION CREDIT FUND VIII, L.P.</w:t>
      </w:r>
      <w:r>
        <w:rPr>
          <w:rFonts w:ascii="Arial" w:cs="Arial" w:eastAsia="Arial" w:hAnsi="Arial"/>
          <w:sz w:val="18"/>
          <w:szCs w:val="18"/>
          <w:color w:val="auto"/>
        </w:rPr>
        <w:t>, as 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SVB Innovation Credit Partners VIII, LLC,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its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1546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Ryan Grammer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Senior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20"/>
        <w:spacing w:after="0"/>
        <w:rPr>
          <w:sz w:val="20"/>
          <w:szCs w:val="20"/>
          <w:color w:val="auto"/>
        </w:rPr>
      </w:pPr>
      <w:r>
        <w:rPr>
          <w:rFonts w:ascii="Arial" w:cs="Arial" w:eastAsia="Arial" w:hAnsi="Arial"/>
          <w:sz w:val="18"/>
          <w:szCs w:val="18"/>
          <w:b w:val="1"/>
          <w:bCs w:val="1"/>
          <w:i w:val="1"/>
          <w:iCs w:val="1"/>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31" w:name="page132"/>
    <w:bookmarkEnd w:id="131"/>
    <w:tbl>
      <w:tblPr>
        <w:tblLayout w:type="fixed"/>
        <w:tblInd w:w="1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SCHEDULE I</w:t>
            </w:r>
          </w:p>
        </w:tc>
        <w:tc>
          <w:tcPr>
            <w:tcW w:w="50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380" w:type="dxa"/>
            <w:vAlign w:val="bottom"/>
            <w:gridSpan w:val="9"/>
          </w:tcPr>
          <w:p>
            <w:pPr>
              <w:jc w:val="center"/>
              <w:ind w:right="4860"/>
              <w:spacing w:after="0" w:line="196" w:lineRule="exact"/>
              <w:rPr>
                <w:sz w:val="20"/>
                <w:szCs w:val="20"/>
                <w:color w:val="auto"/>
              </w:rPr>
            </w:pPr>
            <w:r>
              <w:rPr>
                <w:rFonts w:ascii="Arial" w:cs="Arial" w:eastAsia="Arial" w:hAnsi="Arial"/>
                <w:sz w:val="18"/>
                <w:szCs w:val="18"/>
                <w:b w:val="1"/>
                <w:bCs w:val="1"/>
                <w:color w:val="auto"/>
                <w:w w:val="99"/>
              </w:rPr>
              <w:t>LSA PROVISIONS</w:t>
            </w:r>
          </w:p>
        </w:tc>
        <w:tc>
          <w:tcPr>
            <w:tcW w:w="20" w:type="dxa"/>
            <w:vAlign w:val="bottom"/>
          </w:tcPr>
          <w:p>
            <w:pPr>
              <w:spacing w:after="0"/>
              <w:rPr>
                <w:sz w:val="17"/>
                <w:szCs w:val="17"/>
                <w:color w:val="auto"/>
              </w:rPr>
            </w:pPr>
          </w:p>
        </w:tc>
      </w:tr>
      <w:tr>
        <w:trPr>
          <w:trHeight w:val="263"/>
        </w:trPr>
        <w:tc>
          <w:tcPr>
            <w:tcW w:w="1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69"/>
        </w:trPr>
        <w:tc>
          <w:tcPr>
            <w:tcW w:w="3740" w:type="dxa"/>
            <w:vAlign w:val="bottom"/>
            <w:tcBorders>
              <w:left w:val="single" w:sz="8" w:color="auto"/>
              <w:right w:val="single" w:sz="8" w:color="auto"/>
            </w:tcBorders>
            <w:gridSpan w:val="3"/>
          </w:tcPr>
          <w:p>
            <w:pPr>
              <w:ind w:left="1400"/>
              <w:spacing w:after="0" w:line="169" w:lineRule="exact"/>
              <w:rPr>
                <w:sz w:val="20"/>
                <w:szCs w:val="20"/>
                <w:color w:val="auto"/>
              </w:rPr>
            </w:pPr>
            <w:r>
              <w:rPr>
                <w:rFonts w:ascii="Arial" w:cs="Arial" w:eastAsia="Arial" w:hAnsi="Arial"/>
                <w:sz w:val="18"/>
                <w:szCs w:val="18"/>
                <w:b w:val="1"/>
                <w:bCs w:val="1"/>
                <w:color w:val="auto"/>
              </w:rPr>
              <w:t>LSA Section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2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8"/>
                <w:szCs w:val="18"/>
                <w:b w:val="1"/>
                <w:bCs w:val="1"/>
                <w:color w:val="auto"/>
              </w:rPr>
              <w:t>LSA Provision</w:t>
            </w:r>
          </w:p>
        </w:tc>
        <w:tc>
          <w:tcPr>
            <w:tcW w:w="20" w:type="dxa"/>
            <w:vAlign w:val="bottom"/>
          </w:tcPr>
          <w:p>
            <w:pPr>
              <w:spacing w:after="0"/>
              <w:rPr>
                <w:sz w:val="14"/>
                <w:szCs w:val="14"/>
                <w:color w:val="auto"/>
              </w:rPr>
            </w:pPr>
          </w:p>
        </w:tc>
      </w:tr>
      <w:tr>
        <w:trPr>
          <w:trHeight w:val="128"/>
        </w:trPr>
        <w:tc>
          <w:tcPr>
            <w:tcW w:w="1400" w:type="dxa"/>
            <w:vAlign w:val="bottom"/>
            <w:tcBorders>
              <w:left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95"/>
        </w:trPr>
        <w:tc>
          <w:tcPr>
            <w:tcW w:w="374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1.1(a) – Term Loan Advances – Availability</w:t>
            </w:r>
          </w:p>
        </w:tc>
        <w:tc>
          <w:tcPr>
            <w:tcW w:w="7500" w:type="dxa"/>
            <w:vAlign w:val="bottom"/>
            <w:tcBorders>
              <w:right w:val="single" w:sz="8" w:color="auto"/>
            </w:tcBorders>
            <w:gridSpan w:val="11"/>
          </w:tcPr>
          <w:p>
            <w:pPr>
              <w:spacing w:after="0" w:line="195" w:lineRule="exact"/>
              <w:rPr>
                <w:sz w:val="20"/>
                <w:szCs w:val="20"/>
                <w:color w:val="auto"/>
              </w:rPr>
            </w:pPr>
            <w:r>
              <w:rPr>
                <w:rFonts w:ascii="Arial" w:cs="Arial" w:eastAsia="Arial" w:hAnsi="Arial"/>
                <w:sz w:val="18"/>
                <w:szCs w:val="18"/>
                <w:color w:val="auto"/>
                <w:w w:val="91"/>
              </w:rPr>
              <w:t>Each Term Loan Advance must made in accordance with the terms and conditions set forth in Section</w:t>
            </w:r>
          </w:p>
        </w:tc>
        <w:tc>
          <w:tcPr>
            <w:tcW w:w="20" w:type="dxa"/>
            <w:vAlign w:val="bottom"/>
          </w:tcPr>
          <w:p>
            <w:pPr>
              <w:spacing w:after="0"/>
              <w:rPr>
                <w:sz w:val="16"/>
                <w:szCs w:val="16"/>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4"/>
              </w:rPr>
              <w:t>1.1(a) hereof. After repayment, no Term Loan Advance (or any portion thereof) may be reborrowed.</w:t>
            </w:r>
          </w:p>
        </w:tc>
        <w:tc>
          <w:tcPr>
            <w:tcW w:w="20" w:type="dxa"/>
            <w:vAlign w:val="bottom"/>
          </w:tcPr>
          <w:p>
            <w:pPr>
              <w:spacing w:after="0"/>
              <w:rPr>
                <w:sz w:val="20"/>
                <w:szCs w:val="20"/>
                <w:color w:val="auto"/>
              </w:rPr>
            </w:pPr>
          </w:p>
        </w:tc>
      </w:tr>
      <w:tr>
        <w:trPr>
          <w:trHeight w:val="108"/>
        </w:trPr>
        <w:tc>
          <w:tcPr>
            <w:tcW w:w="140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374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1.1(b) – Term Loan Advances – Repayment</w:t>
            </w:r>
          </w:p>
        </w:tc>
        <w:tc>
          <w:tcPr>
            <w:tcW w:w="7500" w:type="dxa"/>
            <w:vAlign w:val="bottom"/>
            <w:tcBorders>
              <w:right w:val="single" w:sz="8" w:color="auto"/>
            </w:tcBorders>
            <w:gridSpan w:val="11"/>
          </w:tcPr>
          <w:p>
            <w:pPr>
              <w:spacing w:after="0" w:line="195" w:lineRule="exact"/>
              <w:rPr>
                <w:sz w:val="20"/>
                <w:szCs w:val="20"/>
                <w:color w:val="auto"/>
              </w:rPr>
            </w:pPr>
            <w:r>
              <w:rPr>
                <w:rFonts w:ascii="Arial" w:cs="Arial" w:eastAsia="Arial" w:hAnsi="Arial"/>
                <w:sz w:val="18"/>
                <w:szCs w:val="18"/>
                <w:color w:val="auto"/>
                <w:w w:val="93"/>
              </w:rPr>
              <w:t>Commencing on the Term Loan Amortization Date and continuing on each Payment Date thereafter,</w:t>
            </w:r>
          </w:p>
        </w:tc>
        <w:tc>
          <w:tcPr>
            <w:tcW w:w="20" w:type="dxa"/>
            <w:vAlign w:val="bottom"/>
          </w:tcPr>
          <w:p>
            <w:pPr>
              <w:spacing w:after="0"/>
              <w:rPr>
                <w:sz w:val="16"/>
                <w:szCs w:val="16"/>
                <w:color w:val="auto"/>
              </w:rPr>
            </w:pPr>
          </w:p>
        </w:tc>
      </w:tr>
      <w:tr>
        <w:trPr>
          <w:trHeight w:val="216"/>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2"/>
              </w:rPr>
              <w:t>Borrower shall repay the aggregate outstanding Term Loan Advances to Agent, for the account of the</w:t>
            </w:r>
          </w:p>
        </w:tc>
        <w:tc>
          <w:tcPr>
            <w:tcW w:w="20" w:type="dxa"/>
            <w:vAlign w:val="bottom"/>
          </w:tcPr>
          <w:p>
            <w:pPr>
              <w:spacing w:after="0"/>
              <w:rPr>
                <w:sz w:val="18"/>
                <w:szCs w:val="18"/>
                <w:color w:val="auto"/>
              </w:rPr>
            </w:pPr>
          </w:p>
        </w:tc>
      </w:tr>
      <w:tr>
        <w:trPr>
          <w:trHeight w:val="216"/>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4"/>
              </w:rPr>
              <w:t>Lenders, in (i) twenty four (24) equal monthly installments of principal, plus (ii) monthly payments of</w:t>
            </w:r>
          </w:p>
        </w:tc>
        <w:tc>
          <w:tcPr>
            <w:tcW w:w="20" w:type="dxa"/>
            <w:vAlign w:val="bottom"/>
          </w:tcPr>
          <w:p>
            <w:pPr>
              <w:spacing w:after="0"/>
              <w:rPr>
                <w:sz w:val="18"/>
                <w:szCs w:val="18"/>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accrued interest at the rate set forth in Section 1.2(b).</w:t>
            </w:r>
          </w:p>
        </w:tc>
        <w:tc>
          <w:tcPr>
            <w:tcW w:w="20" w:type="dxa"/>
            <w:vAlign w:val="bottom"/>
          </w:tcPr>
          <w:p>
            <w:pPr>
              <w:spacing w:after="0"/>
              <w:rPr>
                <w:sz w:val="20"/>
                <w:szCs w:val="20"/>
                <w:color w:val="auto"/>
              </w:rPr>
            </w:pPr>
          </w:p>
        </w:tc>
      </w:tr>
      <w:tr>
        <w:trPr>
          <w:trHeight w:val="108"/>
        </w:trPr>
        <w:tc>
          <w:tcPr>
            <w:tcW w:w="140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374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w w:val="91"/>
              </w:rPr>
              <w:t>1.2(a) – Interest Payments – Term Loan Advances</w:t>
            </w:r>
          </w:p>
        </w:tc>
        <w:tc>
          <w:tcPr>
            <w:tcW w:w="7500" w:type="dxa"/>
            <w:vAlign w:val="bottom"/>
            <w:tcBorders>
              <w:right w:val="single" w:sz="8" w:color="auto"/>
            </w:tcBorders>
            <w:gridSpan w:val="11"/>
          </w:tcPr>
          <w:p>
            <w:pPr>
              <w:spacing w:after="0" w:line="195" w:lineRule="exact"/>
              <w:rPr>
                <w:sz w:val="20"/>
                <w:szCs w:val="20"/>
                <w:color w:val="auto"/>
              </w:rPr>
            </w:pPr>
            <w:r>
              <w:rPr>
                <w:rFonts w:ascii="Arial" w:cs="Arial" w:eastAsia="Arial" w:hAnsi="Arial"/>
                <w:sz w:val="18"/>
                <w:szCs w:val="18"/>
                <w:color w:val="auto"/>
                <w:w w:val="92"/>
              </w:rPr>
              <w:t>Interest on the principal amount of each Term Loan Advance is payable in arrears monthly (i) on each</w:t>
            </w:r>
          </w:p>
        </w:tc>
        <w:tc>
          <w:tcPr>
            <w:tcW w:w="20" w:type="dxa"/>
            <w:vAlign w:val="bottom"/>
          </w:tcPr>
          <w:p>
            <w:pPr>
              <w:spacing w:after="0"/>
              <w:rPr>
                <w:sz w:val="16"/>
                <w:szCs w:val="16"/>
                <w:color w:val="auto"/>
              </w:rPr>
            </w:pPr>
          </w:p>
        </w:tc>
      </w:tr>
      <w:tr>
        <w:trPr>
          <w:trHeight w:val="216"/>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2"/>
              </w:rPr>
              <w:t>Payment Date commencing on the first (1</w:t>
            </w:r>
            <w:r>
              <w:rPr>
                <w:rFonts w:ascii="Arial" w:cs="Arial" w:eastAsia="Arial" w:hAnsi="Arial"/>
                <w:sz w:val="15"/>
                <w:szCs w:val="15"/>
                <w:color w:val="auto"/>
                <w:w w:val="92"/>
              </w:rPr>
              <w:t>st</w:t>
            </w:r>
            <w:r>
              <w:rPr>
                <w:rFonts w:ascii="Arial" w:cs="Arial" w:eastAsia="Arial" w:hAnsi="Arial"/>
                <w:sz w:val="18"/>
                <w:szCs w:val="18"/>
                <w:color w:val="auto"/>
                <w:w w:val="92"/>
              </w:rPr>
              <w:t>) Payment Date of the month following the month in which</w:t>
            </w:r>
          </w:p>
        </w:tc>
        <w:tc>
          <w:tcPr>
            <w:tcW w:w="20" w:type="dxa"/>
            <w:vAlign w:val="bottom"/>
          </w:tcPr>
          <w:p>
            <w:pPr>
              <w:spacing w:after="0"/>
              <w:rPr>
                <w:sz w:val="18"/>
                <w:szCs w:val="18"/>
                <w:color w:val="auto"/>
              </w:rPr>
            </w:pPr>
          </w:p>
        </w:tc>
      </w:tr>
      <w:tr>
        <w:trPr>
          <w:trHeight w:val="216"/>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1"/>
              </w:rPr>
              <w:t>the Funding Date of the applicable Term Loan Advance occurs, (ii) on the date of any prepayment and</w:t>
            </w:r>
          </w:p>
        </w:tc>
        <w:tc>
          <w:tcPr>
            <w:tcW w:w="20" w:type="dxa"/>
            <w:vAlign w:val="bottom"/>
          </w:tcPr>
          <w:p>
            <w:pPr>
              <w:spacing w:after="0"/>
              <w:rPr>
                <w:sz w:val="18"/>
                <w:szCs w:val="18"/>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(iii) on the Term Loan Maturity Date.</w:t>
            </w:r>
          </w:p>
        </w:tc>
        <w:tc>
          <w:tcPr>
            <w:tcW w:w="20" w:type="dxa"/>
            <w:vAlign w:val="bottom"/>
          </w:tcPr>
          <w:p>
            <w:pPr>
              <w:spacing w:after="0"/>
              <w:rPr>
                <w:sz w:val="20"/>
                <w:szCs w:val="20"/>
                <w:color w:val="auto"/>
              </w:rPr>
            </w:pPr>
          </w:p>
        </w:tc>
      </w:tr>
      <w:tr>
        <w:trPr>
          <w:trHeight w:val="108"/>
        </w:trPr>
        <w:tc>
          <w:tcPr>
            <w:tcW w:w="140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374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1.2(b) – Interest Rate – Term Loan Advances</w:t>
            </w:r>
          </w:p>
        </w:tc>
        <w:tc>
          <w:tcPr>
            <w:tcW w:w="7500" w:type="dxa"/>
            <w:vAlign w:val="bottom"/>
            <w:tcBorders>
              <w:right w:val="single" w:sz="8" w:color="auto"/>
            </w:tcBorders>
            <w:gridSpan w:val="11"/>
          </w:tcPr>
          <w:p>
            <w:pPr>
              <w:spacing w:after="0" w:line="195" w:lineRule="exact"/>
              <w:rPr>
                <w:sz w:val="20"/>
                <w:szCs w:val="20"/>
                <w:color w:val="auto"/>
              </w:rPr>
            </w:pPr>
            <w:r>
              <w:rPr>
                <w:rFonts w:ascii="Arial" w:cs="Arial" w:eastAsia="Arial" w:hAnsi="Arial"/>
                <w:sz w:val="18"/>
                <w:szCs w:val="18"/>
                <w:color w:val="auto"/>
                <w:w w:val="91"/>
              </w:rPr>
              <w:t>The outstanding principal amount of any Term Loan Advance shall accrue interest at a floating rate per</w:t>
            </w:r>
          </w:p>
        </w:tc>
        <w:tc>
          <w:tcPr>
            <w:tcW w:w="20" w:type="dxa"/>
            <w:vAlign w:val="bottom"/>
          </w:tcPr>
          <w:p>
            <w:pPr>
              <w:spacing w:after="0"/>
              <w:rPr>
                <w:sz w:val="16"/>
                <w:szCs w:val="16"/>
                <w:color w:val="auto"/>
              </w:rPr>
            </w:pPr>
          </w:p>
        </w:tc>
      </w:tr>
      <w:tr>
        <w:trPr>
          <w:trHeight w:val="216"/>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4"/>
              </w:rPr>
              <w:t>annum equal to the greater of (i) eight and one-tenth of one percent (8.10%) and (ii) the Prime Rate</w:t>
            </w:r>
          </w:p>
        </w:tc>
        <w:tc>
          <w:tcPr>
            <w:tcW w:w="20" w:type="dxa"/>
            <w:vAlign w:val="bottom"/>
          </w:tcPr>
          <w:p>
            <w:pPr>
              <w:spacing w:after="0"/>
              <w:rPr>
                <w:sz w:val="18"/>
                <w:szCs w:val="18"/>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9"/>
              </w:rPr>
              <w:t>plus the Prime Rate Margin, which interest shall be payable in accordance with Section 1.2(a).</w:t>
            </w:r>
          </w:p>
        </w:tc>
        <w:tc>
          <w:tcPr>
            <w:tcW w:w="20" w:type="dxa"/>
            <w:vAlign w:val="bottom"/>
          </w:tcPr>
          <w:p>
            <w:pPr>
              <w:spacing w:after="0"/>
              <w:rPr>
                <w:sz w:val="20"/>
                <w:szCs w:val="20"/>
                <w:color w:val="auto"/>
              </w:rPr>
            </w:pPr>
          </w:p>
        </w:tc>
      </w:tr>
      <w:tr>
        <w:trPr>
          <w:trHeight w:val="108"/>
        </w:trPr>
        <w:tc>
          <w:tcPr>
            <w:tcW w:w="140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95"/>
        </w:trPr>
        <w:tc>
          <w:tcPr>
            <w:tcW w:w="374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1.2(e) – Interest Computation</w:t>
            </w:r>
          </w:p>
        </w:tc>
        <w:tc>
          <w:tcPr>
            <w:tcW w:w="7500" w:type="dxa"/>
            <w:vAlign w:val="bottom"/>
            <w:tcBorders>
              <w:right w:val="single" w:sz="8" w:color="auto"/>
            </w:tcBorders>
            <w:gridSpan w:val="11"/>
          </w:tcPr>
          <w:p>
            <w:pPr>
              <w:spacing w:after="0" w:line="195" w:lineRule="exact"/>
              <w:rPr>
                <w:sz w:val="20"/>
                <w:szCs w:val="20"/>
                <w:color w:val="auto"/>
              </w:rPr>
            </w:pPr>
            <w:r>
              <w:rPr>
                <w:rFonts w:ascii="Arial" w:cs="Arial" w:eastAsia="Arial" w:hAnsi="Arial"/>
                <w:sz w:val="18"/>
                <w:szCs w:val="18"/>
                <w:color w:val="auto"/>
                <w:w w:val="89"/>
              </w:rPr>
              <w:t>Interest shall be computed on the basis of the actual number of days elapsed and a 360-day year for any</w:t>
            </w:r>
          </w:p>
        </w:tc>
        <w:tc>
          <w:tcPr>
            <w:tcW w:w="20" w:type="dxa"/>
            <w:vAlign w:val="bottom"/>
          </w:tcPr>
          <w:p>
            <w:pPr>
              <w:spacing w:after="0"/>
              <w:rPr>
                <w:sz w:val="16"/>
                <w:szCs w:val="16"/>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Credit Extension outstanding.</w:t>
            </w:r>
          </w:p>
        </w:tc>
        <w:tc>
          <w:tcPr>
            <w:tcW w:w="20" w:type="dxa"/>
            <w:vAlign w:val="bottom"/>
          </w:tcPr>
          <w:p>
            <w:pPr>
              <w:spacing w:after="0"/>
              <w:rPr>
                <w:sz w:val="20"/>
                <w:szCs w:val="20"/>
                <w:color w:val="auto"/>
              </w:rPr>
            </w:pPr>
          </w:p>
        </w:tc>
      </w:tr>
      <w:tr>
        <w:trPr>
          <w:trHeight w:val="108"/>
        </w:trPr>
        <w:tc>
          <w:tcPr>
            <w:tcW w:w="140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28"/>
        </w:trPr>
        <w:tc>
          <w:tcPr>
            <w:tcW w:w="37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13.2 – “Borrower”</w:t>
            </w: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means </w:t>
            </w:r>
            <w:r>
              <w:rPr>
                <w:rFonts w:ascii="Arial" w:cs="Arial" w:eastAsia="Arial" w:hAnsi="Arial"/>
                <w:sz w:val="18"/>
                <w:szCs w:val="18"/>
                <w:b w:val="1"/>
                <w:bCs w:val="1"/>
                <w:color w:val="auto"/>
              </w:rPr>
              <w:t>AVROBIO, Inc.</w:t>
            </w:r>
            <w:r>
              <w:rPr>
                <w:rFonts w:ascii="Arial" w:cs="Arial" w:eastAsia="Arial" w:hAnsi="Arial"/>
                <w:sz w:val="18"/>
                <w:szCs w:val="18"/>
                <w:color w:val="auto"/>
              </w:rPr>
              <w:t>, a Delaware corporation.</w:t>
            </w:r>
          </w:p>
        </w:tc>
        <w:tc>
          <w:tcPr>
            <w:tcW w:w="20" w:type="dxa"/>
            <w:vAlign w:val="bottom"/>
          </w:tcPr>
          <w:p>
            <w:pPr>
              <w:spacing w:after="0"/>
              <w:rPr>
                <w:sz w:val="19"/>
                <w:szCs w:val="19"/>
                <w:color w:val="auto"/>
              </w:rPr>
            </w:pPr>
          </w:p>
        </w:tc>
      </w:tr>
      <w:tr>
        <w:trPr>
          <w:trHeight w:val="90"/>
        </w:trPr>
        <w:tc>
          <w:tcPr>
            <w:tcW w:w="1400" w:type="dxa"/>
            <w:vAlign w:val="bottom"/>
            <w:tcBorders>
              <w:left w:val="single" w:sz="8" w:color="auto"/>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228"/>
        </w:trPr>
        <w:tc>
          <w:tcPr>
            <w:tcW w:w="37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13.2 – “Effective Date”</w:t>
            </w: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November 2, 2021.</w:t>
            </w:r>
          </w:p>
        </w:tc>
        <w:tc>
          <w:tcPr>
            <w:tcW w:w="20" w:type="dxa"/>
            <w:vAlign w:val="bottom"/>
          </w:tcPr>
          <w:p>
            <w:pPr>
              <w:spacing w:after="0"/>
              <w:rPr>
                <w:sz w:val="19"/>
                <w:szCs w:val="19"/>
                <w:color w:val="auto"/>
              </w:rPr>
            </w:pPr>
          </w:p>
        </w:tc>
      </w:tr>
      <w:tr>
        <w:trPr>
          <w:trHeight w:val="90"/>
        </w:trPr>
        <w:tc>
          <w:tcPr>
            <w:tcW w:w="1400" w:type="dxa"/>
            <w:vAlign w:val="bottom"/>
            <w:tcBorders>
              <w:left w:val="single" w:sz="8" w:color="auto"/>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228"/>
        </w:trPr>
        <w:tc>
          <w:tcPr>
            <w:tcW w:w="37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13.2 – “Payment Date”</w:t>
            </w: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month.</w:t>
            </w:r>
          </w:p>
        </w:tc>
        <w:tc>
          <w:tcPr>
            <w:tcW w:w="20" w:type="dxa"/>
            <w:vAlign w:val="bottom"/>
          </w:tcPr>
          <w:p>
            <w:pPr>
              <w:spacing w:after="0"/>
              <w:rPr>
                <w:sz w:val="19"/>
                <w:szCs w:val="19"/>
                <w:color w:val="auto"/>
              </w:rPr>
            </w:pPr>
          </w:p>
        </w:tc>
      </w:tr>
      <w:tr>
        <w:trPr>
          <w:trHeight w:val="90"/>
        </w:trPr>
        <w:tc>
          <w:tcPr>
            <w:tcW w:w="1400" w:type="dxa"/>
            <w:vAlign w:val="bottom"/>
            <w:tcBorders>
              <w:left w:val="single" w:sz="8" w:color="auto"/>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95"/>
        </w:trPr>
        <w:tc>
          <w:tcPr>
            <w:tcW w:w="374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13.2 – “Prime Rate”</w:t>
            </w:r>
          </w:p>
        </w:tc>
        <w:tc>
          <w:tcPr>
            <w:tcW w:w="7500" w:type="dxa"/>
            <w:vAlign w:val="bottom"/>
            <w:tcBorders>
              <w:right w:val="single" w:sz="8" w:color="auto"/>
            </w:tcBorders>
            <w:gridSpan w:val="11"/>
          </w:tcPr>
          <w:p>
            <w:pPr>
              <w:spacing w:after="0" w:line="195"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Prime Rate</w:t>
            </w:r>
            <w:r>
              <w:rPr>
                <w:rFonts w:ascii="Arial" w:cs="Arial" w:eastAsia="Arial" w:hAnsi="Arial"/>
                <w:sz w:val="18"/>
                <w:szCs w:val="18"/>
                <w:color w:val="auto"/>
                <w:w w:val="93"/>
              </w:rPr>
              <w:t>” is the rate of interest per annum from time to time published in the money rates section</w:t>
            </w:r>
          </w:p>
        </w:tc>
        <w:tc>
          <w:tcPr>
            <w:tcW w:w="20" w:type="dxa"/>
            <w:vAlign w:val="bottom"/>
          </w:tcPr>
          <w:p>
            <w:pPr>
              <w:spacing w:after="0"/>
              <w:rPr>
                <w:sz w:val="16"/>
                <w:szCs w:val="16"/>
                <w:color w:val="auto"/>
              </w:rPr>
            </w:pPr>
          </w:p>
        </w:tc>
      </w:tr>
      <w:tr>
        <w:trPr>
          <w:trHeight w:val="190"/>
        </w:trPr>
        <w:tc>
          <w:tcPr>
            <w:tcW w:w="1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gridSpan w:val="11"/>
          </w:tcPr>
          <w:p>
            <w:pPr>
              <w:spacing w:after="0" w:line="190" w:lineRule="exact"/>
              <w:rPr>
                <w:sz w:val="20"/>
                <w:szCs w:val="20"/>
                <w:color w:val="auto"/>
              </w:rPr>
            </w:pPr>
            <w:r>
              <w:rPr>
                <w:rFonts w:ascii="Arial" w:cs="Arial" w:eastAsia="Arial" w:hAnsi="Arial"/>
                <w:sz w:val="18"/>
                <w:szCs w:val="18"/>
                <w:color w:val="auto"/>
                <w:w w:val="97"/>
              </w:rPr>
              <w:t>of The Wall Street Journal or any successor publication thereto as the “prime rate” then in effect;</w:t>
            </w:r>
          </w:p>
        </w:tc>
        <w:tc>
          <w:tcPr>
            <w:tcW w:w="20" w:type="dxa"/>
            <w:vAlign w:val="bottom"/>
          </w:tcPr>
          <w:p>
            <w:pPr>
              <w:spacing w:after="0"/>
              <w:rPr>
                <w:sz w:val="16"/>
                <w:szCs w:val="16"/>
                <w:color w:val="auto"/>
              </w:rPr>
            </w:pPr>
          </w:p>
        </w:tc>
      </w:tr>
      <w:tr>
        <w:trPr>
          <w:trHeight w:val="20"/>
        </w:trPr>
        <w:tc>
          <w:tcPr>
            <w:tcW w:w="140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7500" w:type="dxa"/>
            <w:vAlign w:val="bottom"/>
            <w:tcBorders>
              <w:right w:val="single" w:sz="8" w:color="auto"/>
            </w:tcBorders>
            <w:gridSpan w:val="11"/>
          </w:tcPr>
          <w:p>
            <w:pPr>
              <w:spacing w:after="0" w:line="196" w:lineRule="exact"/>
              <w:rPr>
                <w:sz w:val="20"/>
                <w:szCs w:val="20"/>
                <w:color w:val="auto"/>
              </w:rPr>
            </w:pPr>
            <w:r>
              <w:rPr>
                <w:rFonts w:ascii="Arial" w:cs="Arial" w:eastAsia="Arial" w:hAnsi="Arial"/>
                <w:sz w:val="18"/>
                <w:szCs w:val="18"/>
                <w:color w:val="auto"/>
                <w:w w:val="94"/>
              </w:rPr>
              <w:t>provided that if such rate of interest, as set forth from time to time in the money rates section of The</w:t>
            </w:r>
          </w:p>
        </w:tc>
        <w:tc>
          <w:tcPr>
            <w:tcW w:w="20" w:type="dxa"/>
            <w:vAlign w:val="bottom"/>
          </w:tcPr>
          <w:p>
            <w:pPr>
              <w:spacing w:after="0"/>
              <w:rPr>
                <w:sz w:val="17"/>
                <w:szCs w:val="17"/>
                <w:color w:val="auto"/>
              </w:rPr>
            </w:pPr>
          </w:p>
        </w:tc>
      </w:tr>
      <w:tr>
        <w:trPr>
          <w:trHeight w:val="20"/>
        </w:trPr>
        <w:tc>
          <w:tcPr>
            <w:tcW w:w="140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7500" w:type="dxa"/>
            <w:vAlign w:val="bottom"/>
            <w:tcBorders>
              <w:right w:val="single" w:sz="8" w:color="auto"/>
            </w:tcBorders>
            <w:gridSpan w:val="11"/>
          </w:tcPr>
          <w:p>
            <w:pPr>
              <w:spacing w:after="0" w:line="196" w:lineRule="exact"/>
              <w:rPr>
                <w:sz w:val="20"/>
                <w:szCs w:val="20"/>
                <w:color w:val="auto"/>
              </w:rPr>
            </w:pPr>
            <w:r>
              <w:rPr>
                <w:rFonts w:ascii="Arial" w:cs="Arial" w:eastAsia="Arial" w:hAnsi="Arial"/>
                <w:sz w:val="18"/>
                <w:szCs w:val="18"/>
                <w:color w:val="auto"/>
                <w:w w:val="94"/>
              </w:rPr>
              <w:t>Wall Street Journal, becomes unavailable for any reason as determined by Agent, the “Prime Rate”</w:t>
            </w:r>
          </w:p>
        </w:tc>
        <w:tc>
          <w:tcPr>
            <w:tcW w:w="20" w:type="dxa"/>
            <w:vAlign w:val="bottom"/>
          </w:tcPr>
          <w:p>
            <w:pPr>
              <w:spacing w:after="0"/>
              <w:rPr>
                <w:sz w:val="17"/>
                <w:szCs w:val="17"/>
                <w:color w:val="auto"/>
              </w:rPr>
            </w:pPr>
          </w:p>
        </w:tc>
      </w:tr>
      <w:tr>
        <w:trPr>
          <w:trHeight w:val="20"/>
        </w:trPr>
        <w:tc>
          <w:tcPr>
            <w:tcW w:w="140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400" w:type="dxa"/>
            <w:vAlign w:val="bottom"/>
            <w:gridSpan w:val="4"/>
            <w:shd w:val="clear" w:color="auto" w:fill="000000"/>
          </w:tcPr>
          <w:p>
            <w:pPr>
              <w:spacing w:after="0" w:line="20" w:lineRule="exact"/>
              <w:rPr>
                <w:sz w:val="1"/>
                <w:szCs w:val="1"/>
                <w:color w:val="auto"/>
              </w:rPr>
            </w:pPr>
          </w:p>
        </w:tc>
        <w:tc>
          <w:tcPr>
            <w:tcW w:w="6100" w:type="dxa"/>
            <w:vAlign w:val="bottom"/>
            <w:tcBorders>
              <w:right w:val="single" w:sz="8" w:color="auto"/>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40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2"/>
              </w:rPr>
              <w:t>shall mean the rate of interest per annum announced by SVB as its prime rate in effect at its principal</w:t>
            </w:r>
          </w:p>
        </w:tc>
        <w:tc>
          <w:tcPr>
            <w:tcW w:w="20" w:type="dxa"/>
            <w:vAlign w:val="bottom"/>
          </w:tcPr>
          <w:p>
            <w:pPr>
              <w:spacing w:after="0"/>
              <w:rPr>
                <w:sz w:val="19"/>
                <w:szCs w:val="19"/>
                <w:color w:val="auto"/>
              </w:rPr>
            </w:pPr>
          </w:p>
        </w:tc>
      </w:tr>
      <w:tr>
        <w:trPr>
          <w:trHeight w:val="216"/>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2"/>
              </w:rPr>
              <w:t>office in the State of California (such SVB announced Prime Rate not being intended to be the lowest</w:t>
            </w:r>
          </w:p>
        </w:tc>
        <w:tc>
          <w:tcPr>
            <w:tcW w:w="20" w:type="dxa"/>
            <w:vAlign w:val="bottom"/>
          </w:tcPr>
          <w:p>
            <w:pPr>
              <w:spacing w:after="0"/>
              <w:rPr>
                <w:sz w:val="18"/>
                <w:szCs w:val="18"/>
                <w:color w:val="auto"/>
              </w:rPr>
            </w:pPr>
          </w:p>
        </w:tc>
      </w:tr>
      <w:tr>
        <w:trPr>
          <w:trHeight w:val="216"/>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1"/>
              </w:rPr>
              <w:t>rate of interest charged by SVB in connection with extensions of credit to debtors); provided that, in the</w:t>
            </w:r>
          </w:p>
        </w:tc>
        <w:tc>
          <w:tcPr>
            <w:tcW w:w="20" w:type="dxa"/>
            <w:vAlign w:val="bottom"/>
          </w:tcPr>
          <w:p>
            <w:pPr>
              <w:spacing w:after="0"/>
              <w:rPr>
                <w:sz w:val="18"/>
                <w:szCs w:val="18"/>
                <w:color w:val="auto"/>
              </w:rPr>
            </w:pPr>
          </w:p>
        </w:tc>
      </w:tr>
      <w:tr>
        <w:trPr>
          <w:trHeight w:val="216"/>
        </w:trPr>
        <w:tc>
          <w:tcPr>
            <w:tcW w:w="14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0"/>
              </w:rPr>
              <w:t>event such rate of interest is less than zero percent (0.0%) per annum, such rate shall be deemed to be</w:t>
            </w:r>
          </w:p>
        </w:tc>
        <w:tc>
          <w:tcPr>
            <w:tcW w:w="20" w:type="dxa"/>
            <w:vAlign w:val="bottom"/>
          </w:tcPr>
          <w:p>
            <w:pPr>
              <w:spacing w:after="0"/>
              <w:rPr>
                <w:sz w:val="18"/>
                <w:szCs w:val="18"/>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zero percent (0.0%) per annum for purposes of this Agreement.</w:t>
            </w:r>
          </w:p>
        </w:tc>
        <w:tc>
          <w:tcPr>
            <w:tcW w:w="20" w:type="dxa"/>
            <w:vAlign w:val="bottom"/>
          </w:tcPr>
          <w:p>
            <w:pPr>
              <w:spacing w:after="0"/>
              <w:rPr>
                <w:sz w:val="20"/>
                <w:szCs w:val="20"/>
                <w:color w:val="auto"/>
              </w:rPr>
            </w:pPr>
          </w:p>
        </w:tc>
      </w:tr>
      <w:tr>
        <w:trPr>
          <w:trHeight w:val="108"/>
        </w:trPr>
        <w:tc>
          <w:tcPr>
            <w:tcW w:w="140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28"/>
        </w:trPr>
        <w:tc>
          <w:tcPr>
            <w:tcW w:w="37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13.2 – “Prime Rate Margin”</w:t>
            </w: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 Margin</w:t>
            </w:r>
            <w:r>
              <w:rPr>
                <w:rFonts w:ascii="Arial" w:cs="Arial" w:eastAsia="Arial" w:hAnsi="Arial"/>
                <w:sz w:val="18"/>
                <w:szCs w:val="18"/>
                <w:color w:val="auto"/>
              </w:rPr>
              <w:t>” is four and eighty-five-hundredths of one percent (4.85%).</w:t>
            </w:r>
          </w:p>
        </w:tc>
        <w:tc>
          <w:tcPr>
            <w:tcW w:w="20" w:type="dxa"/>
            <w:vAlign w:val="bottom"/>
          </w:tcPr>
          <w:p>
            <w:pPr>
              <w:spacing w:after="0"/>
              <w:rPr>
                <w:sz w:val="19"/>
                <w:szCs w:val="19"/>
                <w:color w:val="auto"/>
              </w:rPr>
            </w:pPr>
          </w:p>
        </w:tc>
      </w:tr>
      <w:tr>
        <w:trPr>
          <w:trHeight w:val="90"/>
        </w:trPr>
        <w:tc>
          <w:tcPr>
            <w:tcW w:w="1400" w:type="dxa"/>
            <w:vAlign w:val="bottom"/>
            <w:tcBorders>
              <w:left w:val="single" w:sz="8" w:color="auto"/>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228"/>
        </w:trPr>
        <w:tc>
          <w:tcPr>
            <w:tcW w:w="37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13.2 – “Term Loan Amortization Date”</w:t>
            </w:r>
          </w:p>
        </w:tc>
        <w:tc>
          <w:tcPr>
            <w:tcW w:w="75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Amortization Date</w:t>
            </w:r>
            <w:r>
              <w:rPr>
                <w:rFonts w:ascii="Arial" w:cs="Arial" w:eastAsia="Arial" w:hAnsi="Arial"/>
                <w:sz w:val="18"/>
                <w:szCs w:val="18"/>
                <w:color w:val="auto"/>
              </w:rPr>
              <w:t>” is November 1, 2024.</w:t>
            </w:r>
          </w:p>
        </w:tc>
        <w:tc>
          <w:tcPr>
            <w:tcW w:w="20" w:type="dxa"/>
            <w:vAlign w:val="bottom"/>
          </w:tcPr>
          <w:p>
            <w:pPr>
              <w:spacing w:after="0"/>
              <w:rPr>
                <w:sz w:val="19"/>
                <w:szCs w:val="19"/>
                <w:color w:val="auto"/>
              </w:rPr>
            </w:pPr>
          </w:p>
        </w:tc>
      </w:tr>
      <w:tr>
        <w:trPr>
          <w:trHeight w:val="414"/>
        </w:trPr>
        <w:tc>
          <w:tcPr>
            <w:tcW w:w="140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69"/>
        </w:trPr>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gridSpan w:val="7"/>
          </w:tcPr>
          <w:p>
            <w:pPr>
              <w:jc w:val="center"/>
              <w:ind w:right="5140"/>
              <w:spacing w:after="0"/>
              <w:rPr>
                <w:sz w:val="20"/>
                <w:szCs w:val="20"/>
                <w:color w:val="auto"/>
              </w:rPr>
            </w:pPr>
            <w:r>
              <w:rPr>
                <w:rFonts w:ascii="Arial" w:cs="Arial" w:eastAsia="Arial" w:hAnsi="Arial"/>
                <w:sz w:val="18"/>
                <w:szCs w:val="18"/>
                <w:color w:val="auto"/>
                <w:w w:val="94"/>
              </w:rPr>
              <w:t>I-1</w:t>
            </w:r>
          </w:p>
        </w:tc>
        <w:tc>
          <w:tcPr>
            <w:tcW w:w="2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7" w:right="31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215"/>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w w:val="91"/>
              </w:rPr>
              <w:t>13.2</w:t>
            </w:r>
          </w:p>
        </w:tc>
        <w:tc>
          <w:tcPr>
            <w:tcW w:w="3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“Term Loan Availability Amount”</w:t>
            </w:r>
          </w:p>
        </w:tc>
        <w:tc>
          <w:tcPr>
            <w:tcW w:w="7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Term Loan Availability Amount</w:t>
            </w:r>
            <w:r>
              <w:rPr>
                <w:rFonts w:ascii="Arial" w:cs="Arial" w:eastAsia="Arial" w:hAnsi="Arial"/>
                <w:sz w:val="18"/>
                <w:szCs w:val="18"/>
                <w:color w:val="auto"/>
                <w:w w:val="97"/>
              </w:rPr>
              <w:t>” is an aggregate principal amount equal to Fifty Million Dollars</w:t>
            </w:r>
          </w:p>
        </w:tc>
      </w:tr>
      <w:tr>
        <w:trPr>
          <w:trHeight w:val="212"/>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($50,000,000); provided however, if Lenders, in their sole and absolute discretion, grant Borrower’s</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request to make the Uncommitted Accordion available to Borrower, then “</w:t>
            </w:r>
            <w:r>
              <w:rPr>
                <w:rFonts w:ascii="Arial" w:cs="Arial" w:eastAsia="Arial" w:hAnsi="Arial"/>
                <w:sz w:val="18"/>
                <w:szCs w:val="18"/>
                <w:b w:val="1"/>
                <w:bCs w:val="1"/>
                <w:color w:val="auto"/>
                <w:w w:val="95"/>
              </w:rPr>
              <w:t>Term Loan Availability</w:t>
            </w:r>
          </w:p>
        </w:tc>
      </w:tr>
      <w:tr>
        <w:trPr>
          <w:trHeight w:val="234"/>
        </w:trPr>
        <w:tc>
          <w:tcPr>
            <w:tcW w:w="360" w:type="dxa"/>
            <w:vAlign w:val="bottom"/>
            <w:tcBorders>
              <w:lef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2"/>
              </w:rPr>
              <w:t>Amount</w:t>
            </w:r>
            <w:r>
              <w:rPr>
                <w:rFonts w:ascii="Arial" w:cs="Arial" w:eastAsia="Arial" w:hAnsi="Arial"/>
                <w:sz w:val="18"/>
                <w:szCs w:val="18"/>
                <w:color w:val="auto"/>
                <w:w w:val="92"/>
              </w:rPr>
              <w:t>” shall mean an aggregate principal amount equal to Sixty-Five Million Dollars ($65,000,000).</w:t>
            </w: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38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91"/>
              </w:rPr>
              <w:t>13.2</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“Term Loan Maturity Date”</w:t>
            </w: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October 1, 2026.</w:t>
            </w:r>
          </w:p>
        </w:tc>
      </w:tr>
      <w:tr>
        <w:trPr>
          <w:trHeight w:val="90"/>
        </w:trPr>
        <w:tc>
          <w:tcPr>
            <w:tcW w:w="360" w:type="dxa"/>
            <w:vAlign w:val="bottom"/>
            <w:tcBorders>
              <w:left w:val="single" w:sz="8" w:color="auto"/>
              <w:bottom w:val="single" w:sz="8" w:color="auto"/>
            </w:tcBorders>
          </w:tcPr>
          <w:p>
            <w:pPr>
              <w:spacing w:after="0"/>
              <w:rPr>
                <w:sz w:val="7"/>
                <w:szCs w:val="7"/>
                <w:color w:val="auto"/>
              </w:rPr>
            </w:pPr>
          </w:p>
        </w:tc>
        <w:tc>
          <w:tcPr>
            <w:tcW w:w="3380" w:type="dxa"/>
            <w:vAlign w:val="bottom"/>
            <w:tcBorders>
              <w:bottom w:val="single" w:sz="8" w:color="auto"/>
              <w:right w:val="single" w:sz="8" w:color="auto"/>
            </w:tcBorders>
          </w:tcPr>
          <w:p>
            <w:pPr>
              <w:spacing w:after="0"/>
              <w:rPr>
                <w:sz w:val="7"/>
                <w:szCs w:val="7"/>
                <w:color w:val="auto"/>
              </w:rPr>
            </w:pPr>
          </w:p>
        </w:tc>
        <w:tc>
          <w:tcPr>
            <w:tcW w:w="7500" w:type="dxa"/>
            <w:vAlign w:val="bottom"/>
            <w:tcBorders>
              <w:bottom w:val="single" w:sz="8" w:color="auto"/>
              <w:right w:val="single" w:sz="8" w:color="auto"/>
            </w:tcBorders>
          </w:tcPr>
          <w:p>
            <w:pPr>
              <w:spacing w:after="0"/>
              <w:rPr>
                <w:sz w:val="7"/>
                <w:szCs w:val="7"/>
                <w:color w:val="auto"/>
              </w:rPr>
            </w:pPr>
          </w:p>
        </w:tc>
      </w:tr>
      <w:tr>
        <w:trPr>
          <w:trHeight w:val="195"/>
        </w:trPr>
        <w:tc>
          <w:tcPr>
            <w:tcW w:w="36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13.2</w:t>
            </w:r>
          </w:p>
        </w:tc>
        <w:tc>
          <w:tcPr>
            <w:tcW w:w="33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 “Tranche A Draw Period”</w:t>
            </w: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Tranche A Draw Period</w:t>
            </w:r>
            <w:r>
              <w:rPr>
                <w:rFonts w:ascii="Arial" w:cs="Arial" w:eastAsia="Arial" w:hAnsi="Arial"/>
                <w:sz w:val="18"/>
                <w:szCs w:val="18"/>
                <w:color w:val="auto"/>
                <w:w w:val="96"/>
              </w:rPr>
              <w:t>” is the period of time commencing on the Effective Date and continuing</w:t>
            </w:r>
          </w:p>
        </w:tc>
      </w:tr>
      <w:tr>
        <w:trPr>
          <w:trHeight w:val="230"/>
        </w:trPr>
        <w:tc>
          <w:tcPr>
            <w:tcW w:w="360" w:type="dxa"/>
            <w:vAlign w:val="bottom"/>
            <w:tcBorders>
              <w:lef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through the earlier to occur of (a) October 31, 2023, or (b) at the election of Agent, an Event of Default.</w:t>
            </w: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38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195"/>
        </w:trPr>
        <w:tc>
          <w:tcPr>
            <w:tcW w:w="36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13.2</w:t>
            </w:r>
          </w:p>
        </w:tc>
        <w:tc>
          <w:tcPr>
            <w:tcW w:w="33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 “Tranche B Draw Condition”</w:t>
            </w: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Tranche B Draw Condition</w:t>
            </w:r>
            <w:r>
              <w:rPr>
                <w:rFonts w:ascii="Arial" w:cs="Arial" w:eastAsia="Arial" w:hAnsi="Arial"/>
                <w:sz w:val="18"/>
                <w:szCs w:val="18"/>
                <w:color w:val="auto"/>
                <w:w w:val="93"/>
              </w:rPr>
              <w:t>” means Borrower has provided the Lenders with evidence, satisfactory</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to the Lenders in their reasonable discretion, confirming that the FDA has provided meeting minutes to</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Borrower in which the FDA did not raise any objections that could prevent Borrower from proceeding</w:t>
            </w:r>
          </w:p>
        </w:tc>
      </w:tr>
      <w:tr>
        <w:trPr>
          <w:trHeight w:val="230"/>
        </w:trPr>
        <w:tc>
          <w:tcPr>
            <w:tcW w:w="360" w:type="dxa"/>
            <w:vAlign w:val="bottom"/>
            <w:tcBorders>
              <w:lef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its proposed registrational trial design for a biologic product to treat Fabry disease.</w:t>
            </w: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38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195"/>
        </w:trPr>
        <w:tc>
          <w:tcPr>
            <w:tcW w:w="36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13.2</w:t>
            </w:r>
          </w:p>
        </w:tc>
        <w:tc>
          <w:tcPr>
            <w:tcW w:w="33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 “Tranche B Draw Period”</w:t>
            </w: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Tranche B Draw Period</w:t>
            </w:r>
            <w:r>
              <w:rPr>
                <w:rFonts w:ascii="Arial" w:cs="Arial" w:eastAsia="Arial" w:hAnsi="Arial"/>
                <w:sz w:val="18"/>
                <w:szCs w:val="18"/>
                <w:color w:val="auto"/>
                <w:w w:val="92"/>
              </w:rPr>
              <w:t>” is the period of time commencing on the date when Borrower achieves the</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Tranche B Draw Condition and continuing through the earlier to occur of (a) October 31, 2023, or (b) at</w:t>
            </w:r>
          </w:p>
        </w:tc>
      </w:tr>
      <w:tr>
        <w:trPr>
          <w:trHeight w:val="230"/>
        </w:trPr>
        <w:tc>
          <w:tcPr>
            <w:tcW w:w="360" w:type="dxa"/>
            <w:vAlign w:val="bottom"/>
            <w:tcBorders>
              <w:lef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election of Agent, an Event of Default.</w:t>
            </w: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38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195"/>
        </w:trPr>
        <w:tc>
          <w:tcPr>
            <w:tcW w:w="36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13.2</w:t>
            </w:r>
          </w:p>
        </w:tc>
        <w:tc>
          <w:tcPr>
            <w:tcW w:w="33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 “Tranche C Draw Conditions”</w:t>
            </w: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Tranche C Draw Conditions</w:t>
            </w:r>
            <w:r>
              <w:rPr>
                <w:rFonts w:ascii="Arial" w:cs="Arial" w:eastAsia="Arial" w:hAnsi="Arial"/>
                <w:sz w:val="18"/>
                <w:szCs w:val="18"/>
                <w:color w:val="auto"/>
                <w:w w:val="92"/>
              </w:rPr>
              <w:t>” means Borrower has provided the Lenders with evidence, satisfactory</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to the Lenders in their reasonable discretion, confirming that (a) Borrower has achieved the Tranche B</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Draw Condition, and (b) any one (1) of the following three (3) events has occurred: (i) with respect to a</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Borrower-sponsored clinical trial for a biologic product to treat cystinosis, either (y) the FDA has</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provided meeting minutes to Borrower in which the FDA did not raise any objections that could</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prevent Borrower from proceeding with its proposed trial design, or (z) (in the event no meeting with</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the FDA was held) the FDA did not place the clinical trial on hold within thirty (30) days of receiving</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Borrower’s clinical trial protocol amendment in which Borrower outlined its proposed trial design; (ii)</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Borrower has received positive data with respect to Borrower’s phase 1/2 clinical trial to treat Gaucher</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Type 1 sufficient to support advancing into the next stage of clinical development in Gaucher Type 1; or</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(iii) Borrower has received positive human data with respect to Gaucher Type 1 and/or Gaucher Type 3</w:t>
            </w:r>
          </w:p>
        </w:tc>
      </w:tr>
      <w:tr>
        <w:trPr>
          <w:trHeight w:val="230"/>
        </w:trPr>
        <w:tc>
          <w:tcPr>
            <w:tcW w:w="360" w:type="dxa"/>
            <w:vAlign w:val="bottom"/>
            <w:tcBorders>
              <w:lef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sufficient to support advancing into the next stage of clinical development in Gaucher Type 3.</w:t>
            </w: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38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195"/>
        </w:trPr>
        <w:tc>
          <w:tcPr>
            <w:tcW w:w="36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13.2</w:t>
            </w:r>
          </w:p>
        </w:tc>
        <w:tc>
          <w:tcPr>
            <w:tcW w:w="33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 “Tranche C Draw Period”</w:t>
            </w: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Tranche C Draw Period</w:t>
            </w:r>
            <w:r>
              <w:rPr>
                <w:rFonts w:ascii="Arial" w:cs="Arial" w:eastAsia="Arial" w:hAnsi="Arial"/>
                <w:sz w:val="18"/>
                <w:szCs w:val="18"/>
                <w:color w:val="auto"/>
                <w:w w:val="92"/>
              </w:rPr>
              <w:t>” is the period of time commencing on the date when Borrower achieves the</w:t>
            </w:r>
          </w:p>
        </w:tc>
      </w:tr>
      <w:tr>
        <w:trPr>
          <w:trHeight w:val="216"/>
        </w:trPr>
        <w:tc>
          <w:tcPr>
            <w:tcW w:w="360" w:type="dxa"/>
            <w:vAlign w:val="bottom"/>
            <w:tcBorders>
              <w:lef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Tranche C Draw Conditions and continuing through the earlier to occur of (a) October 31, 2023, or (b)</w:t>
            </w:r>
          </w:p>
        </w:tc>
      </w:tr>
      <w:tr>
        <w:trPr>
          <w:trHeight w:val="230"/>
        </w:trPr>
        <w:tc>
          <w:tcPr>
            <w:tcW w:w="360" w:type="dxa"/>
            <w:vAlign w:val="bottom"/>
            <w:tcBorders>
              <w:lef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 the election of Agent, an Event of Default.</w:t>
            </w: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38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TERM LOAN COMMITMENTS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20" w:type="dxa"/>
            <w:vAlign w:val="bottom"/>
            <w:tcBorders>
              <w:top w:val="single" w:sz="8" w:color="auto"/>
              <w:left w:val="single" w:sz="8" w:color="auto"/>
            </w:tcBorders>
          </w:tcPr>
          <w:p>
            <w:pPr>
              <w:spacing w:after="0"/>
              <w:rPr>
                <w:sz w:val="16"/>
                <w:szCs w:val="16"/>
                <w:color w:val="auto"/>
              </w:rPr>
            </w:pPr>
          </w:p>
        </w:tc>
        <w:tc>
          <w:tcPr>
            <w:tcW w:w="960" w:type="dxa"/>
            <w:vAlign w:val="bottom"/>
            <w:tcBorders>
              <w:top w:val="single" w:sz="8" w:color="auto"/>
              <w:right w:val="single" w:sz="8" w:color="auto"/>
            </w:tcBorders>
            <w:gridSpan w:val="4"/>
          </w:tcPr>
          <w:p>
            <w:pPr>
              <w:jc w:val="center"/>
              <w:ind w:right="320"/>
              <w:spacing w:after="0" w:line="189" w:lineRule="exact"/>
              <w:rPr>
                <w:sz w:val="20"/>
                <w:szCs w:val="20"/>
                <w:color w:val="auto"/>
              </w:rPr>
            </w:pPr>
            <w:r>
              <w:rPr>
                <w:rFonts w:ascii="Arial" w:cs="Arial" w:eastAsia="Arial" w:hAnsi="Arial"/>
                <w:sz w:val="18"/>
                <w:szCs w:val="18"/>
                <w:b w:val="1"/>
                <w:bCs w:val="1"/>
                <w:color w:val="auto"/>
                <w:w w:val="93"/>
              </w:rPr>
              <w:t>Lender</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6"/>
          </w:tcPr>
          <w:p>
            <w:pPr>
              <w:jc w:val="center"/>
              <w:ind w:right="280"/>
              <w:spacing w:after="0" w:line="189" w:lineRule="exact"/>
              <w:rPr>
                <w:sz w:val="20"/>
                <w:szCs w:val="20"/>
                <w:color w:val="auto"/>
              </w:rPr>
            </w:pPr>
            <w:r>
              <w:rPr>
                <w:rFonts w:ascii="Arial" w:cs="Arial" w:eastAsia="Arial" w:hAnsi="Arial"/>
                <w:sz w:val="18"/>
                <w:szCs w:val="18"/>
                <w:b w:val="1"/>
                <w:bCs w:val="1"/>
                <w:color w:val="auto"/>
              </w:rPr>
              <w:t>Initial</w:t>
            </w:r>
          </w:p>
        </w:tc>
        <w:tc>
          <w:tcPr>
            <w:tcW w:w="12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right w:val="single" w:sz="8" w:color="auto"/>
            </w:tcBorders>
            <w:gridSpan w:val="7"/>
          </w:tcPr>
          <w:p>
            <w:pPr>
              <w:jc w:val="center"/>
              <w:ind w:right="400"/>
              <w:spacing w:after="0" w:line="189" w:lineRule="exact"/>
              <w:rPr>
                <w:sz w:val="20"/>
                <w:szCs w:val="20"/>
                <w:color w:val="auto"/>
              </w:rPr>
            </w:pPr>
            <w:r>
              <w:rPr>
                <w:rFonts w:ascii="Arial" w:cs="Arial" w:eastAsia="Arial" w:hAnsi="Arial"/>
                <w:sz w:val="18"/>
                <w:szCs w:val="18"/>
                <w:b w:val="1"/>
                <w:bCs w:val="1"/>
                <w:color w:val="auto"/>
              </w:rPr>
              <w:t>Initial</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gridSpan w:val="6"/>
          </w:tcPr>
          <w:p>
            <w:pPr>
              <w:jc w:val="center"/>
              <w:ind w:right="140"/>
              <w:spacing w:after="0" w:line="189" w:lineRule="exact"/>
              <w:rPr>
                <w:sz w:val="20"/>
                <w:szCs w:val="20"/>
                <w:color w:val="auto"/>
              </w:rPr>
            </w:pPr>
            <w:r>
              <w:rPr>
                <w:rFonts w:ascii="Arial" w:cs="Arial" w:eastAsia="Arial" w:hAnsi="Arial"/>
                <w:sz w:val="18"/>
                <w:szCs w:val="18"/>
                <w:b w:val="1"/>
                <w:bCs w:val="1"/>
                <w:color w:val="auto"/>
                <w:w w:val="85"/>
              </w:rPr>
              <w:t>Subsequent</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right w:val="single" w:sz="8" w:color="auto"/>
            </w:tcBorders>
            <w:gridSpan w:val="5"/>
          </w:tcPr>
          <w:p>
            <w:pPr>
              <w:jc w:val="center"/>
              <w:ind w:right="240"/>
              <w:spacing w:after="0" w:line="189" w:lineRule="exact"/>
              <w:rPr>
                <w:sz w:val="20"/>
                <w:szCs w:val="20"/>
                <w:color w:val="auto"/>
              </w:rPr>
            </w:pPr>
            <w:r>
              <w:rPr>
                <w:rFonts w:ascii="Arial" w:cs="Arial" w:eastAsia="Arial" w:hAnsi="Arial"/>
                <w:sz w:val="18"/>
                <w:szCs w:val="18"/>
                <w:b w:val="1"/>
                <w:bCs w:val="1"/>
                <w:color w:val="auto"/>
                <w:w w:val="83"/>
              </w:rPr>
              <w:t>Subsequent</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gridSpan w:val="5"/>
          </w:tcPr>
          <w:p>
            <w:pPr>
              <w:jc w:val="center"/>
              <w:ind w:right="220"/>
              <w:spacing w:after="0" w:line="189" w:lineRule="exact"/>
              <w:rPr>
                <w:sz w:val="20"/>
                <w:szCs w:val="20"/>
                <w:color w:val="auto"/>
              </w:rPr>
            </w:pPr>
            <w:r>
              <w:rPr>
                <w:rFonts w:ascii="Arial" w:cs="Arial" w:eastAsia="Arial" w:hAnsi="Arial"/>
                <w:sz w:val="18"/>
                <w:szCs w:val="18"/>
                <w:b w:val="1"/>
                <w:bCs w:val="1"/>
                <w:color w:val="auto"/>
                <w:w w:val="84"/>
              </w:rPr>
              <w:t>Tranche B</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gridSpan w:val="5"/>
          </w:tcPr>
          <w:p>
            <w:pPr>
              <w:jc w:val="center"/>
              <w:ind w:right="220"/>
              <w:spacing w:after="0" w:line="189" w:lineRule="exact"/>
              <w:rPr>
                <w:sz w:val="20"/>
                <w:szCs w:val="20"/>
                <w:color w:val="auto"/>
              </w:rPr>
            </w:pPr>
            <w:r>
              <w:rPr>
                <w:rFonts w:ascii="Arial" w:cs="Arial" w:eastAsia="Arial" w:hAnsi="Arial"/>
                <w:sz w:val="18"/>
                <w:szCs w:val="18"/>
                <w:b w:val="1"/>
                <w:bCs w:val="1"/>
                <w:color w:val="auto"/>
                <w:w w:val="84"/>
              </w:rPr>
              <w:t>Tranche B</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6"/>
          </w:tcPr>
          <w:p>
            <w:pPr>
              <w:jc w:val="center"/>
              <w:ind w:right="220"/>
              <w:spacing w:after="0" w:line="189" w:lineRule="exact"/>
              <w:rPr>
                <w:sz w:val="20"/>
                <w:szCs w:val="20"/>
                <w:color w:val="auto"/>
              </w:rPr>
            </w:pPr>
            <w:r>
              <w:rPr>
                <w:rFonts w:ascii="Arial" w:cs="Arial" w:eastAsia="Arial" w:hAnsi="Arial"/>
                <w:sz w:val="18"/>
                <w:szCs w:val="18"/>
                <w:b w:val="1"/>
                <w:bCs w:val="1"/>
                <w:color w:val="auto"/>
                <w:w w:val="93"/>
              </w:rPr>
              <w:t>Tranche C</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gridSpan w:val="5"/>
          </w:tcPr>
          <w:p>
            <w:pPr>
              <w:jc w:val="center"/>
              <w:ind w:right="220"/>
              <w:spacing w:after="0" w:line="189" w:lineRule="exact"/>
              <w:rPr>
                <w:sz w:val="20"/>
                <w:szCs w:val="20"/>
                <w:color w:val="auto"/>
              </w:rPr>
            </w:pPr>
            <w:r>
              <w:rPr>
                <w:rFonts w:ascii="Arial" w:cs="Arial" w:eastAsia="Arial" w:hAnsi="Arial"/>
                <w:sz w:val="18"/>
                <w:szCs w:val="18"/>
                <w:b w:val="1"/>
                <w:bCs w:val="1"/>
                <w:color w:val="auto"/>
                <w:w w:val="84"/>
              </w:rPr>
              <w:t>Tranche C</w:t>
            </w:r>
          </w:p>
        </w:tc>
      </w:tr>
      <w:tr>
        <w:trPr>
          <w:trHeight w:val="20"/>
        </w:trPr>
        <w:tc>
          <w:tcPr>
            <w:tcW w:w="920" w:type="dxa"/>
            <w:vAlign w:val="bottom"/>
            <w:tcBorders>
              <w:left w:val="single" w:sz="8" w:color="auto"/>
              <w:right w:val="single" w:sz="8" w:color="auto"/>
            </w:tcBorders>
            <w:gridSpan w:val="3"/>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1240" w:type="dxa"/>
            <w:vAlign w:val="bottom"/>
            <w:tcBorders>
              <w:right w:val="single" w:sz="8" w:color="auto"/>
            </w:tcBorders>
            <w:gridSpan w:val="10"/>
          </w:tcPr>
          <w:p>
            <w:pPr>
              <w:spacing w:after="0" w:line="20" w:lineRule="exact"/>
              <w:rPr>
                <w:sz w:val="1"/>
                <w:szCs w:val="1"/>
                <w:color w:val="auto"/>
              </w:rPr>
            </w:pPr>
          </w:p>
        </w:tc>
        <w:tc>
          <w:tcPr>
            <w:tcW w:w="1240" w:type="dxa"/>
            <w:vAlign w:val="bottom"/>
            <w:tcBorders>
              <w:right w:val="single" w:sz="8" w:color="auto"/>
            </w:tcBorders>
            <w:gridSpan w:val="1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tcBorders>
              <w:right w:val="single" w:sz="8" w:color="auto"/>
            </w:tcBorders>
            <w:gridSpan w:val="3"/>
          </w:tcPr>
          <w:p>
            <w:pPr>
              <w:spacing w:after="0" w:line="20" w:lineRule="exact"/>
              <w:rPr>
                <w:sz w:val="1"/>
                <w:szCs w:val="1"/>
                <w:color w:val="auto"/>
              </w:rPr>
            </w:pPr>
          </w:p>
        </w:tc>
        <w:tc>
          <w:tcPr>
            <w:tcW w:w="960" w:type="dxa"/>
            <w:vAlign w:val="bottom"/>
            <w:tcBorders>
              <w:right w:val="single" w:sz="8" w:color="auto"/>
            </w:tcBorders>
            <w:gridSpan w:val="5"/>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tcPr>
          <w:p>
            <w:pPr>
              <w:spacing w:after="0" w:line="20" w:lineRule="exact"/>
              <w:rPr>
                <w:sz w:val="1"/>
                <w:szCs w:val="1"/>
                <w:color w:val="auto"/>
              </w:rPr>
            </w:pPr>
          </w:p>
        </w:tc>
        <w:tc>
          <w:tcPr>
            <w:tcW w:w="1240" w:type="dxa"/>
            <w:vAlign w:val="bottom"/>
            <w:tcBorders>
              <w:right w:val="single" w:sz="8" w:color="auto"/>
            </w:tcBorders>
            <w:gridSpan w:val="8"/>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7"/>
          </w:tcPr>
          <w:p>
            <w:pPr>
              <w:jc w:val="center"/>
              <w:ind w:right="120"/>
              <w:spacing w:after="0" w:line="196" w:lineRule="exact"/>
              <w:rPr>
                <w:sz w:val="20"/>
                <w:szCs w:val="20"/>
                <w:color w:val="auto"/>
              </w:rPr>
            </w:pPr>
            <w:r>
              <w:rPr>
                <w:rFonts w:ascii="Arial" w:cs="Arial" w:eastAsia="Arial" w:hAnsi="Arial"/>
                <w:sz w:val="18"/>
                <w:szCs w:val="18"/>
                <w:b w:val="1"/>
                <w:bCs w:val="1"/>
                <w:color w:val="auto"/>
                <w:w w:val="84"/>
              </w:rPr>
              <w:t>Tranche A</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8"/>
          </w:tcPr>
          <w:p>
            <w:pPr>
              <w:jc w:val="center"/>
              <w:ind w:right="240"/>
              <w:spacing w:after="0" w:line="196" w:lineRule="exact"/>
              <w:rPr>
                <w:sz w:val="20"/>
                <w:szCs w:val="20"/>
                <w:color w:val="auto"/>
              </w:rPr>
            </w:pPr>
            <w:r>
              <w:rPr>
                <w:rFonts w:ascii="Arial" w:cs="Arial" w:eastAsia="Arial" w:hAnsi="Arial"/>
                <w:sz w:val="18"/>
                <w:szCs w:val="18"/>
                <w:b w:val="1"/>
                <w:bCs w:val="1"/>
                <w:color w:val="auto"/>
                <w:w w:val="84"/>
              </w:rPr>
              <w:t>Tranche 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5"/>
          </w:tcPr>
          <w:p>
            <w:pPr>
              <w:jc w:val="center"/>
              <w:ind w:right="240"/>
              <w:spacing w:after="0" w:line="196" w:lineRule="exact"/>
              <w:rPr>
                <w:sz w:val="20"/>
                <w:szCs w:val="20"/>
                <w:color w:val="auto"/>
              </w:rPr>
            </w:pPr>
            <w:r>
              <w:rPr>
                <w:rFonts w:ascii="Arial" w:cs="Arial" w:eastAsia="Arial" w:hAnsi="Arial"/>
                <w:sz w:val="18"/>
                <w:szCs w:val="18"/>
                <w:b w:val="1"/>
                <w:bCs w:val="1"/>
                <w:color w:val="auto"/>
                <w:w w:val="84"/>
              </w:rPr>
              <w:t>Tranche 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right w:val="single" w:sz="8" w:color="auto"/>
            </w:tcBorders>
            <w:gridSpan w:val="5"/>
          </w:tcPr>
          <w:p>
            <w:pPr>
              <w:jc w:val="center"/>
              <w:ind w:right="280"/>
              <w:spacing w:after="0" w:line="196" w:lineRule="exact"/>
              <w:rPr>
                <w:sz w:val="20"/>
                <w:szCs w:val="20"/>
                <w:color w:val="auto"/>
              </w:rPr>
            </w:pPr>
            <w:r>
              <w:rPr>
                <w:rFonts w:ascii="Arial" w:cs="Arial" w:eastAsia="Arial" w:hAnsi="Arial"/>
                <w:sz w:val="18"/>
                <w:szCs w:val="18"/>
                <w:b w:val="1"/>
                <w:bCs w:val="1"/>
                <w:color w:val="auto"/>
                <w:w w:val="93"/>
              </w:rPr>
              <w:t>Tranche A</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right w:val="single" w:sz="8" w:color="auto"/>
            </w:tcBorders>
            <w:gridSpan w:val="6"/>
          </w:tcPr>
          <w:p>
            <w:pPr>
              <w:jc w:val="center"/>
              <w:ind w:right="120"/>
              <w:spacing w:after="0" w:line="196" w:lineRule="exact"/>
              <w:rPr>
                <w:sz w:val="20"/>
                <w:szCs w:val="20"/>
                <w:color w:val="auto"/>
              </w:rPr>
            </w:pPr>
            <w:r>
              <w:rPr>
                <w:rFonts w:ascii="Arial" w:cs="Arial" w:eastAsia="Arial" w:hAnsi="Arial"/>
                <w:sz w:val="18"/>
                <w:szCs w:val="18"/>
                <w:b w:val="1"/>
                <w:bCs w:val="1"/>
                <w:color w:val="auto"/>
                <w:w w:val="93"/>
              </w:rPr>
              <w:t>Term Loan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5"/>
          </w:tcPr>
          <w:p>
            <w:pPr>
              <w:jc w:val="center"/>
              <w:ind w:right="180"/>
              <w:spacing w:after="0" w:line="196" w:lineRule="exact"/>
              <w:rPr>
                <w:sz w:val="20"/>
                <w:szCs w:val="20"/>
                <w:color w:val="auto"/>
              </w:rPr>
            </w:pPr>
            <w:r>
              <w:rPr>
                <w:rFonts w:ascii="Arial" w:cs="Arial" w:eastAsia="Arial" w:hAnsi="Arial"/>
                <w:sz w:val="18"/>
                <w:szCs w:val="18"/>
                <w:b w:val="1"/>
                <w:bCs w:val="1"/>
                <w:color w:val="auto"/>
                <w:w w:val="84"/>
              </w:rPr>
              <w:t>Term Loan</w:t>
            </w:r>
          </w:p>
        </w:tc>
        <w:tc>
          <w:tcPr>
            <w:tcW w:w="100" w:type="dxa"/>
            <w:vAlign w:val="bottom"/>
          </w:tcPr>
          <w:p>
            <w:pPr>
              <w:spacing w:after="0"/>
              <w:rPr>
                <w:sz w:val="17"/>
                <w:szCs w:val="17"/>
                <w:color w:val="auto"/>
              </w:rPr>
            </w:pPr>
          </w:p>
        </w:tc>
        <w:tc>
          <w:tcPr>
            <w:tcW w:w="1140" w:type="dxa"/>
            <w:vAlign w:val="bottom"/>
            <w:tcBorders>
              <w:right w:val="single" w:sz="8" w:color="auto"/>
            </w:tcBorders>
            <w:gridSpan w:val="7"/>
          </w:tcPr>
          <w:p>
            <w:pPr>
              <w:jc w:val="center"/>
              <w:ind w:right="120"/>
              <w:spacing w:after="0" w:line="196" w:lineRule="exact"/>
              <w:rPr>
                <w:sz w:val="20"/>
                <w:szCs w:val="20"/>
                <w:color w:val="auto"/>
              </w:rPr>
            </w:pPr>
            <w:r>
              <w:rPr>
                <w:rFonts w:ascii="Arial" w:cs="Arial" w:eastAsia="Arial" w:hAnsi="Arial"/>
                <w:sz w:val="18"/>
                <w:szCs w:val="18"/>
                <w:b w:val="1"/>
                <w:bCs w:val="1"/>
                <w:color w:val="auto"/>
                <w:w w:val="93"/>
              </w:rPr>
              <w:t>Term Loan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gridSpan w:val="5"/>
          </w:tcPr>
          <w:p>
            <w:pPr>
              <w:jc w:val="center"/>
              <w:ind w:right="200"/>
              <w:spacing w:after="0" w:line="196" w:lineRule="exact"/>
              <w:rPr>
                <w:sz w:val="20"/>
                <w:szCs w:val="20"/>
                <w:color w:val="auto"/>
              </w:rPr>
            </w:pPr>
            <w:r>
              <w:rPr>
                <w:rFonts w:ascii="Arial" w:cs="Arial" w:eastAsia="Arial" w:hAnsi="Arial"/>
                <w:sz w:val="18"/>
                <w:szCs w:val="18"/>
                <w:b w:val="1"/>
                <w:bCs w:val="1"/>
                <w:color w:val="auto"/>
                <w:w w:val="82"/>
              </w:rPr>
              <w:t>Term Loan</w:t>
            </w:r>
          </w:p>
        </w:tc>
      </w:tr>
      <w:tr>
        <w:trPr>
          <w:trHeight w:val="20"/>
        </w:trPr>
        <w:tc>
          <w:tcPr>
            <w:tcW w:w="1280" w:type="dxa"/>
            <w:vAlign w:val="bottom"/>
            <w:tcBorders>
              <w:left w:val="single" w:sz="8" w:color="auto"/>
              <w:right w:val="single" w:sz="8" w:color="auto"/>
            </w:tcBorders>
            <w:gridSpan w:val="5"/>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5"/>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1340" w:type="dxa"/>
            <w:vAlign w:val="bottom"/>
            <w:tcBorders>
              <w:right w:val="single" w:sz="8" w:color="auto"/>
            </w:tcBorders>
            <w:gridSpan w:val="7"/>
          </w:tcPr>
          <w:p>
            <w:pPr>
              <w:spacing w:after="0" w:line="20" w:lineRule="exact"/>
              <w:rPr>
                <w:sz w:val="1"/>
                <w:szCs w:val="1"/>
                <w:color w:val="auto"/>
              </w:rPr>
            </w:pPr>
          </w:p>
        </w:tc>
        <w:tc>
          <w:tcPr>
            <w:tcW w:w="260" w:type="dxa"/>
            <w:vAlign w:val="bottom"/>
            <w:tcBorders>
              <w:right w:val="single" w:sz="8" w:color="auto"/>
            </w:tcBorders>
            <w:gridSpan w:val="3"/>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7"/>
          </w:tcPr>
          <w:p>
            <w:pPr>
              <w:jc w:val="center"/>
              <w:ind w:right="100"/>
              <w:spacing w:after="0" w:line="196" w:lineRule="exact"/>
              <w:rPr>
                <w:sz w:val="20"/>
                <w:szCs w:val="20"/>
                <w:color w:val="auto"/>
              </w:rPr>
            </w:pPr>
            <w:r>
              <w:rPr>
                <w:rFonts w:ascii="Arial" w:cs="Arial" w:eastAsia="Arial" w:hAnsi="Arial"/>
                <w:sz w:val="18"/>
                <w:szCs w:val="18"/>
                <w:b w:val="1"/>
                <w:bCs w:val="1"/>
                <w:color w:val="auto"/>
                <w:w w:val="82"/>
              </w:rPr>
              <w:t>Term Loan</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8"/>
          </w:tcPr>
          <w:p>
            <w:pPr>
              <w:jc w:val="center"/>
              <w:ind w:right="220"/>
              <w:spacing w:after="0" w:line="196" w:lineRule="exact"/>
              <w:rPr>
                <w:sz w:val="20"/>
                <w:szCs w:val="20"/>
                <w:color w:val="auto"/>
              </w:rPr>
            </w:pPr>
            <w:r>
              <w:rPr>
                <w:rFonts w:ascii="Arial" w:cs="Arial" w:eastAsia="Arial" w:hAnsi="Arial"/>
                <w:sz w:val="18"/>
                <w:szCs w:val="18"/>
                <w:b w:val="1"/>
                <w:bCs w:val="1"/>
                <w:color w:val="auto"/>
                <w:w w:val="82"/>
              </w:rPr>
              <w:t>Term Loan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5"/>
          </w:tcPr>
          <w:p>
            <w:pPr>
              <w:jc w:val="center"/>
              <w:ind w:right="200"/>
              <w:spacing w:after="0" w:line="196" w:lineRule="exact"/>
              <w:rPr>
                <w:sz w:val="20"/>
                <w:szCs w:val="20"/>
                <w:color w:val="auto"/>
              </w:rPr>
            </w:pPr>
            <w:r>
              <w:rPr>
                <w:rFonts w:ascii="Arial" w:cs="Arial" w:eastAsia="Arial" w:hAnsi="Arial"/>
                <w:sz w:val="18"/>
                <w:szCs w:val="18"/>
                <w:b w:val="1"/>
                <w:bCs w:val="1"/>
                <w:color w:val="auto"/>
                <w:w w:val="84"/>
              </w:rPr>
              <w:t>Term Loan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right w:val="single" w:sz="8" w:color="auto"/>
            </w:tcBorders>
            <w:gridSpan w:val="5"/>
          </w:tcPr>
          <w:p>
            <w:pPr>
              <w:jc w:val="center"/>
              <w:ind w:right="260"/>
              <w:spacing w:after="0" w:line="196" w:lineRule="exact"/>
              <w:rPr>
                <w:sz w:val="20"/>
                <w:szCs w:val="20"/>
                <w:color w:val="auto"/>
              </w:rPr>
            </w:pPr>
            <w:r>
              <w:rPr>
                <w:rFonts w:ascii="Arial" w:cs="Arial" w:eastAsia="Arial" w:hAnsi="Arial"/>
                <w:sz w:val="18"/>
                <w:szCs w:val="18"/>
                <w:b w:val="1"/>
                <w:bCs w:val="1"/>
                <w:color w:val="auto"/>
                <w:w w:val="91"/>
              </w:rPr>
              <w:t>Term Loan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gridSpan w:val="5"/>
          </w:tcPr>
          <w:p>
            <w:pPr>
              <w:jc w:val="center"/>
              <w:ind w:right="300"/>
              <w:spacing w:after="0" w:line="196" w:lineRule="exact"/>
              <w:rPr>
                <w:sz w:val="20"/>
                <w:szCs w:val="20"/>
                <w:color w:val="auto"/>
              </w:rPr>
            </w:pPr>
            <w:r>
              <w:rPr>
                <w:rFonts w:ascii="Arial" w:cs="Arial" w:eastAsia="Arial" w:hAnsi="Arial"/>
                <w:sz w:val="18"/>
                <w:szCs w:val="18"/>
                <w:b w:val="1"/>
                <w:bCs w:val="1"/>
                <w:color w:val="auto"/>
                <w:w w:val="87"/>
              </w:rPr>
              <w:t>Advance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5"/>
          </w:tcPr>
          <w:p>
            <w:pPr>
              <w:jc w:val="center"/>
              <w:ind w:right="280"/>
              <w:spacing w:after="0" w:line="196" w:lineRule="exact"/>
              <w:rPr>
                <w:sz w:val="20"/>
                <w:szCs w:val="20"/>
                <w:color w:val="auto"/>
              </w:rPr>
            </w:pPr>
            <w:r>
              <w:rPr>
                <w:rFonts w:ascii="Arial" w:cs="Arial" w:eastAsia="Arial" w:hAnsi="Arial"/>
                <w:sz w:val="18"/>
                <w:szCs w:val="18"/>
                <w:b w:val="1"/>
                <w:bCs w:val="1"/>
                <w:color w:val="auto"/>
                <w:w w:val="90"/>
              </w:rPr>
              <w:t>Advance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right w:val="single" w:sz="8" w:color="auto"/>
            </w:tcBorders>
            <w:gridSpan w:val="5"/>
          </w:tcPr>
          <w:p>
            <w:pPr>
              <w:jc w:val="center"/>
              <w:ind w:right="300"/>
              <w:spacing w:after="0" w:line="196" w:lineRule="exact"/>
              <w:rPr>
                <w:sz w:val="20"/>
                <w:szCs w:val="20"/>
                <w:color w:val="auto"/>
              </w:rPr>
            </w:pPr>
            <w:r>
              <w:rPr>
                <w:rFonts w:ascii="Arial" w:cs="Arial" w:eastAsia="Arial" w:hAnsi="Arial"/>
                <w:sz w:val="18"/>
                <w:szCs w:val="18"/>
                <w:b w:val="1"/>
                <w:bCs w:val="1"/>
                <w:color w:val="auto"/>
                <w:w w:val="87"/>
              </w:rPr>
              <w:t>Advance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gridSpan w:val="5"/>
          </w:tcPr>
          <w:p>
            <w:pPr>
              <w:jc w:val="center"/>
              <w:ind w:right="280"/>
              <w:spacing w:after="0" w:line="196" w:lineRule="exact"/>
              <w:rPr>
                <w:sz w:val="20"/>
                <w:szCs w:val="20"/>
                <w:color w:val="auto"/>
              </w:rPr>
            </w:pPr>
            <w:r>
              <w:rPr>
                <w:rFonts w:ascii="Arial" w:cs="Arial" w:eastAsia="Arial" w:hAnsi="Arial"/>
                <w:sz w:val="18"/>
                <w:szCs w:val="18"/>
                <w:b w:val="1"/>
                <w:bCs w:val="1"/>
                <w:color w:val="auto"/>
                <w:w w:val="90"/>
              </w:rPr>
              <w:t>Advance</w:t>
            </w:r>
          </w:p>
        </w:tc>
      </w:tr>
      <w:tr>
        <w:trPr>
          <w:trHeight w:val="20"/>
        </w:trPr>
        <w:tc>
          <w:tcPr>
            <w:tcW w:w="1280" w:type="dxa"/>
            <w:vAlign w:val="bottom"/>
            <w:tcBorders>
              <w:left w:val="single" w:sz="8" w:color="auto"/>
              <w:right w:val="single" w:sz="8" w:color="auto"/>
            </w:tcBorders>
            <w:gridSpan w:val="5"/>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1100" w:type="dxa"/>
            <w:vAlign w:val="bottom"/>
            <w:tcBorders>
              <w:right w:val="single" w:sz="8" w:color="auto"/>
            </w:tcBorders>
            <w:gridSpan w:val="5"/>
            <w:shd w:val="clear" w:color="auto" w:fill="000000"/>
          </w:tcPr>
          <w:p>
            <w:pPr>
              <w:spacing w:after="0" w:line="20" w:lineRule="exact"/>
              <w:rPr>
                <w:sz w:val="1"/>
                <w:szCs w:val="1"/>
                <w:color w:val="auto"/>
              </w:rPr>
            </w:pPr>
          </w:p>
        </w:tc>
        <w:tc>
          <w:tcPr>
            <w:tcW w:w="1220" w:type="dxa"/>
            <w:vAlign w:val="bottom"/>
            <w:tcBorders>
              <w:right w:val="single" w:sz="8" w:color="auto"/>
            </w:tcBorders>
            <w:gridSpan w:val="8"/>
          </w:tcPr>
          <w:p>
            <w:pPr>
              <w:spacing w:after="0" w:line="20" w:lineRule="exact"/>
              <w:rPr>
                <w:sz w:val="1"/>
                <w:szCs w:val="1"/>
                <w:color w:val="auto"/>
              </w:rPr>
            </w:pPr>
          </w:p>
        </w:tc>
        <w:tc>
          <w:tcPr>
            <w:tcW w:w="940" w:type="dxa"/>
            <w:vAlign w:val="bottom"/>
            <w:tcBorders>
              <w:right w:val="single" w:sz="8" w:color="auto"/>
            </w:tcBorders>
            <w:gridSpan w:val="4"/>
          </w:tcPr>
          <w:p>
            <w:pPr>
              <w:spacing w:after="0" w:line="20" w:lineRule="exact"/>
              <w:rPr>
                <w:sz w:val="1"/>
                <w:szCs w:val="1"/>
                <w:color w:val="auto"/>
              </w:rPr>
            </w:pPr>
          </w:p>
        </w:tc>
        <w:tc>
          <w:tcPr>
            <w:tcW w:w="280" w:type="dxa"/>
            <w:vAlign w:val="bottom"/>
            <w:tcBorders>
              <w:right w:val="single" w:sz="8" w:color="auto"/>
            </w:tcBorders>
            <w:gridSpan w:val="3"/>
          </w:tcPr>
          <w:p>
            <w:pPr>
              <w:spacing w:after="0" w:line="20" w:lineRule="exact"/>
              <w:rPr>
                <w:sz w:val="1"/>
                <w:szCs w:val="1"/>
                <w:color w:val="auto"/>
              </w:rPr>
            </w:pPr>
          </w:p>
        </w:tc>
        <w:tc>
          <w:tcPr>
            <w:tcW w:w="1240" w:type="dxa"/>
            <w:vAlign w:val="bottom"/>
            <w:tcBorders>
              <w:right w:val="single" w:sz="8" w:color="auto"/>
            </w:tcBorders>
            <w:gridSpan w:val="8"/>
          </w:tcPr>
          <w:p>
            <w:pPr>
              <w:spacing w:after="0" w:line="20" w:lineRule="exact"/>
              <w:rPr>
                <w:sz w:val="1"/>
                <w:szCs w:val="1"/>
                <w:color w:val="auto"/>
              </w:rPr>
            </w:pPr>
          </w:p>
        </w:tc>
        <w:tc>
          <w:tcPr>
            <w:tcW w:w="1220" w:type="dxa"/>
            <w:vAlign w:val="bottom"/>
            <w:tcBorders>
              <w:right w:val="single" w:sz="8" w:color="auto"/>
            </w:tcBorders>
            <w:gridSpan w:val="7"/>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0"/>
              </w:rPr>
              <w:t>Advance</w:t>
            </w: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90"/>
              </w:rPr>
              <w:t>Advance</w:t>
            </w:r>
          </w:p>
        </w:tc>
        <w:tc>
          <w:tcPr>
            <w:tcW w:w="80" w:type="dxa"/>
            <w:vAlign w:val="bottom"/>
          </w:tcPr>
          <w:p>
            <w:pPr>
              <w:spacing w:after="0"/>
              <w:rPr>
                <w:sz w:val="17"/>
                <w:szCs w:val="17"/>
                <w:color w:val="auto"/>
              </w:rPr>
            </w:pPr>
          </w:p>
        </w:tc>
        <w:tc>
          <w:tcPr>
            <w:tcW w:w="22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0"/>
              </w:rPr>
              <w:t>Advance</w:t>
            </w:r>
          </w:p>
        </w:tc>
        <w:tc>
          <w:tcPr>
            <w:tcW w:w="80" w:type="dxa"/>
            <w:vAlign w:val="bottom"/>
          </w:tcPr>
          <w:p>
            <w:pPr>
              <w:spacing w:after="0"/>
              <w:rPr>
                <w:sz w:val="17"/>
                <w:szCs w:val="17"/>
                <w:color w:val="auto"/>
              </w:rPr>
            </w:pPr>
          </w:p>
        </w:tc>
        <w:tc>
          <w:tcPr>
            <w:tcW w:w="220" w:type="dxa"/>
            <w:vAlign w:val="bottom"/>
            <w:tcBorders>
              <w:right w:val="single" w:sz="8" w:color="auto"/>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7"/>
              </w:rPr>
              <w:t>Advance</w:t>
            </w:r>
          </w:p>
        </w:tc>
        <w:tc>
          <w:tcPr>
            <w:tcW w:w="280" w:type="dxa"/>
            <w:vAlign w:val="bottom"/>
            <w:tcBorders>
              <w:right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right w:val="single" w:sz="8" w:color="auto"/>
            </w:tcBorders>
            <w:gridSpan w:val="7"/>
          </w:tcPr>
          <w:p>
            <w:pPr>
              <w:jc w:val="center"/>
              <w:ind w:right="100"/>
              <w:spacing w:after="0" w:line="196" w:lineRule="exact"/>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17"/>
                <w:szCs w:val="17"/>
                <w:color w:val="auto"/>
              </w:rPr>
            </w:pPr>
          </w:p>
        </w:tc>
        <w:tc>
          <w:tcPr>
            <w:tcW w:w="1120" w:type="dxa"/>
            <w:vAlign w:val="bottom"/>
            <w:tcBorders>
              <w:right w:val="single" w:sz="8" w:color="auto"/>
            </w:tcBorders>
            <w:gridSpan w:val="6"/>
          </w:tcPr>
          <w:p>
            <w:pPr>
              <w:jc w:val="center"/>
              <w:ind w:right="100"/>
              <w:spacing w:after="0" w:line="196" w:lineRule="exact"/>
              <w:rPr>
                <w:sz w:val="20"/>
                <w:szCs w:val="20"/>
                <w:color w:val="auto"/>
              </w:rPr>
            </w:pPr>
            <w:r>
              <w:rPr>
                <w:rFonts w:ascii="Arial" w:cs="Arial" w:eastAsia="Arial" w:hAnsi="Arial"/>
                <w:sz w:val="18"/>
                <w:szCs w:val="18"/>
                <w:b w:val="1"/>
                <w:bCs w:val="1"/>
                <w:color w:val="auto"/>
                <w:w w:val="92"/>
              </w:rPr>
              <w:t>Commitment</w:t>
            </w:r>
          </w:p>
        </w:tc>
        <w:tc>
          <w:tcPr>
            <w:tcW w:w="1240" w:type="dxa"/>
            <w:vAlign w:val="bottom"/>
            <w:tcBorders>
              <w:right w:val="single" w:sz="8" w:color="auto"/>
            </w:tcBorders>
            <w:gridSpan w:val="8"/>
          </w:tcPr>
          <w:p>
            <w:pPr>
              <w:jc w:val="center"/>
              <w:ind w:right="20"/>
              <w:spacing w:after="0" w:line="196" w:lineRule="exact"/>
              <w:rPr>
                <w:sz w:val="20"/>
                <w:szCs w:val="20"/>
                <w:color w:val="auto"/>
              </w:rPr>
            </w:pPr>
            <w:r>
              <w:rPr>
                <w:rFonts w:ascii="Arial" w:cs="Arial" w:eastAsia="Arial" w:hAnsi="Arial"/>
                <w:sz w:val="18"/>
                <w:szCs w:val="18"/>
                <w:b w:val="1"/>
                <w:bCs w:val="1"/>
                <w:color w:val="auto"/>
                <w:w w:val="92"/>
              </w:rPr>
              <w:t>Commitment</w:t>
            </w:r>
          </w:p>
        </w:tc>
        <w:tc>
          <w:tcPr>
            <w:tcW w:w="80" w:type="dxa"/>
            <w:vAlign w:val="bottom"/>
          </w:tcPr>
          <w:p>
            <w:pPr>
              <w:spacing w:after="0"/>
              <w:rPr>
                <w:sz w:val="17"/>
                <w:szCs w:val="17"/>
                <w:color w:val="auto"/>
              </w:rPr>
            </w:pPr>
          </w:p>
        </w:tc>
        <w:tc>
          <w:tcPr>
            <w:tcW w:w="1140" w:type="dxa"/>
            <w:vAlign w:val="bottom"/>
            <w:tcBorders>
              <w:right w:val="single" w:sz="8" w:color="auto"/>
            </w:tcBorders>
            <w:gridSpan w:val="6"/>
          </w:tcPr>
          <w:p>
            <w:pPr>
              <w:jc w:val="center"/>
              <w:ind w:right="120"/>
              <w:spacing w:after="0" w:line="196" w:lineRule="exact"/>
              <w:rPr>
                <w:sz w:val="20"/>
                <w:szCs w:val="20"/>
                <w:color w:val="auto"/>
              </w:rPr>
            </w:pPr>
            <w:r>
              <w:rPr>
                <w:rFonts w:ascii="Arial" w:cs="Arial" w:eastAsia="Arial" w:hAnsi="Arial"/>
                <w:sz w:val="18"/>
                <w:szCs w:val="18"/>
                <w:b w:val="1"/>
                <w:bCs w:val="1"/>
                <w:color w:val="auto"/>
                <w:w w:val="92"/>
              </w:rPr>
              <w:t>Commitment</w:t>
            </w:r>
          </w:p>
        </w:tc>
      </w:tr>
      <w:tr>
        <w:trPr>
          <w:trHeight w:val="20"/>
        </w:trPr>
        <w:tc>
          <w:tcPr>
            <w:tcW w:w="1280" w:type="dxa"/>
            <w:vAlign w:val="bottom"/>
            <w:tcBorders>
              <w:left w:val="single" w:sz="8" w:color="auto"/>
              <w:right w:val="single" w:sz="8" w:color="auto"/>
            </w:tcBorders>
            <w:gridSpan w:val="5"/>
          </w:tcPr>
          <w:p>
            <w:pPr>
              <w:spacing w:after="0" w:line="20" w:lineRule="exact"/>
              <w:rPr>
                <w:sz w:val="1"/>
                <w:szCs w:val="1"/>
                <w:color w:val="auto"/>
              </w:rPr>
            </w:pPr>
          </w:p>
        </w:tc>
        <w:tc>
          <w:tcPr>
            <w:tcW w:w="1240" w:type="dxa"/>
            <w:vAlign w:val="bottom"/>
            <w:tcBorders>
              <w:right w:val="single" w:sz="8" w:color="auto"/>
            </w:tcBorders>
            <w:gridSpan w:val="10"/>
          </w:tcPr>
          <w:p>
            <w:pPr>
              <w:spacing w:after="0" w:line="20" w:lineRule="exact"/>
              <w:rPr>
                <w:sz w:val="1"/>
                <w:szCs w:val="1"/>
                <w:color w:val="auto"/>
              </w:rPr>
            </w:pPr>
          </w:p>
        </w:tc>
        <w:tc>
          <w:tcPr>
            <w:tcW w:w="1240" w:type="dxa"/>
            <w:vAlign w:val="bottom"/>
            <w:tcBorders>
              <w:right w:val="single" w:sz="8" w:color="auto"/>
            </w:tcBorders>
            <w:gridSpan w:val="10"/>
          </w:tcPr>
          <w:p>
            <w:pPr>
              <w:spacing w:after="0" w:line="20" w:lineRule="exact"/>
              <w:rPr>
                <w:sz w:val="1"/>
                <w:szCs w:val="1"/>
                <w:color w:val="auto"/>
              </w:rPr>
            </w:pPr>
          </w:p>
        </w:tc>
        <w:tc>
          <w:tcPr>
            <w:tcW w:w="1240" w:type="dxa"/>
            <w:vAlign w:val="bottom"/>
            <w:tcBorders>
              <w:right w:val="single" w:sz="8" w:color="auto"/>
            </w:tcBorders>
            <w:gridSpan w:val="7"/>
          </w:tcPr>
          <w:p>
            <w:pPr>
              <w:spacing w:after="0" w:line="20" w:lineRule="exact"/>
              <w:rPr>
                <w:sz w:val="1"/>
                <w:szCs w:val="1"/>
                <w:color w:val="auto"/>
              </w:rPr>
            </w:pPr>
          </w:p>
        </w:tc>
        <w:tc>
          <w:tcPr>
            <w:tcW w:w="1340" w:type="dxa"/>
            <w:vAlign w:val="bottom"/>
            <w:tcBorders>
              <w:right w:val="single" w:sz="8" w:color="auto"/>
            </w:tcBorders>
            <w:gridSpan w:val="7"/>
          </w:tcPr>
          <w:p>
            <w:pPr>
              <w:spacing w:after="0" w:line="20" w:lineRule="exact"/>
              <w:rPr>
                <w:sz w:val="1"/>
                <w:szCs w:val="1"/>
                <w:color w:val="auto"/>
              </w:rPr>
            </w:pPr>
          </w:p>
        </w:tc>
        <w:tc>
          <w:tcPr>
            <w:tcW w:w="260" w:type="dxa"/>
            <w:vAlign w:val="bottom"/>
            <w:tcBorders>
              <w:right w:val="single" w:sz="8" w:color="auto"/>
            </w:tcBorders>
            <w:gridSpan w:val="3"/>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8"/>
          </w:tcPr>
          <w:p>
            <w:pPr>
              <w:jc w:val="center"/>
              <w:ind w:right="20"/>
              <w:spacing w:after="0" w:line="196" w:lineRule="exact"/>
              <w:rPr>
                <w:sz w:val="20"/>
                <w:szCs w:val="20"/>
                <w:color w:val="auto"/>
              </w:rPr>
            </w:pPr>
            <w:r>
              <w:rPr>
                <w:rFonts w:ascii="Arial" w:cs="Arial" w:eastAsia="Arial" w:hAnsi="Arial"/>
                <w:sz w:val="18"/>
                <w:szCs w:val="18"/>
                <w:b w:val="1"/>
                <w:bCs w:val="1"/>
                <w:color w:val="auto"/>
                <w:w w:val="92"/>
              </w:rPr>
              <w:t>Commitment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9"/>
          </w:tcPr>
          <w:p>
            <w:pPr>
              <w:jc w:val="center"/>
              <w:ind w:right="140"/>
              <w:spacing w:after="0" w:line="196" w:lineRule="exact"/>
              <w:rPr>
                <w:sz w:val="20"/>
                <w:szCs w:val="20"/>
                <w:color w:val="auto"/>
              </w:rPr>
            </w:pPr>
            <w:r>
              <w:rPr>
                <w:rFonts w:ascii="Arial" w:cs="Arial" w:eastAsia="Arial" w:hAnsi="Arial"/>
                <w:sz w:val="18"/>
                <w:szCs w:val="18"/>
                <w:b w:val="1"/>
                <w:bCs w:val="1"/>
                <w:color w:val="auto"/>
                <w:w w:val="90"/>
              </w:rPr>
              <w:t>Commitment</w:t>
            </w:r>
          </w:p>
        </w:tc>
        <w:tc>
          <w:tcPr>
            <w:tcW w:w="100" w:type="dxa"/>
            <w:vAlign w:val="bottom"/>
          </w:tcPr>
          <w:p>
            <w:pPr>
              <w:spacing w:after="0"/>
              <w:rPr>
                <w:sz w:val="17"/>
                <w:szCs w:val="17"/>
                <w:color w:val="auto"/>
              </w:rPr>
            </w:pPr>
          </w:p>
        </w:tc>
        <w:tc>
          <w:tcPr>
            <w:tcW w:w="1140" w:type="dxa"/>
            <w:vAlign w:val="bottom"/>
            <w:tcBorders>
              <w:right w:val="single" w:sz="8" w:color="auto"/>
            </w:tcBorders>
            <w:gridSpan w:val="6"/>
          </w:tcPr>
          <w:p>
            <w:pPr>
              <w:jc w:val="center"/>
              <w:ind w:right="120"/>
              <w:spacing w:after="0" w:line="196" w:lineRule="exact"/>
              <w:rPr>
                <w:sz w:val="20"/>
                <w:szCs w:val="20"/>
                <w:color w:val="auto"/>
              </w:rPr>
            </w:pPr>
            <w:r>
              <w:rPr>
                <w:rFonts w:ascii="Arial" w:cs="Arial" w:eastAsia="Arial" w:hAnsi="Arial"/>
                <w:sz w:val="18"/>
                <w:szCs w:val="18"/>
                <w:b w:val="1"/>
                <w:bCs w:val="1"/>
                <w:color w:val="auto"/>
                <w:w w:val="92"/>
              </w:rPr>
              <w:t>Commitment</w:t>
            </w:r>
          </w:p>
        </w:tc>
        <w:tc>
          <w:tcPr>
            <w:tcW w:w="140" w:type="dxa"/>
            <w:vAlign w:val="bottom"/>
          </w:tcPr>
          <w:p>
            <w:pPr>
              <w:spacing w:after="0"/>
              <w:rPr>
                <w:sz w:val="17"/>
                <w:szCs w:val="17"/>
                <w:color w:val="auto"/>
              </w:rPr>
            </w:pPr>
          </w:p>
        </w:tc>
        <w:tc>
          <w:tcPr>
            <w:tcW w:w="1200" w:type="dxa"/>
            <w:vAlign w:val="bottom"/>
            <w:tcBorders>
              <w:right w:val="single" w:sz="8" w:color="auto"/>
            </w:tcBorders>
            <w:gridSpan w:val="6"/>
          </w:tcPr>
          <w:p>
            <w:pPr>
              <w:jc w:val="center"/>
              <w:ind w:right="180"/>
              <w:spacing w:after="0" w:line="196" w:lineRule="exact"/>
              <w:rPr>
                <w:sz w:val="20"/>
                <w:szCs w:val="20"/>
                <w:color w:val="auto"/>
              </w:rPr>
            </w:pPr>
            <w:r>
              <w:rPr>
                <w:rFonts w:ascii="Arial" w:cs="Arial" w:eastAsia="Arial" w:hAnsi="Arial"/>
                <w:sz w:val="18"/>
                <w:szCs w:val="18"/>
                <w:b w:val="1"/>
                <w:bCs w:val="1"/>
                <w:color w:val="auto"/>
                <w:w w:val="92"/>
              </w:rPr>
              <w:t>Commitment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5"/>
          </w:tcPr>
          <w:p>
            <w:pPr>
              <w:jc w:val="center"/>
              <w:ind w:right="200"/>
              <w:spacing w:after="0" w:line="196" w:lineRule="exact"/>
              <w:rPr>
                <w:sz w:val="20"/>
                <w:szCs w:val="20"/>
                <w:color w:val="auto"/>
              </w:rPr>
            </w:pPr>
            <w:r>
              <w:rPr>
                <w:rFonts w:ascii="Arial" w:cs="Arial" w:eastAsia="Arial" w:hAnsi="Arial"/>
                <w:sz w:val="18"/>
                <w:szCs w:val="18"/>
                <w:b w:val="1"/>
                <w:bCs w:val="1"/>
                <w:color w:val="auto"/>
                <w:w w:val="78"/>
              </w:rPr>
              <w:t>Percentage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gridSpan w:val="5"/>
          </w:tcPr>
          <w:p>
            <w:pPr>
              <w:jc w:val="center"/>
              <w:ind w:right="200"/>
              <w:spacing w:after="0" w:line="196" w:lineRule="exact"/>
              <w:rPr>
                <w:sz w:val="20"/>
                <w:szCs w:val="20"/>
                <w:color w:val="auto"/>
              </w:rPr>
            </w:pPr>
            <w:r>
              <w:rPr>
                <w:rFonts w:ascii="Arial" w:cs="Arial" w:eastAsia="Arial" w:hAnsi="Arial"/>
                <w:sz w:val="18"/>
                <w:szCs w:val="18"/>
                <w:b w:val="1"/>
                <w:bCs w:val="1"/>
                <w:color w:val="auto"/>
                <w:w w:val="78"/>
              </w:rPr>
              <w:t>Percentage</w:t>
            </w:r>
          </w:p>
        </w:tc>
      </w:tr>
      <w:tr>
        <w:trPr>
          <w:trHeight w:val="196"/>
        </w:trPr>
        <w:tc>
          <w:tcPr>
            <w:tcW w:w="1280" w:type="dxa"/>
            <w:vAlign w:val="bottom"/>
            <w:tcBorders>
              <w:left w:val="single" w:sz="8" w:color="auto"/>
              <w:right w:val="single" w:sz="8" w:color="auto"/>
            </w:tcBorders>
            <w:gridSpan w:val="5"/>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tcBorders>
            <w:gridSpan w:val="7"/>
          </w:tcPr>
          <w:p>
            <w:pPr>
              <w:spacing w:after="0"/>
              <w:rPr>
                <w:sz w:val="17"/>
                <w:szCs w:val="17"/>
                <w:color w:val="auto"/>
              </w:rPr>
            </w:pPr>
          </w:p>
        </w:tc>
        <w:tc>
          <w:tcPr>
            <w:tcW w:w="14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gridSpan w:val="8"/>
          </w:tcPr>
          <w:p>
            <w:pPr>
              <w:spacing w:after="0"/>
              <w:rPr>
                <w:sz w:val="20"/>
                <w:szCs w:val="20"/>
                <w:color w:val="auto"/>
              </w:rPr>
            </w:pPr>
            <w:r>
              <w:rPr>
                <w:rFonts w:ascii="Arial" w:cs="Arial" w:eastAsia="Arial" w:hAnsi="Arial"/>
                <w:sz w:val="18"/>
                <w:szCs w:val="18"/>
                <w:b w:val="1"/>
                <w:bCs w:val="1"/>
                <w:color w:val="auto"/>
              </w:rPr>
              <w:t>Percentage</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gridSpan w:val="5"/>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Percentage</w:t>
            </w:r>
          </w:p>
        </w:tc>
        <w:tc>
          <w:tcPr>
            <w:tcW w:w="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gridSpan w:val="8"/>
          </w:tcPr>
          <w:p>
            <w:pPr>
              <w:spacing w:after="0"/>
              <w:rPr>
                <w:sz w:val="17"/>
                <w:szCs w:val="17"/>
                <w:color w:val="auto"/>
              </w:rPr>
            </w:pPr>
          </w:p>
        </w:tc>
        <w:tc>
          <w:tcPr>
            <w:tcW w:w="260" w:type="dxa"/>
            <w:vAlign w:val="bottom"/>
            <w:gridSpan w:val="2"/>
          </w:tcPr>
          <w:p>
            <w:pPr>
              <w:spacing w:after="0"/>
              <w:rPr>
                <w:sz w:val="17"/>
                <w:szCs w:val="17"/>
                <w:color w:val="auto"/>
              </w:rPr>
            </w:pPr>
          </w:p>
        </w:tc>
        <w:tc>
          <w:tcPr>
            <w:tcW w:w="780" w:type="dxa"/>
            <w:vAlign w:val="bottom"/>
            <w:tcBorders>
              <w:top w:val="single" w:sz="8" w:color="auto"/>
            </w:tcBorders>
            <w:gridSpan w:val="3"/>
          </w:tcPr>
          <w:p>
            <w:pPr>
              <w:spacing w:after="0"/>
              <w:rPr>
                <w:sz w:val="17"/>
                <w:szCs w:val="17"/>
                <w:color w:val="auto"/>
              </w:rPr>
            </w:pPr>
          </w:p>
        </w:tc>
        <w:tc>
          <w:tcPr>
            <w:tcW w:w="180" w:type="dxa"/>
            <w:vAlign w:val="bottom"/>
            <w:tcBorders>
              <w:right w:val="single" w:sz="8" w:color="auto"/>
            </w:tcBorders>
            <w:gridSpan w:val="2"/>
          </w:tcPr>
          <w:p>
            <w:pPr>
              <w:spacing w:after="0"/>
              <w:rPr>
                <w:sz w:val="17"/>
                <w:szCs w:val="17"/>
                <w:color w:val="auto"/>
              </w:rPr>
            </w:pPr>
          </w:p>
        </w:tc>
        <w:tc>
          <w:tcPr>
            <w:tcW w:w="1240" w:type="dxa"/>
            <w:vAlign w:val="bottom"/>
            <w:tcBorders>
              <w:right w:val="single" w:sz="8" w:color="auto"/>
            </w:tcBorders>
            <w:gridSpan w:val="8"/>
          </w:tcPr>
          <w:p>
            <w:pPr>
              <w:spacing w:after="0"/>
              <w:rPr>
                <w:sz w:val="17"/>
                <w:szCs w:val="17"/>
                <w:color w:val="auto"/>
              </w:rPr>
            </w:pPr>
          </w:p>
        </w:tc>
        <w:tc>
          <w:tcPr>
            <w:tcW w:w="260" w:type="dxa"/>
            <w:vAlign w:val="bottom"/>
            <w:gridSpan w:val="2"/>
          </w:tcPr>
          <w:p>
            <w:pPr>
              <w:spacing w:after="0"/>
              <w:rPr>
                <w:sz w:val="17"/>
                <w:szCs w:val="17"/>
                <w:color w:val="auto"/>
              </w:rPr>
            </w:pPr>
          </w:p>
        </w:tc>
        <w:tc>
          <w:tcPr>
            <w:tcW w:w="760" w:type="dxa"/>
            <w:vAlign w:val="bottom"/>
            <w:tcBorders>
              <w:top w:val="single" w:sz="8" w:color="auto"/>
            </w:tcBorders>
            <w:gridSpan w:val="3"/>
          </w:tcPr>
          <w:p>
            <w:pPr>
              <w:spacing w:after="0"/>
              <w:rPr>
                <w:sz w:val="17"/>
                <w:szCs w:val="17"/>
                <w:color w:val="auto"/>
              </w:rPr>
            </w:pPr>
          </w:p>
        </w:tc>
        <w:tc>
          <w:tcPr>
            <w:tcW w:w="200" w:type="dxa"/>
            <w:vAlign w:val="bottom"/>
            <w:tcBorders>
              <w:right w:val="single" w:sz="8" w:color="auto"/>
            </w:tcBorders>
            <w:gridSpan w:val="2"/>
          </w:tcPr>
          <w:p>
            <w:pPr>
              <w:spacing w:after="0"/>
              <w:rPr>
                <w:sz w:val="17"/>
                <w:szCs w:val="17"/>
                <w:color w:val="auto"/>
              </w:rPr>
            </w:pPr>
          </w:p>
        </w:tc>
      </w:tr>
      <w:tr>
        <w:trPr>
          <w:trHeight w:val="20"/>
        </w:trPr>
        <w:tc>
          <w:tcPr>
            <w:tcW w:w="1280" w:type="dxa"/>
            <w:vAlign w:val="bottom"/>
            <w:tcBorders>
              <w:left w:val="single" w:sz="8" w:color="auto"/>
              <w:bottom w:val="single" w:sz="8" w:color="auto"/>
              <w:right w:val="single" w:sz="8" w:color="auto"/>
            </w:tcBorders>
            <w:gridSpan w:val="5"/>
          </w:tcPr>
          <w:p>
            <w:pPr>
              <w:spacing w:after="0" w:line="20" w:lineRule="exact"/>
              <w:rPr>
                <w:sz w:val="1"/>
                <w:szCs w:val="1"/>
                <w:color w:val="auto"/>
              </w:rPr>
            </w:pPr>
          </w:p>
        </w:tc>
        <w:tc>
          <w:tcPr>
            <w:tcW w:w="1240" w:type="dxa"/>
            <w:vAlign w:val="bottom"/>
            <w:tcBorders>
              <w:bottom w:val="single" w:sz="8" w:color="auto"/>
              <w:right w:val="single" w:sz="8" w:color="auto"/>
            </w:tcBorders>
            <w:gridSpan w:val="10"/>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6"/>
          </w:tcPr>
          <w:p>
            <w:pPr>
              <w:spacing w:after="0" w:line="20" w:lineRule="exact"/>
              <w:rPr>
                <w:sz w:val="1"/>
                <w:szCs w:val="1"/>
                <w:color w:val="auto"/>
              </w:rPr>
            </w:pPr>
          </w:p>
        </w:tc>
        <w:tc>
          <w:tcPr>
            <w:tcW w:w="220" w:type="dxa"/>
            <w:vAlign w:val="bottom"/>
            <w:tcBorders>
              <w:bottom w:val="single" w:sz="8" w:color="auto"/>
              <w:right w:val="single" w:sz="8" w:color="auto"/>
            </w:tcBorders>
            <w:gridSpan w:val="2"/>
          </w:tcPr>
          <w:p>
            <w:pPr>
              <w:spacing w:after="0" w:line="20" w:lineRule="exact"/>
              <w:rPr>
                <w:sz w:val="1"/>
                <w:szCs w:val="1"/>
                <w:color w:val="auto"/>
              </w:rPr>
            </w:pPr>
          </w:p>
        </w:tc>
        <w:tc>
          <w:tcPr>
            <w:tcW w:w="1240" w:type="dxa"/>
            <w:vAlign w:val="bottom"/>
            <w:tcBorders>
              <w:bottom w:val="single" w:sz="8" w:color="auto"/>
              <w:right w:val="single" w:sz="8" w:color="auto"/>
            </w:tcBorders>
            <w:gridSpan w:val="7"/>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bottom w:val="single" w:sz="8" w:color="auto"/>
              <w:right w:val="single" w:sz="8" w:color="auto"/>
            </w:tcBorders>
            <w:gridSpan w:val="2"/>
          </w:tcPr>
          <w:p>
            <w:pPr>
              <w:spacing w:after="0" w:line="20" w:lineRule="exact"/>
              <w:rPr>
                <w:sz w:val="1"/>
                <w:szCs w:val="1"/>
                <w:color w:val="auto"/>
              </w:rPr>
            </w:pPr>
          </w:p>
        </w:tc>
        <w:tc>
          <w:tcPr>
            <w:tcW w:w="1220" w:type="dxa"/>
            <w:vAlign w:val="bottom"/>
            <w:tcBorders>
              <w:bottom w:val="single" w:sz="8" w:color="auto"/>
              <w:right w:val="single" w:sz="8" w:color="auto"/>
            </w:tcBorders>
            <w:gridSpan w:val="8"/>
          </w:tcPr>
          <w:p>
            <w:pPr>
              <w:spacing w:after="0" w:line="20" w:lineRule="exact"/>
              <w:rPr>
                <w:sz w:val="1"/>
                <w:szCs w:val="1"/>
                <w:color w:val="auto"/>
              </w:rPr>
            </w:pPr>
          </w:p>
        </w:tc>
        <w:tc>
          <w:tcPr>
            <w:tcW w:w="1220" w:type="dxa"/>
            <w:vAlign w:val="bottom"/>
            <w:tcBorders>
              <w:bottom w:val="single" w:sz="8" w:color="auto"/>
              <w:right w:val="single" w:sz="8" w:color="auto"/>
            </w:tcBorders>
            <w:gridSpan w:val="7"/>
          </w:tcPr>
          <w:p>
            <w:pPr>
              <w:spacing w:after="0" w:line="20" w:lineRule="exact"/>
              <w:rPr>
                <w:sz w:val="1"/>
                <w:szCs w:val="1"/>
                <w:color w:val="auto"/>
              </w:rPr>
            </w:pPr>
          </w:p>
        </w:tc>
        <w:tc>
          <w:tcPr>
            <w:tcW w:w="1240" w:type="dxa"/>
            <w:vAlign w:val="bottom"/>
            <w:tcBorders>
              <w:bottom w:val="single" w:sz="8" w:color="auto"/>
              <w:right w:val="single" w:sz="8" w:color="auto"/>
            </w:tcBorders>
            <w:gridSpan w:val="8"/>
          </w:tcPr>
          <w:p>
            <w:pPr>
              <w:spacing w:after="0" w:line="20" w:lineRule="exact"/>
              <w:rPr>
                <w:sz w:val="1"/>
                <w:szCs w:val="1"/>
                <w:color w:val="auto"/>
              </w:rPr>
            </w:pPr>
          </w:p>
        </w:tc>
        <w:tc>
          <w:tcPr>
            <w:tcW w:w="12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303"/>
        </w:trPr>
        <w:tc>
          <w:tcPr>
            <w:tcW w:w="128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5"/>
              </w:rPr>
              <w:t>Silicon Valley</w:t>
            </w:r>
          </w:p>
        </w:tc>
        <w:tc>
          <w:tcPr>
            <w:tcW w:w="1080" w:type="dxa"/>
            <w:vAlign w:val="bottom"/>
            <w:gridSpan w:val="7"/>
          </w:tcPr>
          <w:p>
            <w:pPr>
              <w:jc w:val="center"/>
              <w:ind w:left="10"/>
              <w:spacing w:after="0"/>
              <w:rPr>
                <w:sz w:val="20"/>
                <w:szCs w:val="20"/>
                <w:color w:val="auto"/>
              </w:rPr>
            </w:pPr>
            <w:r>
              <w:rPr>
                <w:rFonts w:ascii="Arial" w:cs="Arial" w:eastAsia="Arial" w:hAnsi="Arial"/>
                <w:sz w:val="18"/>
                <w:szCs w:val="18"/>
                <w:color w:val="auto"/>
                <w:w w:val="89"/>
              </w:rPr>
              <w:t>$12,750,000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gridSpan w:val="7"/>
          </w:tcPr>
          <w:p>
            <w:pPr>
              <w:jc w:val="center"/>
              <w:ind w:left="170"/>
              <w:spacing w:after="0"/>
              <w:rPr>
                <w:sz w:val="20"/>
                <w:szCs w:val="20"/>
                <w:color w:val="auto"/>
              </w:rPr>
            </w:pPr>
            <w:r>
              <w:rPr>
                <w:rFonts w:ascii="Arial" w:cs="Arial" w:eastAsia="Arial" w:hAnsi="Arial"/>
                <w:sz w:val="18"/>
                <w:szCs w:val="18"/>
                <w:color w:val="auto"/>
                <w:w w:val="91"/>
              </w:rPr>
              <w:t>85.00%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gridSpan w:val="6"/>
          </w:tcPr>
          <w:p>
            <w:pPr>
              <w:jc w:val="center"/>
              <w:ind w:left="10"/>
              <w:spacing w:after="0"/>
              <w:rPr>
                <w:sz w:val="20"/>
                <w:szCs w:val="20"/>
                <w:color w:val="auto"/>
              </w:rPr>
            </w:pPr>
            <w:r>
              <w:rPr>
                <w:rFonts w:ascii="Arial" w:cs="Arial" w:eastAsia="Arial" w:hAnsi="Arial"/>
                <w:sz w:val="18"/>
                <w:szCs w:val="18"/>
                <w:color w:val="auto"/>
                <w:w w:val="89"/>
              </w:rPr>
              <w:t>$12,750,000</w:t>
            </w:r>
          </w:p>
        </w:tc>
        <w:tc>
          <w:tcPr>
            <w:tcW w:w="120" w:type="dxa"/>
            <w:vAlign w:val="bottom"/>
            <w:tcBorders>
              <w:right w:val="single" w:sz="8" w:color="auto"/>
            </w:tcBorders>
          </w:tcPr>
          <w:p>
            <w:pPr>
              <w:spacing w:after="0"/>
              <w:rPr>
                <w:sz w:val="24"/>
                <w:szCs w:val="24"/>
                <w:color w:val="auto"/>
              </w:rPr>
            </w:pPr>
          </w:p>
        </w:tc>
        <w:tc>
          <w:tcPr>
            <w:tcW w:w="980" w:type="dxa"/>
            <w:vAlign w:val="bottom"/>
            <w:gridSpan w:val="4"/>
          </w:tcPr>
          <w:p>
            <w:pPr>
              <w:jc w:val="center"/>
              <w:ind w:left="230"/>
              <w:spacing w:after="0"/>
              <w:rPr>
                <w:sz w:val="20"/>
                <w:szCs w:val="20"/>
                <w:color w:val="auto"/>
              </w:rPr>
            </w:pPr>
            <w:r>
              <w:rPr>
                <w:rFonts w:ascii="Arial" w:cs="Arial" w:eastAsia="Arial" w:hAnsi="Arial"/>
                <w:sz w:val="18"/>
                <w:szCs w:val="18"/>
                <w:color w:val="auto"/>
                <w:w w:val="88"/>
              </w:rPr>
              <w:t>85.00%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5"/>
          </w:tcPr>
          <w:p>
            <w:pPr>
              <w:jc w:val="center"/>
              <w:ind w:left="30"/>
              <w:spacing w:after="0"/>
              <w:rPr>
                <w:sz w:val="20"/>
                <w:szCs w:val="20"/>
                <w:color w:val="auto"/>
              </w:rPr>
            </w:pPr>
            <w:r>
              <w:rPr>
                <w:rFonts w:ascii="Arial" w:cs="Arial" w:eastAsia="Arial" w:hAnsi="Arial"/>
                <w:sz w:val="18"/>
                <w:szCs w:val="18"/>
                <w:color w:val="auto"/>
                <w:w w:val="90"/>
              </w:rPr>
              <w:t>$8,500,000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gridSpan w:val="4"/>
          </w:tcPr>
          <w:p>
            <w:pPr>
              <w:jc w:val="center"/>
              <w:ind w:left="170"/>
              <w:spacing w:after="0"/>
              <w:rPr>
                <w:sz w:val="20"/>
                <w:szCs w:val="20"/>
                <w:color w:val="auto"/>
              </w:rPr>
            </w:pPr>
            <w:r>
              <w:rPr>
                <w:rFonts w:ascii="Arial" w:cs="Arial" w:eastAsia="Arial" w:hAnsi="Arial"/>
                <w:sz w:val="18"/>
                <w:szCs w:val="18"/>
                <w:color w:val="auto"/>
                <w:w w:val="91"/>
              </w:rPr>
              <w:t>85.00%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gridSpan w:val="6"/>
          </w:tcPr>
          <w:p>
            <w:pPr>
              <w:jc w:val="center"/>
              <w:ind w:left="110"/>
              <w:spacing w:after="0"/>
              <w:rPr>
                <w:sz w:val="20"/>
                <w:szCs w:val="20"/>
                <w:color w:val="auto"/>
              </w:rPr>
            </w:pPr>
            <w:r>
              <w:rPr>
                <w:rFonts w:ascii="Arial" w:cs="Arial" w:eastAsia="Arial" w:hAnsi="Arial"/>
                <w:sz w:val="18"/>
                <w:szCs w:val="18"/>
                <w:color w:val="auto"/>
                <w:w w:val="90"/>
              </w:rPr>
              <w:t>$8,500,000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gridSpan w:val="4"/>
          </w:tcPr>
          <w:p>
            <w:pPr>
              <w:jc w:val="center"/>
              <w:ind w:left="170"/>
              <w:spacing w:after="0"/>
              <w:rPr>
                <w:sz w:val="20"/>
                <w:szCs w:val="20"/>
                <w:color w:val="auto"/>
              </w:rPr>
            </w:pPr>
            <w:r>
              <w:rPr>
                <w:rFonts w:ascii="Arial" w:cs="Arial" w:eastAsia="Arial" w:hAnsi="Arial"/>
                <w:sz w:val="18"/>
                <w:szCs w:val="18"/>
                <w:color w:val="auto"/>
                <w:w w:val="91"/>
              </w:rPr>
              <w:t>85.00%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30"/>
        </w:trPr>
        <w:tc>
          <w:tcPr>
            <w:tcW w:w="1280" w:type="dxa"/>
            <w:vAlign w:val="bottom"/>
            <w:tcBorders>
              <w:left w:val="single" w:sz="8" w:color="auto"/>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Bank</w:t>
            </w:r>
          </w:p>
        </w:tc>
        <w:tc>
          <w:tcPr>
            <w:tcW w:w="1240" w:type="dxa"/>
            <w:vAlign w:val="bottom"/>
            <w:tcBorders>
              <w:bottom w:val="single" w:sz="8" w:color="auto"/>
              <w:right w:val="single" w:sz="8" w:color="auto"/>
            </w:tcBorders>
            <w:gridSpan w:val="10"/>
          </w:tcPr>
          <w:p>
            <w:pPr>
              <w:spacing w:after="0"/>
              <w:rPr>
                <w:sz w:val="20"/>
                <w:szCs w:val="20"/>
                <w:color w:val="auto"/>
              </w:rPr>
            </w:pPr>
          </w:p>
        </w:tc>
        <w:tc>
          <w:tcPr>
            <w:tcW w:w="1240" w:type="dxa"/>
            <w:vAlign w:val="bottom"/>
            <w:tcBorders>
              <w:bottom w:val="single" w:sz="8" w:color="auto"/>
              <w:right w:val="single" w:sz="8" w:color="auto"/>
            </w:tcBorders>
            <w:gridSpan w:val="10"/>
          </w:tcPr>
          <w:p>
            <w:pPr>
              <w:spacing w:after="0"/>
              <w:rPr>
                <w:sz w:val="20"/>
                <w:szCs w:val="20"/>
                <w:color w:val="auto"/>
              </w:rPr>
            </w:pPr>
          </w:p>
        </w:tc>
        <w:tc>
          <w:tcPr>
            <w:tcW w:w="1240" w:type="dxa"/>
            <w:vAlign w:val="bottom"/>
            <w:tcBorders>
              <w:bottom w:val="single" w:sz="8" w:color="auto"/>
              <w:right w:val="single" w:sz="8" w:color="auto"/>
            </w:tcBorders>
            <w:gridSpan w:val="7"/>
          </w:tcPr>
          <w:p>
            <w:pPr>
              <w:spacing w:after="0"/>
              <w:rPr>
                <w:sz w:val="20"/>
                <w:szCs w:val="20"/>
                <w:color w:val="auto"/>
              </w:rPr>
            </w:pPr>
          </w:p>
        </w:tc>
        <w:tc>
          <w:tcPr>
            <w:tcW w:w="1340" w:type="dxa"/>
            <w:vAlign w:val="bottom"/>
            <w:tcBorders>
              <w:bottom w:val="single" w:sz="8" w:color="auto"/>
              <w:right w:val="single" w:sz="8" w:color="auto"/>
            </w:tcBorders>
            <w:gridSpan w:val="7"/>
          </w:tcPr>
          <w:p>
            <w:pPr>
              <w:spacing w:after="0"/>
              <w:rPr>
                <w:sz w:val="20"/>
                <w:szCs w:val="20"/>
                <w:color w:val="auto"/>
              </w:rPr>
            </w:pPr>
          </w:p>
        </w:tc>
        <w:tc>
          <w:tcPr>
            <w:tcW w:w="1220" w:type="dxa"/>
            <w:vAlign w:val="bottom"/>
            <w:tcBorders>
              <w:bottom w:val="single" w:sz="8" w:color="auto"/>
              <w:right w:val="single" w:sz="8" w:color="auto"/>
            </w:tcBorders>
            <w:gridSpan w:val="8"/>
          </w:tcPr>
          <w:p>
            <w:pPr>
              <w:spacing w:after="0"/>
              <w:rPr>
                <w:sz w:val="20"/>
                <w:szCs w:val="20"/>
                <w:color w:val="auto"/>
              </w:rPr>
            </w:pPr>
          </w:p>
        </w:tc>
        <w:tc>
          <w:tcPr>
            <w:tcW w:w="1220" w:type="dxa"/>
            <w:vAlign w:val="bottom"/>
            <w:tcBorders>
              <w:bottom w:val="single" w:sz="8" w:color="auto"/>
              <w:right w:val="single" w:sz="8" w:color="auto"/>
            </w:tcBorders>
            <w:gridSpan w:val="7"/>
          </w:tcPr>
          <w:p>
            <w:pPr>
              <w:spacing w:after="0"/>
              <w:rPr>
                <w:sz w:val="20"/>
                <w:szCs w:val="20"/>
                <w:color w:val="auto"/>
              </w:rPr>
            </w:pPr>
          </w:p>
        </w:tc>
        <w:tc>
          <w:tcPr>
            <w:tcW w:w="1240" w:type="dxa"/>
            <w:vAlign w:val="bottom"/>
            <w:tcBorders>
              <w:bottom w:val="single" w:sz="8" w:color="auto"/>
              <w:right w:val="single" w:sz="8" w:color="auto"/>
            </w:tcBorders>
            <w:gridSpan w:val="8"/>
          </w:tcPr>
          <w:p>
            <w:pPr>
              <w:spacing w:after="0"/>
              <w:rPr>
                <w:sz w:val="20"/>
                <w:szCs w:val="20"/>
                <w:color w:val="auto"/>
              </w:rPr>
            </w:pPr>
          </w:p>
        </w:tc>
        <w:tc>
          <w:tcPr>
            <w:tcW w:w="1220" w:type="dxa"/>
            <w:vAlign w:val="bottom"/>
            <w:tcBorders>
              <w:bottom w:val="single" w:sz="8" w:color="auto"/>
              <w:right w:val="single" w:sz="8" w:color="auto"/>
            </w:tcBorders>
            <w:gridSpan w:val="7"/>
          </w:tcPr>
          <w:p>
            <w:pPr>
              <w:spacing w:after="0"/>
              <w:rPr>
                <w:sz w:val="20"/>
                <w:szCs w:val="20"/>
                <w:color w:val="auto"/>
              </w:rPr>
            </w:pPr>
          </w:p>
        </w:tc>
      </w:tr>
      <w:tr>
        <w:trPr>
          <w:trHeight w:val="303"/>
        </w:trPr>
        <w:tc>
          <w:tcPr>
            <w:tcW w:w="128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5"/>
              </w:rPr>
              <w:t>SVB Innovation</w:t>
            </w:r>
          </w:p>
        </w:tc>
        <w:tc>
          <w:tcPr>
            <w:tcW w:w="940" w:type="dxa"/>
            <w:vAlign w:val="bottom"/>
            <w:gridSpan w:val="5"/>
          </w:tcPr>
          <w:p>
            <w:pPr>
              <w:jc w:val="center"/>
              <w:ind w:left="50"/>
              <w:spacing w:after="0"/>
              <w:rPr>
                <w:sz w:val="20"/>
                <w:szCs w:val="20"/>
                <w:color w:val="auto"/>
              </w:rPr>
            </w:pPr>
            <w:r>
              <w:rPr>
                <w:rFonts w:ascii="Arial" w:cs="Arial" w:eastAsia="Arial" w:hAnsi="Arial"/>
                <w:sz w:val="18"/>
                <w:szCs w:val="18"/>
                <w:color w:val="auto"/>
                <w:w w:val="88"/>
              </w:rPr>
              <w:t>$2,250,000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gridSpan w:val="7"/>
          </w:tcPr>
          <w:p>
            <w:pPr>
              <w:jc w:val="center"/>
              <w:ind w:left="170"/>
              <w:spacing w:after="0"/>
              <w:rPr>
                <w:sz w:val="20"/>
                <w:szCs w:val="20"/>
                <w:color w:val="auto"/>
              </w:rPr>
            </w:pPr>
            <w:r>
              <w:rPr>
                <w:rFonts w:ascii="Arial" w:cs="Arial" w:eastAsia="Arial" w:hAnsi="Arial"/>
                <w:sz w:val="18"/>
                <w:szCs w:val="18"/>
                <w:color w:val="auto"/>
                <w:w w:val="91"/>
              </w:rPr>
              <w:t>15.00%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20" w:type="dxa"/>
            <w:vAlign w:val="bottom"/>
            <w:gridSpan w:val="5"/>
          </w:tcPr>
          <w:p>
            <w:pPr>
              <w:jc w:val="center"/>
              <w:ind w:left="90"/>
              <w:spacing w:after="0"/>
              <w:rPr>
                <w:sz w:val="20"/>
                <w:szCs w:val="20"/>
                <w:color w:val="auto"/>
              </w:rPr>
            </w:pPr>
            <w:r>
              <w:rPr>
                <w:rFonts w:ascii="Arial" w:cs="Arial" w:eastAsia="Arial" w:hAnsi="Arial"/>
                <w:sz w:val="18"/>
                <w:szCs w:val="18"/>
                <w:color w:val="auto"/>
                <w:w w:val="88"/>
              </w:rPr>
              <w:t>$2,250,000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gridSpan w:val="4"/>
          </w:tcPr>
          <w:p>
            <w:pPr>
              <w:jc w:val="center"/>
              <w:ind w:left="230"/>
              <w:spacing w:after="0"/>
              <w:rPr>
                <w:sz w:val="20"/>
                <w:szCs w:val="20"/>
                <w:color w:val="auto"/>
              </w:rPr>
            </w:pPr>
            <w:r>
              <w:rPr>
                <w:rFonts w:ascii="Arial" w:cs="Arial" w:eastAsia="Arial" w:hAnsi="Arial"/>
                <w:sz w:val="18"/>
                <w:szCs w:val="18"/>
                <w:color w:val="auto"/>
                <w:w w:val="88"/>
              </w:rPr>
              <w:t>15.00%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5"/>
          </w:tcPr>
          <w:p>
            <w:pPr>
              <w:jc w:val="center"/>
              <w:ind w:left="30"/>
              <w:spacing w:after="0"/>
              <w:rPr>
                <w:sz w:val="20"/>
                <w:szCs w:val="20"/>
                <w:color w:val="auto"/>
              </w:rPr>
            </w:pPr>
            <w:r>
              <w:rPr>
                <w:rFonts w:ascii="Arial" w:cs="Arial" w:eastAsia="Arial" w:hAnsi="Arial"/>
                <w:sz w:val="18"/>
                <w:szCs w:val="18"/>
                <w:color w:val="auto"/>
                <w:w w:val="90"/>
              </w:rPr>
              <w:t>$1,500,000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gridSpan w:val="4"/>
          </w:tcPr>
          <w:p>
            <w:pPr>
              <w:jc w:val="center"/>
              <w:ind w:left="170"/>
              <w:spacing w:after="0"/>
              <w:rPr>
                <w:sz w:val="20"/>
                <w:szCs w:val="20"/>
                <w:color w:val="auto"/>
              </w:rPr>
            </w:pPr>
            <w:r>
              <w:rPr>
                <w:rFonts w:ascii="Arial" w:cs="Arial" w:eastAsia="Arial" w:hAnsi="Arial"/>
                <w:sz w:val="18"/>
                <w:szCs w:val="18"/>
                <w:color w:val="auto"/>
                <w:w w:val="91"/>
              </w:rPr>
              <w:t>15.00%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gridSpan w:val="6"/>
          </w:tcPr>
          <w:p>
            <w:pPr>
              <w:jc w:val="center"/>
              <w:ind w:left="110"/>
              <w:spacing w:after="0"/>
              <w:rPr>
                <w:sz w:val="20"/>
                <w:szCs w:val="20"/>
                <w:color w:val="auto"/>
              </w:rPr>
            </w:pPr>
            <w:r>
              <w:rPr>
                <w:rFonts w:ascii="Arial" w:cs="Arial" w:eastAsia="Arial" w:hAnsi="Arial"/>
                <w:sz w:val="18"/>
                <w:szCs w:val="18"/>
                <w:color w:val="auto"/>
                <w:w w:val="90"/>
              </w:rPr>
              <w:t>$1,500,000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gridSpan w:val="4"/>
          </w:tcPr>
          <w:p>
            <w:pPr>
              <w:jc w:val="center"/>
              <w:ind w:left="170"/>
              <w:spacing w:after="0"/>
              <w:rPr>
                <w:sz w:val="20"/>
                <w:szCs w:val="20"/>
                <w:color w:val="auto"/>
              </w:rPr>
            </w:pPr>
            <w:r>
              <w:rPr>
                <w:rFonts w:ascii="Arial" w:cs="Arial" w:eastAsia="Arial" w:hAnsi="Arial"/>
                <w:sz w:val="18"/>
                <w:szCs w:val="18"/>
                <w:color w:val="auto"/>
                <w:w w:val="91"/>
              </w:rPr>
              <w:t>15.00%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16"/>
        </w:trPr>
        <w:tc>
          <w:tcPr>
            <w:tcW w:w="128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1"/>
              </w:rPr>
              <w:t>Credit Fund</w:t>
            </w:r>
          </w:p>
        </w:tc>
        <w:tc>
          <w:tcPr>
            <w:tcW w:w="1240" w:type="dxa"/>
            <w:vAlign w:val="bottom"/>
            <w:tcBorders>
              <w:right w:val="single" w:sz="8" w:color="auto"/>
            </w:tcBorders>
            <w:gridSpan w:val="10"/>
          </w:tcPr>
          <w:p>
            <w:pPr>
              <w:spacing w:after="0"/>
              <w:rPr>
                <w:sz w:val="18"/>
                <w:szCs w:val="18"/>
                <w:color w:val="auto"/>
              </w:rPr>
            </w:pPr>
          </w:p>
        </w:tc>
        <w:tc>
          <w:tcPr>
            <w:tcW w:w="1240" w:type="dxa"/>
            <w:vAlign w:val="bottom"/>
            <w:tcBorders>
              <w:right w:val="single" w:sz="8" w:color="auto"/>
            </w:tcBorders>
            <w:gridSpan w:val="10"/>
          </w:tcPr>
          <w:p>
            <w:pPr>
              <w:spacing w:after="0"/>
              <w:rPr>
                <w:sz w:val="18"/>
                <w:szCs w:val="18"/>
                <w:color w:val="auto"/>
              </w:rPr>
            </w:pPr>
          </w:p>
        </w:tc>
        <w:tc>
          <w:tcPr>
            <w:tcW w:w="1240" w:type="dxa"/>
            <w:vAlign w:val="bottom"/>
            <w:tcBorders>
              <w:right w:val="single" w:sz="8" w:color="auto"/>
            </w:tcBorders>
            <w:gridSpan w:val="7"/>
          </w:tcPr>
          <w:p>
            <w:pPr>
              <w:spacing w:after="0"/>
              <w:rPr>
                <w:sz w:val="18"/>
                <w:szCs w:val="18"/>
                <w:color w:val="auto"/>
              </w:rPr>
            </w:pPr>
          </w:p>
        </w:tc>
        <w:tc>
          <w:tcPr>
            <w:tcW w:w="1340" w:type="dxa"/>
            <w:vAlign w:val="bottom"/>
            <w:tcBorders>
              <w:right w:val="single" w:sz="8" w:color="auto"/>
            </w:tcBorders>
            <w:gridSpan w:val="7"/>
          </w:tcPr>
          <w:p>
            <w:pPr>
              <w:spacing w:after="0"/>
              <w:rPr>
                <w:sz w:val="18"/>
                <w:szCs w:val="18"/>
                <w:color w:val="auto"/>
              </w:rPr>
            </w:pPr>
          </w:p>
        </w:tc>
        <w:tc>
          <w:tcPr>
            <w:tcW w:w="1220" w:type="dxa"/>
            <w:vAlign w:val="bottom"/>
            <w:tcBorders>
              <w:right w:val="single" w:sz="8" w:color="auto"/>
            </w:tcBorders>
            <w:gridSpan w:val="8"/>
          </w:tcPr>
          <w:p>
            <w:pPr>
              <w:spacing w:after="0"/>
              <w:rPr>
                <w:sz w:val="18"/>
                <w:szCs w:val="18"/>
                <w:color w:val="auto"/>
              </w:rPr>
            </w:pPr>
          </w:p>
        </w:tc>
        <w:tc>
          <w:tcPr>
            <w:tcW w:w="1220" w:type="dxa"/>
            <w:vAlign w:val="bottom"/>
            <w:tcBorders>
              <w:right w:val="single" w:sz="8" w:color="auto"/>
            </w:tcBorders>
            <w:gridSpan w:val="7"/>
          </w:tcPr>
          <w:p>
            <w:pPr>
              <w:spacing w:after="0"/>
              <w:rPr>
                <w:sz w:val="18"/>
                <w:szCs w:val="18"/>
                <w:color w:val="auto"/>
              </w:rPr>
            </w:pPr>
          </w:p>
        </w:tc>
        <w:tc>
          <w:tcPr>
            <w:tcW w:w="1240" w:type="dxa"/>
            <w:vAlign w:val="bottom"/>
            <w:tcBorders>
              <w:right w:val="single" w:sz="8" w:color="auto"/>
            </w:tcBorders>
            <w:gridSpan w:val="8"/>
          </w:tcPr>
          <w:p>
            <w:pPr>
              <w:spacing w:after="0"/>
              <w:rPr>
                <w:sz w:val="18"/>
                <w:szCs w:val="18"/>
                <w:color w:val="auto"/>
              </w:rPr>
            </w:pPr>
          </w:p>
        </w:tc>
        <w:tc>
          <w:tcPr>
            <w:tcW w:w="1220" w:type="dxa"/>
            <w:vAlign w:val="bottom"/>
            <w:tcBorders>
              <w:right w:val="single" w:sz="8" w:color="auto"/>
            </w:tcBorders>
            <w:gridSpan w:val="7"/>
          </w:tcPr>
          <w:p>
            <w:pPr>
              <w:spacing w:after="0"/>
              <w:rPr>
                <w:sz w:val="18"/>
                <w:szCs w:val="18"/>
                <w:color w:val="auto"/>
              </w:rPr>
            </w:pPr>
          </w:p>
        </w:tc>
      </w:tr>
      <w:tr>
        <w:trPr>
          <w:trHeight w:val="230"/>
        </w:trPr>
        <w:tc>
          <w:tcPr>
            <w:tcW w:w="1280" w:type="dxa"/>
            <w:vAlign w:val="bottom"/>
            <w:tcBorders>
              <w:left w:val="single" w:sz="8" w:color="auto"/>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8"/>
              </w:rPr>
              <w:t>VIII, L.P.</w:t>
            </w:r>
          </w:p>
        </w:tc>
        <w:tc>
          <w:tcPr>
            <w:tcW w:w="1240" w:type="dxa"/>
            <w:vAlign w:val="bottom"/>
            <w:tcBorders>
              <w:bottom w:val="single" w:sz="8" w:color="auto"/>
              <w:right w:val="single" w:sz="8" w:color="auto"/>
            </w:tcBorders>
            <w:gridSpan w:val="10"/>
          </w:tcPr>
          <w:p>
            <w:pPr>
              <w:spacing w:after="0"/>
              <w:rPr>
                <w:sz w:val="20"/>
                <w:szCs w:val="20"/>
                <w:color w:val="auto"/>
              </w:rPr>
            </w:pPr>
          </w:p>
        </w:tc>
        <w:tc>
          <w:tcPr>
            <w:tcW w:w="1240" w:type="dxa"/>
            <w:vAlign w:val="bottom"/>
            <w:tcBorders>
              <w:bottom w:val="single" w:sz="8" w:color="auto"/>
              <w:right w:val="single" w:sz="8" w:color="auto"/>
            </w:tcBorders>
            <w:gridSpan w:val="10"/>
          </w:tcPr>
          <w:p>
            <w:pPr>
              <w:spacing w:after="0"/>
              <w:rPr>
                <w:sz w:val="20"/>
                <w:szCs w:val="20"/>
                <w:color w:val="auto"/>
              </w:rPr>
            </w:pPr>
          </w:p>
        </w:tc>
        <w:tc>
          <w:tcPr>
            <w:tcW w:w="1240" w:type="dxa"/>
            <w:vAlign w:val="bottom"/>
            <w:tcBorders>
              <w:bottom w:val="single" w:sz="8" w:color="auto"/>
              <w:right w:val="single" w:sz="8" w:color="auto"/>
            </w:tcBorders>
            <w:gridSpan w:val="7"/>
          </w:tcPr>
          <w:p>
            <w:pPr>
              <w:spacing w:after="0"/>
              <w:rPr>
                <w:sz w:val="20"/>
                <w:szCs w:val="20"/>
                <w:color w:val="auto"/>
              </w:rPr>
            </w:pPr>
          </w:p>
        </w:tc>
        <w:tc>
          <w:tcPr>
            <w:tcW w:w="1340" w:type="dxa"/>
            <w:vAlign w:val="bottom"/>
            <w:tcBorders>
              <w:bottom w:val="single" w:sz="8" w:color="auto"/>
              <w:right w:val="single" w:sz="8" w:color="auto"/>
            </w:tcBorders>
            <w:gridSpan w:val="7"/>
          </w:tcPr>
          <w:p>
            <w:pPr>
              <w:spacing w:after="0"/>
              <w:rPr>
                <w:sz w:val="20"/>
                <w:szCs w:val="20"/>
                <w:color w:val="auto"/>
              </w:rPr>
            </w:pPr>
          </w:p>
        </w:tc>
        <w:tc>
          <w:tcPr>
            <w:tcW w:w="1220" w:type="dxa"/>
            <w:vAlign w:val="bottom"/>
            <w:tcBorders>
              <w:bottom w:val="single" w:sz="8" w:color="auto"/>
              <w:right w:val="single" w:sz="8" w:color="auto"/>
            </w:tcBorders>
            <w:gridSpan w:val="8"/>
          </w:tcPr>
          <w:p>
            <w:pPr>
              <w:spacing w:after="0"/>
              <w:rPr>
                <w:sz w:val="20"/>
                <w:szCs w:val="20"/>
                <w:color w:val="auto"/>
              </w:rPr>
            </w:pPr>
          </w:p>
        </w:tc>
        <w:tc>
          <w:tcPr>
            <w:tcW w:w="1220" w:type="dxa"/>
            <w:vAlign w:val="bottom"/>
            <w:tcBorders>
              <w:bottom w:val="single" w:sz="8" w:color="auto"/>
              <w:right w:val="single" w:sz="8" w:color="auto"/>
            </w:tcBorders>
            <w:gridSpan w:val="7"/>
          </w:tcPr>
          <w:p>
            <w:pPr>
              <w:spacing w:after="0"/>
              <w:rPr>
                <w:sz w:val="20"/>
                <w:szCs w:val="20"/>
                <w:color w:val="auto"/>
              </w:rPr>
            </w:pPr>
          </w:p>
        </w:tc>
        <w:tc>
          <w:tcPr>
            <w:tcW w:w="1240" w:type="dxa"/>
            <w:vAlign w:val="bottom"/>
            <w:tcBorders>
              <w:bottom w:val="single" w:sz="8" w:color="auto"/>
              <w:right w:val="single" w:sz="8" w:color="auto"/>
            </w:tcBorders>
            <w:gridSpan w:val="8"/>
          </w:tcPr>
          <w:p>
            <w:pPr>
              <w:spacing w:after="0"/>
              <w:rPr>
                <w:sz w:val="20"/>
                <w:szCs w:val="20"/>
                <w:color w:val="auto"/>
              </w:rPr>
            </w:pPr>
          </w:p>
        </w:tc>
        <w:tc>
          <w:tcPr>
            <w:tcW w:w="1220" w:type="dxa"/>
            <w:vAlign w:val="bottom"/>
            <w:tcBorders>
              <w:bottom w:val="single" w:sz="8" w:color="auto"/>
              <w:right w:val="single" w:sz="8" w:color="auto"/>
            </w:tcBorders>
            <w:gridSpan w:val="7"/>
          </w:tcPr>
          <w:p>
            <w:pPr>
              <w:spacing w:after="0"/>
              <w:rPr>
                <w:sz w:val="20"/>
                <w:szCs w:val="20"/>
                <w:color w:val="auto"/>
              </w:rPr>
            </w:pPr>
          </w:p>
        </w:tc>
      </w:tr>
      <w:tr>
        <w:trPr>
          <w:trHeight w:val="277"/>
        </w:trPr>
        <w:tc>
          <w:tcPr>
            <w:tcW w:w="128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7"/>
          </w:tcPr>
          <w:p>
            <w:pPr>
              <w:jc w:val="center"/>
              <w:ind w:left="10"/>
              <w:spacing w:after="0"/>
              <w:rPr>
                <w:sz w:val="20"/>
                <w:szCs w:val="20"/>
                <w:color w:val="auto"/>
              </w:rPr>
            </w:pPr>
            <w:r>
              <w:rPr>
                <w:rFonts w:ascii="Arial" w:cs="Arial" w:eastAsia="Arial" w:hAnsi="Arial"/>
                <w:sz w:val="18"/>
                <w:szCs w:val="18"/>
                <w:b w:val="1"/>
                <w:bCs w:val="1"/>
                <w:color w:val="auto"/>
                <w:w w:val="89"/>
              </w:rPr>
              <w:t>$15,000,000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0" w:type="dxa"/>
            <w:vAlign w:val="bottom"/>
            <w:gridSpan w:val="7"/>
          </w:tcPr>
          <w:p>
            <w:pPr>
              <w:jc w:val="center"/>
              <w:ind w:left="170"/>
              <w:spacing w:after="0"/>
              <w:rPr>
                <w:sz w:val="20"/>
                <w:szCs w:val="20"/>
                <w:color w:val="auto"/>
              </w:rPr>
            </w:pPr>
            <w:r>
              <w:rPr>
                <w:rFonts w:ascii="Arial" w:cs="Arial" w:eastAsia="Arial" w:hAnsi="Arial"/>
                <w:sz w:val="18"/>
                <w:szCs w:val="18"/>
                <w:b w:val="1"/>
                <w:bCs w:val="1"/>
                <w:color w:val="auto"/>
                <w:w w:val="95"/>
              </w:rPr>
              <w:t>100.00%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9"/>
              </w:rPr>
              <w:t>$15,000,000</w:t>
            </w:r>
          </w:p>
        </w:tc>
        <w:tc>
          <w:tcPr>
            <w:tcW w:w="120" w:type="dxa"/>
            <w:vAlign w:val="bottom"/>
            <w:tcBorders>
              <w:right w:val="single" w:sz="8" w:color="auto"/>
            </w:tcBorders>
          </w:tcPr>
          <w:p>
            <w:pPr>
              <w:spacing w:after="0"/>
              <w:rPr>
                <w:sz w:val="24"/>
                <w:szCs w:val="24"/>
                <w:color w:val="auto"/>
              </w:rPr>
            </w:pPr>
          </w:p>
        </w:tc>
        <w:tc>
          <w:tcPr>
            <w:tcW w:w="106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2"/>
              </w:rPr>
              <w:t>100.00%</w:t>
            </w:r>
          </w:p>
        </w:tc>
        <w:tc>
          <w:tcPr>
            <w:tcW w:w="1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$10,000,000</w:t>
            </w:r>
          </w:p>
        </w:tc>
        <w:tc>
          <w:tcPr>
            <w:tcW w:w="120" w:type="dxa"/>
            <w:vAlign w:val="bottom"/>
            <w:tcBorders>
              <w:right w:val="single" w:sz="8" w:color="auto"/>
            </w:tcBorders>
          </w:tcPr>
          <w:p>
            <w:pPr>
              <w:spacing w:after="0"/>
              <w:rPr>
                <w:sz w:val="24"/>
                <w:szCs w:val="24"/>
                <w:color w:val="auto"/>
              </w:rPr>
            </w:pPr>
          </w:p>
        </w:tc>
        <w:tc>
          <w:tcPr>
            <w:tcW w:w="9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5"/>
              </w:rPr>
              <w:t>100.00%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20" w:type="dxa"/>
            <w:vAlign w:val="bottom"/>
            <w:gridSpan w:val="7"/>
          </w:tcPr>
          <w:p>
            <w:pPr>
              <w:jc w:val="center"/>
              <w:ind w:left="10"/>
              <w:spacing w:after="0"/>
              <w:rPr>
                <w:sz w:val="20"/>
                <w:szCs w:val="20"/>
                <w:color w:val="auto"/>
              </w:rPr>
            </w:pPr>
            <w:r>
              <w:rPr>
                <w:rFonts w:ascii="Arial" w:cs="Arial" w:eastAsia="Arial" w:hAnsi="Arial"/>
                <w:sz w:val="18"/>
                <w:szCs w:val="18"/>
                <w:b w:val="1"/>
                <w:bCs w:val="1"/>
                <w:color w:val="auto"/>
                <w:w w:val="89"/>
              </w:rPr>
              <w:t>$10,000,000</w:t>
            </w:r>
          </w:p>
        </w:tc>
        <w:tc>
          <w:tcPr>
            <w:tcW w:w="120" w:type="dxa"/>
            <w:vAlign w:val="bottom"/>
            <w:tcBorders>
              <w:right w:val="single" w:sz="8" w:color="auto"/>
            </w:tcBorders>
          </w:tcPr>
          <w:p>
            <w:pPr>
              <w:spacing w:after="0"/>
              <w:rPr>
                <w:sz w:val="24"/>
                <w:szCs w:val="24"/>
                <w:color w:val="auto"/>
              </w:rPr>
            </w:pPr>
          </w:p>
        </w:tc>
        <w:tc>
          <w:tcPr>
            <w:tcW w:w="9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5"/>
              </w:rPr>
              <w:t>100.00%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1"/>
        </w:trPr>
        <w:tc>
          <w:tcPr>
            <w:tcW w:w="32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gridSpan w:val="10"/>
          </w:tcPr>
          <w:p>
            <w:pPr>
              <w:spacing w:after="0" w:line="20" w:lineRule="exact"/>
              <w:rPr>
                <w:sz w:val="1"/>
                <w:szCs w:val="1"/>
                <w:color w:val="auto"/>
              </w:rPr>
            </w:pPr>
          </w:p>
        </w:tc>
        <w:tc>
          <w:tcPr>
            <w:tcW w:w="1240" w:type="dxa"/>
            <w:vAlign w:val="bottom"/>
            <w:tcBorders>
              <w:bottom w:val="single" w:sz="8" w:color="auto"/>
              <w:right w:val="single" w:sz="8" w:color="auto"/>
            </w:tcBorders>
            <w:gridSpan w:val="10"/>
          </w:tcPr>
          <w:p>
            <w:pPr>
              <w:spacing w:after="0" w:line="20" w:lineRule="exact"/>
              <w:rPr>
                <w:sz w:val="1"/>
                <w:szCs w:val="1"/>
                <w:color w:val="auto"/>
              </w:rPr>
            </w:pPr>
          </w:p>
        </w:tc>
        <w:tc>
          <w:tcPr>
            <w:tcW w:w="1240" w:type="dxa"/>
            <w:vAlign w:val="bottom"/>
            <w:tcBorders>
              <w:bottom w:val="single" w:sz="8" w:color="auto"/>
              <w:right w:val="single" w:sz="8" w:color="auto"/>
            </w:tcBorders>
            <w:gridSpan w:val="7"/>
          </w:tcPr>
          <w:p>
            <w:pPr>
              <w:spacing w:after="0" w:line="20" w:lineRule="exact"/>
              <w:rPr>
                <w:sz w:val="1"/>
                <w:szCs w:val="1"/>
                <w:color w:val="auto"/>
              </w:rPr>
            </w:pPr>
          </w:p>
        </w:tc>
        <w:tc>
          <w:tcPr>
            <w:tcW w:w="1340" w:type="dxa"/>
            <w:vAlign w:val="bottom"/>
            <w:tcBorders>
              <w:bottom w:val="single" w:sz="8" w:color="auto"/>
              <w:right w:val="single" w:sz="8" w:color="auto"/>
            </w:tcBorders>
            <w:gridSpan w:val="7"/>
          </w:tcPr>
          <w:p>
            <w:pPr>
              <w:spacing w:after="0" w:line="20" w:lineRule="exact"/>
              <w:rPr>
                <w:sz w:val="1"/>
                <w:szCs w:val="1"/>
                <w:color w:val="auto"/>
              </w:rPr>
            </w:pPr>
          </w:p>
        </w:tc>
        <w:tc>
          <w:tcPr>
            <w:tcW w:w="1220" w:type="dxa"/>
            <w:vAlign w:val="bottom"/>
            <w:tcBorders>
              <w:bottom w:val="single" w:sz="8" w:color="auto"/>
              <w:right w:val="single" w:sz="8" w:color="auto"/>
            </w:tcBorders>
            <w:gridSpan w:val="8"/>
          </w:tcPr>
          <w:p>
            <w:pPr>
              <w:spacing w:after="0" w:line="20" w:lineRule="exact"/>
              <w:rPr>
                <w:sz w:val="1"/>
                <w:szCs w:val="1"/>
                <w:color w:val="auto"/>
              </w:rPr>
            </w:pPr>
          </w:p>
        </w:tc>
        <w:tc>
          <w:tcPr>
            <w:tcW w:w="1220" w:type="dxa"/>
            <w:vAlign w:val="bottom"/>
            <w:tcBorders>
              <w:bottom w:val="single" w:sz="8" w:color="auto"/>
              <w:right w:val="single" w:sz="8" w:color="auto"/>
            </w:tcBorders>
            <w:gridSpan w:val="7"/>
          </w:tcPr>
          <w:p>
            <w:pPr>
              <w:spacing w:after="0" w:line="20" w:lineRule="exact"/>
              <w:rPr>
                <w:sz w:val="1"/>
                <w:szCs w:val="1"/>
                <w:color w:val="auto"/>
              </w:rPr>
            </w:pPr>
          </w:p>
        </w:tc>
        <w:tc>
          <w:tcPr>
            <w:tcW w:w="1240" w:type="dxa"/>
            <w:vAlign w:val="bottom"/>
            <w:tcBorders>
              <w:bottom w:val="single" w:sz="8" w:color="auto"/>
              <w:right w:val="single" w:sz="8" w:color="auto"/>
            </w:tcBorders>
            <w:gridSpan w:val="8"/>
          </w:tcPr>
          <w:p>
            <w:pPr>
              <w:spacing w:after="0" w:line="20" w:lineRule="exact"/>
              <w:rPr>
                <w:sz w:val="1"/>
                <w:szCs w:val="1"/>
                <w:color w:val="auto"/>
              </w:rPr>
            </w:pPr>
          </w:p>
        </w:tc>
        <w:tc>
          <w:tcPr>
            <w:tcW w:w="12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385"/>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18"/>
          </w:tcPr>
          <w:p>
            <w:pPr>
              <w:ind w:left="60"/>
              <w:spacing w:after="0"/>
              <w:rPr>
                <w:sz w:val="20"/>
                <w:szCs w:val="20"/>
                <w:color w:val="auto"/>
              </w:rPr>
            </w:pPr>
            <w:r>
              <w:rPr>
                <w:rFonts w:ascii="Arial" w:cs="Arial" w:eastAsia="Arial" w:hAnsi="Arial"/>
                <w:sz w:val="18"/>
                <w:szCs w:val="18"/>
                <w:b w:val="1"/>
                <w:bCs w:val="1"/>
                <w:color w:val="auto"/>
              </w:rPr>
              <w:t>UNCOMMITTED ACCORDION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920" w:type="dxa"/>
            <w:vAlign w:val="bottom"/>
            <w:gridSpan w:val="3"/>
          </w:tcPr>
          <w:p>
            <w:pPr>
              <w:spacing w:after="0"/>
              <w:rPr>
                <w:sz w:val="20"/>
                <w:szCs w:val="20"/>
                <w:color w:val="auto"/>
              </w:rPr>
            </w:pPr>
          </w:p>
        </w:tc>
        <w:tc>
          <w:tcPr>
            <w:tcW w:w="3860" w:type="dxa"/>
            <w:vAlign w:val="bottom"/>
            <w:tcBorders>
              <w:bottom w:val="single" w:sz="8" w:color="auto"/>
            </w:tcBorders>
            <w:gridSpan w:val="27"/>
          </w:tcPr>
          <w:p>
            <w:pPr>
              <w:spacing w:after="0"/>
              <w:rPr>
                <w:sz w:val="20"/>
                <w:szCs w:val="20"/>
                <w:color w:val="auto"/>
              </w:rPr>
            </w:pPr>
          </w:p>
        </w:tc>
        <w:tc>
          <w:tcPr>
            <w:tcW w:w="2560" w:type="dxa"/>
            <w:vAlign w:val="bottom"/>
            <w:tcBorders>
              <w:top w:val="single" w:sz="8" w:color="auto"/>
              <w:bottom w:val="single" w:sz="8" w:color="auto"/>
            </w:tcBorders>
            <w:gridSpan w:val="15"/>
          </w:tcPr>
          <w:p>
            <w:pPr>
              <w:spacing w:after="0"/>
              <w:rPr>
                <w:sz w:val="20"/>
                <w:szCs w:val="20"/>
                <w:color w:val="auto"/>
              </w:rPr>
            </w:pPr>
          </w:p>
        </w:tc>
        <w:tc>
          <w:tcPr>
            <w:tcW w:w="3040" w:type="dxa"/>
            <w:vAlign w:val="bottom"/>
            <w:tcBorders>
              <w:bottom w:val="single" w:sz="8" w:color="auto"/>
            </w:tcBorders>
            <w:gridSpan w:val="20"/>
          </w:tcPr>
          <w:p>
            <w:pPr>
              <w:spacing w:after="0"/>
              <w:rPr>
                <w:sz w:val="20"/>
                <w:szCs w:val="20"/>
                <w:color w:val="auto"/>
              </w:rPr>
            </w:pPr>
          </w:p>
        </w:tc>
        <w:tc>
          <w:tcPr>
            <w:tcW w:w="860" w:type="dxa"/>
            <w:vAlign w:val="bottom"/>
            <w:gridSpan w:val="4"/>
          </w:tcPr>
          <w:p>
            <w:pPr>
              <w:spacing w:after="0"/>
              <w:rPr>
                <w:sz w:val="20"/>
                <w:szCs w:val="20"/>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3"/>
              </w:rPr>
              <w:t>Lender</w:t>
            </w:r>
          </w:p>
        </w:tc>
        <w:tc>
          <w:tcPr>
            <w:tcW w:w="800" w:type="dxa"/>
            <w:vAlign w:val="bottom"/>
            <w:gridSpan w:val="6"/>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b w:val="1"/>
                <w:bCs w:val="1"/>
                <w:color w:val="auto"/>
              </w:rPr>
              <w:t>Uncommitted Accordion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12"/>
          </w:tcPr>
          <w:p>
            <w:pPr>
              <w:jc w:val="center"/>
              <w:ind w:right="180"/>
              <w:spacing w:after="0" w:line="169" w:lineRule="exact"/>
              <w:rPr>
                <w:sz w:val="20"/>
                <w:szCs w:val="20"/>
                <w:color w:val="auto"/>
              </w:rPr>
            </w:pPr>
            <w:r>
              <w:rPr>
                <w:rFonts w:ascii="Arial" w:cs="Arial" w:eastAsia="Arial" w:hAnsi="Arial"/>
                <w:sz w:val="18"/>
                <w:szCs w:val="18"/>
                <w:b w:val="1"/>
                <w:bCs w:val="1"/>
                <w:color w:val="auto"/>
                <w:w w:val="90"/>
              </w:rPr>
              <w:t>Uncommitted Accordion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920" w:type="dxa"/>
            <w:vAlign w:val="bottom"/>
            <w:tcBorders>
              <w:right w:val="single" w:sz="8" w:color="auto"/>
            </w:tcBorders>
            <w:gridSpan w:val="3"/>
          </w:tcPr>
          <w:p>
            <w:pPr>
              <w:spacing w:after="0"/>
              <w:rPr>
                <w:sz w:val="17"/>
                <w:szCs w:val="17"/>
                <w:color w:val="auto"/>
              </w:rPr>
            </w:pPr>
          </w:p>
        </w:tc>
        <w:tc>
          <w:tcPr>
            <w:tcW w:w="1480" w:type="dxa"/>
            <w:vAlign w:val="bottom"/>
            <w:gridSpan w:val="11"/>
          </w:tcPr>
          <w:p>
            <w:pPr>
              <w:spacing w:after="0"/>
              <w:rPr>
                <w:sz w:val="17"/>
                <w:szCs w:val="17"/>
                <w:color w:val="auto"/>
              </w:rPr>
            </w:pPr>
          </w:p>
        </w:tc>
        <w:tc>
          <w:tcPr>
            <w:tcW w:w="560" w:type="dxa"/>
            <w:vAlign w:val="bottom"/>
            <w:tcBorders>
              <w:top w:val="single" w:sz="8" w:color="auto"/>
            </w:tcBorders>
            <w:gridSpan w:val="5"/>
          </w:tcPr>
          <w:p>
            <w:pPr>
              <w:spacing w:after="0"/>
              <w:rPr>
                <w:sz w:val="17"/>
                <w:szCs w:val="17"/>
                <w:color w:val="auto"/>
              </w:rPr>
            </w:pPr>
          </w:p>
        </w:tc>
        <w:tc>
          <w:tcPr>
            <w:tcW w:w="1500" w:type="dxa"/>
            <w:vAlign w:val="bottom"/>
            <w:tcBorders>
              <w:right w:val="single" w:sz="8" w:color="auto"/>
            </w:tcBorders>
            <w:gridSpan w:val="9"/>
          </w:tcPr>
          <w:p>
            <w:pPr>
              <w:spacing w:after="0"/>
              <w:rPr>
                <w:sz w:val="17"/>
                <w:szCs w:val="17"/>
                <w:color w:val="auto"/>
              </w:rPr>
            </w:pPr>
          </w:p>
        </w:tc>
        <w:tc>
          <w:tcPr>
            <w:tcW w:w="540" w:type="dxa"/>
            <w:vAlign w:val="bottom"/>
            <w:gridSpan w:val="4"/>
          </w:tcPr>
          <w:p>
            <w:pPr>
              <w:spacing w:after="0"/>
              <w:rPr>
                <w:sz w:val="17"/>
                <w:szCs w:val="17"/>
                <w:color w:val="auto"/>
              </w:rPr>
            </w:pPr>
          </w:p>
        </w:tc>
        <w:tc>
          <w:tcPr>
            <w:tcW w:w="1880" w:type="dxa"/>
            <w:vAlign w:val="bottom"/>
            <w:tcBorders>
              <w:top w:val="single" w:sz="8" w:color="auto"/>
            </w:tcBorders>
            <w:gridSpan w:val="11"/>
          </w:tcPr>
          <w:p>
            <w:pPr>
              <w:spacing w:after="0"/>
              <w:rPr>
                <w:sz w:val="17"/>
                <w:szCs w:val="17"/>
                <w:color w:val="auto"/>
              </w:rPr>
            </w:pPr>
          </w:p>
        </w:tc>
        <w:tc>
          <w:tcPr>
            <w:tcW w:w="560" w:type="dxa"/>
            <w:vAlign w:val="bottom"/>
            <w:tcBorders>
              <w:right w:val="single" w:sz="8" w:color="auto"/>
            </w:tcBorders>
            <w:gridSpan w:val="3"/>
          </w:tcPr>
          <w:p>
            <w:pPr>
              <w:spacing w:after="0"/>
              <w:rPr>
                <w:sz w:val="17"/>
                <w:szCs w:val="17"/>
                <w:color w:val="auto"/>
              </w:rPr>
            </w:pPr>
          </w:p>
        </w:tc>
        <w:tc>
          <w:tcPr>
            <w:tcW w:w="500" w:type="dxa"/>
            <w:vAlign w:val="bottom"/>
            <w:gridSpan w:val="4"/>
          </w:tcPr>
          <w:p>
            <w:pPr>
              <w:spacing w:after="0"/>
              <w:rPr>
                <w:sz w:val="17"/>
                <w:szCs w:val="17"/>
                <w:color w:val="auto"/>
              </w:rPr>
            </w:pPr>
          </w:p>
        </w:tc>
        <w:tc>
          <w:tcPr>
            <w:tcW w:w="1960" w:type="dxa"/>
            <w:vAlign w:val="bottom"/>
            <w:tcBorders>
              <w:top w:val="single" w:sz="8" w:color="auto"/>
            </w:tcBorders>
            <w:gridSpan w:val="11"/>
          </w:tcPr>
          <w:p>
            <w:pPr>
              <w:jc w:val="center"/>
              <w:ind w:right="60"/>
              <w:spacing w:after="0" w:line="196" w:lineRule="exact"/>
              <w:rPr>
                <w:sz w:val="20"/>
                <w:szCs w:val="20"/>
                <w:color w:val="auto"/>
              </w:rPr>
            </w:pPr>
            <w:r>
              <w:rPr>
                <w:rFonts w:ascii="Arial" w:cs="Arial" w:eastAsia="Arial" w:hAnsi="Arial"/>
                <w:sz w:val="18"/>
                <w:szCs w:val="18"/>
                <w:b w:val="1"/>
                <w:bCs w:val="1"/>
                <w:color w:val="auto"/>
                <w:w w:val="88"/>
              </w:rPr>
              <w:t>Percentage</w:t>
            </w:r>
          </w:p>
        </w:tc>
        <w:tc>
          <w:tcPr>
            <w:tcW w:w="480" w:type="dxa"/>
            <w:vAlign w:val="bottom"/>
            <w:tcBorders>
              <w:right w:val="single" w:sz="8" w:color="auto"/>
            </w:tcBorders>
            <w:gridSpan w:val="4"/>
          </w:tcPr>
          <w:p>
            <w:pPr>
              <w:spacing w:after="0"/>
              <w:rPr>
                <w:sz w:val="17"/>
                <w:szCs w:val="17"/>
                <w:color w:val="auto"/>
              </w:rPr>
            </w:pPr>
          </w:p>
        </w:tc>
        <w:tc>
          <w:tcPr>
            <w:tcW w:w="860" w:type="dxa"/>
            <w:vAlign w:val="bottom"/>
            <w:gridSpan w:val="4"/>
          </w:tcPr>
          <w:p>
            <w:pPr>
              <w:spacing w:after="0"/>
              <w:rPr>
                <w:sz w:val="17"/>
                <w:szCs w:val="17"/>
                <w:color w:val="auto"/>
              </w:rPr>
            </w:pPr>
          </w:p>
        </w:tc>
      </w:tr>
      <w:tr>
        <w:trPr>
          <w:trHeight w:val="20"/>
        </w:trPr>
        <w:tc>
          <w:tcPr>
            <w:tcW w:w="920" w:type="dxa"/>
            <w:vAlign w:val="bottom"/>
            <w:tcBorders>
              <w:right w:val="single" w:sz="8" w:color="auto"/>
            </w:tcBorders>
            <w:gridSpan w:val="3"/>
          </w:tcPr>
          <w:p>
            <w:pPr>
              <w:spacing w:after="0" w:line="20" w:lineRule="exact"/>
              <w:rPr>
                <w:sz w:val="1"/>
                <w:szCs w:val="1"/>
                <w:color w:val="auto"/>
              </w:rPr>
            </w:pPr>
          </w:p>
        </w:tc>
        <w:tc>
          <w:tcPr>
            <w:tcW w:w="3540" w:type="dxa"/>
            <w:vAlign w:val="bottom"/>
            <w:tcBorders>
              <w:bottom w:val="single" w:sz="8" w:color="auto"/>
              <w:right w:val="single" w:sz="8" w:color="auto"/>
            </w:tcBorders>
            <w:gridSpan w:val="25"/>
          </w:tcPr>
          <w:p>
            <w:pPr>
              <w:spacing w:after="0" w:line="20" w:lineRule="exact"/>
              <w:rPr>
                <w:sz w:val="1"/>
                <w:szCs w:val="1"/>
                <w:color w:val="auto"/>
              </w:rPr>
            </w:pPr>
          </w:p>
        </w:tc>
        <w:tc>
          <w:tcPr>
            <w:tcW w:w="2980" w:type="dxa"/>
            <w:vAlign w:val="bottom"/>
            <w:tcBorders>
              <w:bottom w:val="single" w:sz="8" w:color="auto"/>
              <w:right w:val="single" w:sz="8" w:color="auto"/>
            </w:tcBorders>
            <w:gridSpan w:val="18"/>
          </w:tcPr>
          <w:p>
            <w:pPr>
              <w:spacing w:after="0" w:line="20" w:lineRule="exact"/>
              <w:rPr>
                <w:sz w:val="1"/>
                <w:szCs w:val="1"/>
                <w:color w:val="auto"/>
              </w:rPr>
            </w:pPr>
          </w:p>
        </w:tc>
        <w:tc>
          <w:tcPr>
            <w:tcW w:w="1060" w:type="dxa"/>
            <w:vAlign w:val="bottom"/>
            <w:tcBorders>
              <w:bottom w:val="single" w:sz="8" w:color="auto"/>
            </w:tcBorders>
            <w:gridSpan w:val="5"/>
          </w:tcPr>
          <w:p>
            <w:pPr>
              <w:spacing w:after="0" w:line="20" w:lineRule="exact"/>
              <w:rPr>
                <w:sz w:val="1"/>
                <w:szCs w:val="1"/>
                <w:color w:val="auto"/>
              </w:rPr>
            </w:pPr>
          </w:p>
        </w:tc>
        <w:tc>
          <w:tcPr>
            <w:tcW w:w="820" w:type="dxa"/>
            <w:vAlign w:val="bottom"/>
            <w:tcBorders>
              <w:top w:val="single" w:sz="8" w:color="auto"/>
              <w:bottom w:val="single" w:sz="8" w:color="auto"/>
            </w:tcBorders>
            <w:gridSpan w:val="7"/>
          </w:tcPr>
          <w:p>
            <w:pPr>
              <w:spacing w:after="0" w:line="20" w:lineRule="exact"/>
              <w:rPr>
                <w:sz w:val="1"/>
                <w:szCs w:val="1"/>
                <w:color w:val="auto"/>
              </w:rPr>
            </w:pPr>
          </w:p>
        </w:tc>
        <w:tc>
          <w:tcPr>
            <w:tcW w:w="1060" w:type="dxa"/>
            <w:vAlign w:val="bottom"/>
            <w:tcBorders>
              <w:bottom w:val="single" w:sz="8" w:color="auto"/>
              <w:right w:val="single" w:sz="8" w:color="auto"/>
            </w:tcBorders>
            <w:gridSpan w:val="7"/>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17"/>
          </w:tcPr>
          <w:p>
            <w:pPr>
              <w:jc w:val="center"/>
              <w:ind w:right="40"/>
              <w:spacing w:after="0"/>
              <w:rPr>
                <w:sz w:val="20"/>
                <w:szCs w:val="20"/>
                <w:color w:val="auto"/>
              </w:rPr>
            </w:pPr>
            <w:r>
              <w:rPr>
                <w:rFonts w:ascii="Arial" w:cs="Arial" w:eastAsia="Arial" w:hAnsi="Arial"/>
                <w:sz w:val="18"/>
                <w:szCs w:val="18"/>
                <w:color w:val="auto"/>
                <w:w w:val="94"/>
              </w:rPr>
              <w:t>Silicon Valley Bank</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8"/>
          </w:tcPr>
          <w:p>
            <w:pPr>
              <w:jc w:val="center"/>
              <w:ind w:left="370"/>
              <w:spacing w:after="0"/>
              <w:rPr>
                <w:sz w:val="20"/>
                <w:szCs w:val="20"/>
                <w:color w:val="auto"/>
              </w:rPr>
            </w:pPr>
            <w:r>
              <w:rPr>
                <w:rFonts w:ascii="Arial" w:cs="Arial" w:eastAsia="Arial" w:hAnsi="Arial"/>
                <w:sz w:val="18"/>
                <w:szCs w:val="18"/>
                <w:color w:val="auto"/>
                <w:w w:val="89"/>
              </w:rPr>
              <w:t>$12,750,000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11"/>
          </w:tcPr>
          <w:p>
            <w:pPr>
              <w:jc w:val="center"/>
              <w:ind w:left="810"/>
              <w:spacing w:after="0"/>
              <w:rPr>
                <w:sz w:val="20"/>
                <w:szCs w:val="20"/>
                <w:color w:val="auto"/>
              </w:rPr>
            </w:pPr>
            <w:r>
              <w:rPr>
                <w:rFonts w:ascii="Arial" w:cs="Arial" w:eastAsia="Arial" w:hAnsi="Arial"/>
                <w:sz w:val="18"/>
                <w:szCs w:val="18"/>
                <w:b w:val="1"/>
                <w:bCs w:val="1"/>
                <w:color w:val="auto"/>
                <w:w w:val="94"/>
              </w:rPr>
              <w:t>85.00%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33"/>
        </w:trPr>
        <w:tc>
          <w:tcPr>
            <w:tcW w:w="920" w:type="dxa"/>
            <w:vAlign w:val="bottom"/>
            <w:tcBorders>
              <w:right w:val="single" w:sz="8" w:color="auto"/>
            </w:tcBorders>
            <w:gridSpan w:val="3"/>
          </w:tcPr>
          <w:p>
            <w:pPr>
              <w:spacing w:after="0"/>
              <w:rPr>
                <w:sz w:val="24"/>
                <w:szCs w:val="24"/>
                <w:color w:val="auto"/>
              </w:rPr>
            </w:pPr>
          </w:p>
        </w:tc>
        <w:tc>
          <w:tcPr>
            <w:tcW w:w="3540" w:type="dxa"/>
            <w:vAlign w:val="bottom"/>
            <w:tcBorders>
              <w:bottom w:val="single" w:sz="8" w:color="auto"/>
              <w:right w:val="single" w:sz="8" w:color="auto"/>
            </w:tcBorders>
            <w:gridSpan w:val="25"/>
          </w:tcPr>
          <w:p>
            <w:pPr>
              <w:spacing w:after="0"/>
              <w:rPr>
                <w:sz w:val="24"/>
                <w:szCs w:val="24"/>
                <w:color w:val="auto"/>
              </w:rPr>
            </w:pPr>
          </w:p>
        </w:tc>
        <w:tc>
          <w:tcPr>
            <w:tcW w:w="2980" w:type="dxa"/>
            <w:vAlign w:val="bottom"/>
            <w:tcBorders>
              <w:bottom w:val="single" w:sz="8" w:color="auto"/>
              <w:right w:val="single" w:sz="8" w:color="auto"/>
            </w:tcBorders>
            <w:gridSpan w:val="18"/>
          </w:tcPr>
          <w:p>
            <w:pPr>
              <w:spacing w:after="0"/>
              <w:rPr>
                <w:sz w:val="24"/>
                <w:szCs w:val="24"/>
                <w:color w:val="auto"/>
              </w:rPr>
            </w:pPr>
          </w:p>
        </w:tc>
        <w:tc>
          <w:tcPr>
            <w:tcW w:w="2940" w:type="dxa"/>
            <w:vAlign w:val="bottom"/>
            <w:tcBorders>
              <w:bottom w:val="single" w:sz="8" w:color="auto"/>
              <w:right w:val="single" w:sz="8" w:color="auto"/>
            </w:tcBorders>
            <w:gridSpan w:val="19"/>
          </w:tcPr>
          <w:p>
            <w:pPr>
              <w:spacing w:after="0"/>
              <w:rPr>
                <w:sz w:val="24"/>
                <w:szCs w:val="24"/>
                <w:color w:val="auto"/>
              </w:rPr>
            </w:pPr>
          </w:p>
        </w:tc>
        <w:tc>
          <w:tcPr>
            <w:tcW w:w="860" w:type="dxa"/>
            <w:vAlign w:val="bottom"/>
            <w:gridSpan w:val="4"/>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right w:val="single" w:sz="8" w:color="auto"/>
            </w:tcBorders>
            <w:gridSpan w:val="23"/>
          </w:tcPr>
          <w:p>
            <w:pPr>
              <w:jc w:val="center"/>
              <w:ind w:right="290"/>
              <w:spacing w:after="0"/>
              <w:rPr>
                <w:sz w:val="20"/>
                <w:szCs w:val="20"/>
                <w:color w:val="auto"/>
              </w:rPr>
            </w:pPr>
            <w:r>
              <w:rPr>
                <w:rFonts w:ascii="Arial" w:cs="Arial" w:eastAsia="Arial" w:hAnsi="Arial"/>
                <w:sz w:val="18"/>
                <w:szCs w:val="18"/>
                <w:color w:val="auto"/>
                <w:w w:val="94"/>
              </w:rPr>
              <w:t>SVB Innovation Credit Fund VIII, L.P.</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8"/>
          </w:tcPr>
          <w:p>
            <w:pPr>
              <w:jc w:val="center"/>
              <w:ind w:left="370"/>
              <w:spacing w:after="0"/>
              <w:rPr>
                <w:sz w:val="20"/>
                <w:szCs w:val="20"/>
                <w:color w:val="auto"/>
              </w:rPr>
            </w:pPr>
            <w:r>
              <w:rPr>
                <w:rFonts w:ascii="Arial" w:cs="Arial" w:eastAsia="Arial" w:hAnsi="Arial"/>
                <w:sz w:val="18"/>
                <w:szCs w:val="18"/>
                <w:color w:val="auto"/>
                <w:w w:val="90"/>
              </w:rPr>
              <w:t>$2,250,000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11"/>
          </w:tcPr>
          <w:p>
            <w:pPr>
              <w:jc w:val="center"/>
              <w:ind w:left="810"/>
              <w:spacing w:after="0"/>
              <w:rPr>
                <w:sz w:val="20"/>
                <w:szCs w:val="20"/>
                <w:color w:val="auto"/>
              </w:rPr>
            </w:pPr>
            <w:r>
              <w:rPr>
                <w:rFonts w:ascii="Arial" w:cs="Arial" w:eastAsia="Arial" w:hAnsi="Arial"/>
                <w:sz w:val="18"/>
                <w:szCs w:val="18"/>
                <w:b w:val="1"/>
                <w:bCs w:val="1"/>
                <w:color w:val="auto"/>
                <w:w w:val="94"/>
              </w:rPr>
              <w:t>15.00%</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13"/>
          </w:tcPr>
          <w:p>
            <w:pPr>
              <w:jc w:val="center"/>
              <w:ind w:right="780"/>
              <w:spacing w:after="0" w:line="169"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8"/>
          </w:tcPr>
          <w:p>
            <w:pPr>
              <w:jc w:val="center"/>
              <w:ind w:left="370"/>
              <w:spacing w:after="0" w:line="169" w:lineRule="exact"/>
              <w:rPr>
                <w:sz w:val="20"/>
                <w:szCs w:val="20"/>
                <w:color w:val="auto"/>
              </w:rPr>
            </w:pPr>
            <w:r>
              <w:rPr>
                <w:rFonts w:ascii="Arial" w:cs="Arial" w:eastAsia="Arial" w:hAnsi="Arial"/>
                <w:sz w:val="18"/>
                <w:szCs w:val="18"/>
                <w:b w:val="1"/>
                <w:bCs w:val="1"/>
                <w:color w:val="auto"/>
                <w:w w:val="89"/>
              </w:rPr>
              <w:t>$15,000,000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11"/>
          </w:tcPr>
          <w:p>
            <w:pPr>
              <w:jc w:val="center"/>
              <w:ind w:left="810"/>
              <w:spacing w:after="0" w:line="169" w:lineRule="exact"/>
              <w:rPr>
                <w:sz w:val="20"/>
                <w:szCs w:val="20"/>
                <w:color w:val="auto"/>
              </w:rPr>
            </w:pPr>
            <w:r>
              <w:rPr>
                <w:rFonts w:ascii="Arial" w:cs="Arial" w:eastAsia="Arial" w:hAnsi="Arial"/>
                <w:sz w:val="18"/>
                <w:szCs w:val="18"/>
                <w:b w:val="1"/>
                <w:bCs w:val="1"/>
                <w:color w:val="auto"/>
                <w:w w:val="92"/>
              </w:rPr>
              <w:t>100.00%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920" w:type="dxa"/>
            <w:vAlign w:val="bottom"/>
            <w:tcBorders>
              <w:right w:val="single" w:sz="8" w:color="auto"/>
            </w:tcBorders>
            <w:gridSpan w:val="3"/>
          </w:tcPr>
          <w:p>
            <w:pPr>
              <w:spacing w:after="0" w:line="20" w:lineRule="exact"/>
              <w:rPr>
                <w:sz w:val="1"/>
                <w:szCs w:val="1"/>
                <w:color w:val="auto"/>
              </w:rPr>
            </w:pPr>
          </w:p>
        </w:tc>
        <w:tc>
          <w:tcPr>
            <w:tcW w:w="1440" w:type="dxa"/>
            <w:vAlign w:val="bottom"/>
            <w:tcBorders>
              <w:bottom w:val="single" w:sz="8" w:color="auto"/>
            </w:tcBorders>
            <w:gridSpan w:val="9"/>
          </w:tcPr>
          <w:p>
            <w:pPr>
              <w:spacing w:after="0" w:line="20" w:lineRule="exact"/>
              <w:rPr>
                <w:sz w:val="1"/>
                <w:szCs w:val="1"/>
                <w:color w:val="auto"/>
              </w:rPr>
            </w:pPr>
          </w:p>
        </w:tc>
        <w:tc>
          <w:tcPr>
            <w:tcW w:w="620" w:type="dxa"/>
            <w:vAlign w:val="bottom"/>
            <w:tcBorders>
              <w:top w:val="single" w:sz="8" w:color="auto"/>
              <w:bottom w:val="single" w:sz="8" w:color="auto"/>
            </w:tcBorders>
            <w:gridSpan w:val="8"/>
          </w:tcPr>
          <w:p>
            <w:pPr>
              <w:spacing w:after="0" w:line="20" w:lineRule="exact"/>
              <w:rPr>
                <w:sz w:val="1"/>
                <w:szCs w:val="1"/>
                <w:color w:val="auto"/>
              </w:rPr>
            </w:pPr>
          </w:p>
        </w:tc>
        <w:tc>
          <w:tcPr>
            <w:tcW w:w="1480" w:type="dxa"/>
            <w:vAlign w:val="bottom"/>
            <w:tcBorders>
              <w:bottom w:val="single" w:sz="8" w:color="auto"/>
              <w:right w:val="single" w:sz="8" w:color="auto"/>
            </w:tcBorders>
            <w:gridSpan w:val="8"/>
          </w:tcPr>
          <w:p>
            <w:pPr>
              <w:spacing w:after="0" w:line="20" w:lineRule="exact"/>
              <w:rPr>
                <w:sz w:val="1"/>
                <w:szCs w:val="1"/>
                <w:color w:val="auto"/>
              </w:rPr>
            </w:pPr>
          </w:p>
        </w:tc>
        <w:tc>
          <w:tcPr>
            <w:tcW w:w="2980" w:type="dxa"/>
            <w:vAlign w:val="bottom"/>
            <w:tcBorders>
              <w:bottom w:val="single" w:sz="8" w:color="auto"/>
              <w:right w:val="single" w:sz="8" w:color="auto"/>
            </w:tcBorders>
            <w:gridSpan w:val="18"/>
          </w:tcPr>
          <w:p>
            <w:pPr>
              <w:spacing w:after="0" w:line="20" w:lineRule="exact"/>
              <w:rPr>
                <w:sz w:val="1"/>
                <w:szCs w:val="1"/>
                <w:color w:val="auto"/>
              </w:rPr>
            </w:pPr>
          </w:p>
        </w:tc>
        <w:tc>
          <w:tcPr>
            <w:tcW w:w="2940" w:type="dxa"/>
            <w:vAlign w:val="bottom"/>
            <w:tcBorders>
              <w:bottom w:val="single" w:sz="8" w:color="auto"/>
              <w:right w:val="single" w:sz="8" w:color="auto"/>
            </w:tcBorders>
            <w:gridSpan w:val="19"/>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COMPLIANCE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31750</wp:posOffset>
            </wp:positionV>
            <wp:extent cx="16116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SILICON VALLEY BANK (“</w:t>
      </w:r>
      <w:r>
        <w:rPr>
          <w:rFonts w:ascii="Arial" w:cs="Arial" w:eastAsia="Arial" w:hAnsi="Arial"/>
          <w:sz w:val="18"/>
          <w:szCs w:val="18"/>
          <w:b w:val="1"/>
          <w:bCs w:val="1"/>
          <w:color w:val="auto"/>
        </w:rPr>
        <w:t>SVB</w:t>
      </w:r>
      <w:r>
        <w:rPr>
          <w:rFonts w:ascii="Arial" w:cs="Arial" w:eastAsia="Arial" w:hAnsi="Arial"/>
          <w:sz w:val="18"/>
          <w:szCs w:val="18"/>
          <w:color w:val="auto"/>
        </w:rPr>
        <w:t>”), as Agent, SVB, and</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SVB INNOVATION CREDIT FUND VIII, L.P., as Lender</w:t>
      </w:r>
    </w:p>
    <w:p>
      <w:pPr>
        <w:spacing w:after="0" w:line="27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AVROBIO,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1248"/>
        <w:spacing w:after="0" w:line="291" w:lineRule="auto"/>
        <w:rPr>
          <w:sz w:val="20"/>
          <w:szCs w:val="20"/>
          <w:color w:val="auto"/>
        </w:rPr>
      </w:pPr>
      <w:r>
        <w:rPr>
          <w:rFonts w:ascii="Arial" w:cs="Arial" w:eastAsia="Arial" w:hAnsi="Arial"/>
          <w:sz w:val="16"/>
          <w:szCs w:val="16"/>
          <w:color w:val="auto"/>
        </w:rPr>
        <w:t>Under the terms and conditions of the Loan and Security Agreement among Borrower, Agent, and the Lenders (as amended, modified, supplemented and/or restated from time to time, the “Agreement”) Borrower is in complete compliance for the period ending _______________ with all</w:t>
      </w:r>
    </w:p>
    <w:p>
      <w:pPr>
        <w:jc w:val="both"/>
        <w:ind w:right="20"/>
        <w:spacing w:after="0" w:line="255" w:lineRule="auto"/>
        <w:rPr>
          <w:sz w:val="20"/>
          <w:szCs w:val="20"/>
          <w:color w:val="auto"/>
        </w:rPr>
      </w:pPr>
      <w:r>
        <w:rPr>
          <w:rFonts w:ascii="Arial" w:cs="Arial" w:eastAsia="Arial" w:hAnsi="Arial"/>
          <w:sz w:val="18"/>
          <w:szCs w:val="18"/>
          <w:color w:val="auto"/>
        </w:rPr>
        <w:t>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tcBorders>
          </w:tcPr>
          <w:p>
            <w:pPr>
              <w:spacing w:after="0"/>
              <w:rPr>
                <w:sz w:val="16"/>
                <w:szCs w:val="16"/>
                <w:color w:val="auto"/>
              </w:rPr>
            </w:pPr>
          </w:p>
        </w:tc>
        <w:tc>
          <w:tcPr>
            <w:tcW w:w="308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Reporting Covenants</w:t>
            </w:r>
          </w:p>
        </w:tc>
        <w:tc>
          <w:tcPr>
            <w:tcW w:w="4480" w:type="dxa"/>
            <w:vAlign w:val="bottom"/>
            <w:tcBorders>
              <w:top w:val="single" w:sz="8" w:color="auto"/>
              <w:right w:val="single" w:sz="8" w:color="auto"/>
            </w:tcBorders>
            <w:gridSpan w:val="3"/>
          </w:tcPr>
          <w:p>
            <w:pPr>
              <w:ind w:left="1880"/>
              <w:spacing w:after="0" w:line="189" w:lineRule="exact"/>
              <w:rPr>
                <w:sz w:val="20"/>
                <w:szCs w:val="20"/>
                <w:color w:val="auto"/>
              </w:rPr>
            </w:pPr>
            <w:r>
              <w:rPr>
                <w:rFonts w:ascii="Arial" w:cs="Arial" w:eastAsia="Arial" w:hAnsi="Arial"/>
                <w:sz w:val="18"/>
                <w:szCs w:val="18"/>
                <w:b w:val="1"/>
                <w:bCs w:val="1"/>
                <w:color w:val="auto"/>
              </w:rPr>
              <w:t>Required</w:t>
            </w:r>
          </w:p>
        </w:tc>
        <w:tc>
          <w:tcPr>
            <w:tcW w:w="2260" w:type="dxa"/>
            <w:vAlign w:val="bottom"/>
            <w:tcBorders>
              <w:top w:val="single" w:sz="8" w:color="auto"/>
              <w:right w:val="single" w:sz="8" w:color="auto"/>
            </w:tcBorders>
            <w:gridSpan w:val="4"/>
          </w:tcPr>
          <w:p>
            <w:pPr>
              <w:ind w:left="760"/>
              <w:spacing w:after="0" w:line="189" w:lineRule="exact"/>
              <w:rPr>
                <w:sz w:val="20"/>
                <w:szCs w:val="20"/>
                <w:color w:val="auto"/>
              </w:rPr>
            </w:pPr>
            <w:r>
              <w:rPr>
                <w:rFonts w:ascii="Arial" w:cs="Arial" w:eastAsia="Arial" w:hAnsi="Arial"/>
                <w:sz w:val="18"/>
                <w:szCs w:val="18"/>
                <w:b w:val="1"/>
                <w:bCs w:val="1"/>
                <w:color w:val="auto"/>
              </w:rPr>
              <w:t>Complies</w:t>
            </w:r>
          </w:p>
        </w:tc>
      </w:tr>
      <w:tr>
        <w:trPr>
          <w:trHeight w:val="20"/>
        </w:trPr>
        <w:tc>
          <w:tcPr>
            <w:tcW w:w="1440" w:type="dxa"/>
            <w:vAlign w:val="bottom"/>
            <w:tcBorders>
              <w:left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144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r>
      <w:tr>
        <w:trPr>
          <w:trHeight w:val="209"/>
        </w:trPr>
        <w:tc>
          <w:tcPr>
            <w:tcW w:w="45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w w:val="96"/>
              </w:rPr>
              <w:t>Quarterly financial statements with Compliance Statement</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Quarterly within 45 days (90 days for Q4)</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6"/>
              </w:rPr>
              <w:t>Yes</w:t>
            </w:r>
          </w:p>
        </w:tc>
        <w:tc>
          <w:tcPr>
            <w:tcW w:w="11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10"/>
        </w:trPr>
        <w:tc>
          <w:tcPr>
            <w:tcW w:w="45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Annual financial statements (CPA Audited)</w:t>
            </w: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FYE within 180 days</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6"/>
              </w:rPr>
              <w:t>Yes</w:t>
            </w:r>
          </w:p>
        </w:tc>
        <w:tc>
          <w:tcPr>
            <w:tcW w:w="11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195"/>
        </w:trPr>
        <w:tc>
          <w:tcPr>
            <w:tcW w:w="452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10-Q, 10-K and 8-K</w:t>
            </w:r>
          </w:p>
        </w:tc>
        <w:tc>
          <w:tcPr>
            <w:tcW w:w="44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Within 5 days after filing with</w:t>
            </w:r>
          </w:p>
        </w:tc>
        <w:tc>
          <w:tcPr>
            <w:tcW w:w="760" w:type="dxa"/>
            <w:vAlign w:val="bottom"/>
          </w:tcPr>
          <w:p>
            <w:pPr>
              <w:spacing w:after="0"/>
              <w:rPr>
                <w:sz w:val="16"/>
                <w:szCs w:val="16"/>
                <w:color w:val="auto"/>
              </w:rPr>
            </w:pPr>
          </w:p>
        </w:tc>
        <w:tc>
          <w:tcPr>
            <w:tcW w:w="380" w:type="dxa"/>
            <w:vAlign w:val="bottom"/>
          </w:tcPr>
          <w:p>
            <w:pPr>
              <w:ind w:left="60"/>
              <w:spacing w:after="0" w:line="195" w:lineRule="exact"/>
              <w:rPr>
                <w:sz w:val="20"/>
                <w:szCs w:val="20"/>
                <w:color w:val="auto"/>
              </w:rPr>
            </w:pPr>
            <w:r>
              <w:rPr>
                <w:rFonts w:ascii="Arial" w:cs="Arial" w:eastAsia="Arial" w:hAnsi="Arial"/>
                <w:sz w:val="18"/>
                <w:szCs w:val="18"/>
                <w:color w:val="auto"/>
                <w:w w:val="96"/>
              </w:rPr>
              <w:t>Yes</w:t>
            </w:r>
          </w:p>
        </w:tc>
        <w:tc>
          <w:tcPr>
            <w:tcW w:w="112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44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SEC</w:t>
            </w: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r>
      <w:tr>
        <w:trPr>
          <w:trHeight w:val="195"/>
        </w:trPr>
        <w:tc>
          <w:tcPr>
            <w:tcW w:w="452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Board approved budget and projections</w:t>
            </w:r>
          </w:p>
        </w:tc>
        <w:tc>
          <w:tcPr>
            <w:tcW w:w="44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FYE within 60 days and contemporaneously as</w:t>
            </w:r>
          </w:p>
        </w:tc>
        <w:tc>
          <w:tcPr>
            <w:tcW w:w="760" w:type="dxa"/>
            <w:vAlign w:val="bottom"/>
          </w:tcPr>
          <w:p>
            <w:pPr>
              <w:spacing w:after="0"/>
              <w:rPr>
                <w:sz w:val="16"/>
                <w:szCs w:val="16"/>
                <w:color w:val="auto"/>
              </w:rPr>
            </w:pPr>
          </w:p>
        </w:tc>
        <w:tc>
          <w:tcPr>
            <w:tcW w:w="380" w:type="dxa"/>
            <w:vAlign w:val="bottom"/>
          </w:tcPr>
          <w:p>
            <w:pPr>
              <w:ind w:left="60"/>
              <w:spacing w:after="0" w:line="195" w:lineRule="exact"/>
              <w:rPr>
                <w:sz w:val="20"/>
                <w:szCs w:val="20"/>
                <w:color w:val="auto"/>
              </w:rPr>
            </w:pPr>
            <w:r>
              <w:rPr>
                <w:rFonts w:ascii="Arial" w:cs="Arial" w:eastAsia="Arial" w:hAnsi="Arial"/>
                <w:sz w:val="18"/>
                <w:szCs w:val="18"/>
                <w:color w:val="auto"/>
                <w:w w:val="96"/>
              </w:rPr>
              <w:t>Yes</w:t>
            </w:r>
          </w:p>
        </w:tc>
        <w:tc>
          <w:tcPr>
            <w:tcW w:w="112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44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amended/updated</w:t>
            </w: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r>
      <w:tr>
        <w:trPr>
          <w:trHeight w:val="195"/>
        </w:trPr>
        <w:tc>
          <w:tcPr>
            <w:tcW w:w="452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Bank Statements for accounts outside of SVB (MSC</w:t>
            </w:r>
          </w:p>
        </w:tc>
        <w:tc>
          <w:tcPr>
            <w:tcW w:w="44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Monthly within 30 days</w:t>
            </w:r>
          </w:p>
        </w:tc>
        <w:tc>
          <w:tcPr>
            <w:tcW w:w="760" w:type="dxa"/>
            <w:vAlign w:val="bottom"/>
          </w:tcPr>
          <w:p>
            <w:pPr>
              <w:spacing w:after="0"/>
              <w:rPr>
                <w:sz w:val="16"/>
                <w:szCs w:val="16"/>
                <w:color w:val="auto"/>
              </w:rPr>
            </w:pPr>
          </w:p>
        </w:tc>
        <w:tc>
          <w:tcPr>
            <w:tcW w:w="380" w:type="dxa"/>
            <w:vAlign w:val="bottom"/>
          </w:tcPr>
          <w:p>
            <w:pPr>
              <w:ind w:left="60"/>
              <w:spacing w:after="0" w:line="195" w:lineRule="exact"/>
              <w:rPr>
                <w:sz w:val="20"/>
                <w:szCs w:val="20"/>
                <w:color w:val="auto"/>
              </w:rPr>
            </w:pPr>
            <w:r>
              <w:rPr>
                <w:rFonts w:ascii="Arial" w:cs="Arial" w:eastAsia="Arial" w:hAnsi="Arial"/>
                <w:sz w:val="18"/>
                <w:szCs w:val="18"/>
                <w:color w:val="auto"/>
                <w:w w:val="96"/>
              </w:rPr>
              <w:t>Yes</w:t>
            </w:r>
          </w:p>
        </w:tc>
        <w:tc>
          <w:tcPr>
            <w:tcW w:w="112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45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Subsidiaries)</w:t>
            </w:r>
          </w:p>
        </w:tc>
        <w:tc>
          <w:tcPr>
            <w:tcW w:w="1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40" w:type="dxa"/>
            <w:vAlign w:val="bottom"/>
            <w:tcBorders>
              <w:top w:val="single" w:sz="8" w:color="auto"/>
              <w:left w:val="single" w:sz="8" w:color="auto"/>
            </w:tcBorders>
          </w:tcPr>
          <w:p>
            <w:pPr>
              <w:spacing w:after="0"/>
              <w:rPr>
                <w:sz w:val="16"/>
                <w:szCs w:val="16"/>
                <w:color w:val="auto"/>
              </w:rPr>
            </w:pPr>
          </w:p>
        </w:tc>
        <w:tc>
          <w:tcPr>
            <w:tcW w:w="2720" w:type="dxa"/>
            <w:vAlign w:val="bottom"/>
            <w:tcBorders>
              <w:top w:val="single" w:sz="8" w:color="auto"/>
              <w:right w:val="single" w:sz="8" w:color="auto"/>
            </w:tcBorders>
            <w:gridSpan w:val="3"/>
          </w:tcPr>
          <w:p>
            <w:pPr>
              <w:spacing w:after="0" w:line="189" w:lineRule="exact"/>
              <w:rPr>
                <w:sz w:val="20"/>
                <w:szCs w:val="20"/>
                <w:color w:val="auto"/>
              </w:rPr>
            </w:pPr>
            <w:r>
              <w:rPr>
                <w:rFonts w:ascii="Arial" w:cs="Arial" w:eastAsia="Arial" w:hAnsi="Arial"/>
                <w:sz w:val="18"/>
                <w:szCs w:val="18"/>
                <w:b w:val="1"/>
                <w:bCs w:val="1"/>
                <w:color w:val="auto"/>
              </w:rPr>
              <w:t>Subsidiary Assets</w:t>
            </w:r>
          </w:p>
        </w:tc>
        <w:tc>
          <w:tcPr>
            <w:tcW w:w="3740" w:type="dxa"/>
            <w:vAlign w:val="bottom"/>
            <w:tcBorders>
              <w:top w:val="single" w:sz="8" w:color="auto"/>
              <w:right w:val="single" w:sz="8" w:color="auto"/>
            </w:tcBorders>
            <w:gridSpan w:val="3"/>
          </w:tcPr>
          <w:p>
            <w:pPr>
              <w:ind w:left="1340"/>
              <w:spacing w:after="0" w:line="189" w:lineRule="exact"/>
              <w:rPr>
                <w:sz w:val="20"/>
                <w:szCs w:val="20"/>
                <w:color w:val="auto"/>
              </w:rPr>
            </w:pPr>
            <w:r>
              <w:rPr>
                <w:rFonts w:ascii="Arial" w:cs="Arial" w:eastAsia="Arial" w:hAnsi="Arial"/>
                <w:sz w:val="18"/>
                <w:szCs w:val="18"/>
                <w:b w:val="1"/>
                <w:bCs w:val="1"/>
                <w:color w:val="auto"/>
              </w:rPr>
              <w:t>Required</w:t>
            </w:r>
          </w:p>
        </w:tc>
        <w:tc>
          <w:tcPr>
            <w:tcW w:w="6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Actual</w:t>
            </w:r>
          </w:p>
        </w:tc>
        <w:tc>
          <w:tcPr>
            <w:tcW w:w="900" w:type="dxa"/>
            <w:vAlign w:val="bottom"/>
            <w:tcBorders>
              <w:top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gridSpan w:val="4"/>
          </w:tcPr>
          <w:p>
            <w:pPr>
              <w:jc w:val="center"/>
              <w:ind w:right="360"/>
              <w:spacing w:after="0" w:line="189" w:lineRule="exact"/>
              <w:rPr>
                <w:sz w:val="20"/>
                <w:szCs w:val="20"/>
                <w:color w:val="auto"/>
              </w:rPr>
            </w:pPr>
            <w:r>
              <w:rPr>
                <w:rFonts w:ascii="Arial" w:cs="Arial" w:eastAsia="Arial" w:hAnsi="Arial"/>
                <w:sz w:val="18"/>
                <w:szCs w:val="18"/>
                <w:b w:val="1"/>
                <w:bCs w:val="1"/>
                <w:color w:val="auto"/>
                <w:w w:val="88"/>
              </w:rPr>
              <w:t>Complies</w:t>
            </w:r>
          </w:p>
        </w:tc>
      </w:tr>
      <w:tr>
        <w:trPr>
          <w:trHeight w:val="20"/>
        </w:trPr>
        <w:tc>
          <w:tcPr>
            <w:tcW w:w="104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303"/>
        </w:trPr>
        <w:tc>
          <w:tcPr>
            <w:tcW w:w="37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Aggregate value of assets held by Australian</w:t>
            </w:r>
          </w:p>
        </w:tc>
        <w:tc>
          <w:tcPr>
            <w:tcW w:w="1340" w:type="dxa"/>
            <w:vAlign w:val="bottom"/>
          </w:tcPr>
          <w:p>
            <w:pPr>
              <w:spacing w:after="0"/>
              <w:rPr>
                <w:sz w:val="24"/>
                <w:szCs w:val="24"/>
                <w:color w:val="auto"/>
              </w:rPr>
            </w:pPr>
          </w:p>
        </w:tc>
        <w:tc>
          <w:tcPr>
            <w:tcW w:w="24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 $500,000</w:t>
            </w:r>
          </w:p>
        </w:tc>
        <w:tc>
          <w:tcPr>
            <w:tcW w:w="2220" w:type="dxa"/>
            <w:vAlign w:val="bottom"/>
            <w:tcBorders>
              <w:right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$___________</w:t>
            </w:r>
          </w:p>
        </w:tc>
        <w:tc>
          <w:tcPr>
            <w:tcW w:w="220" w:type="dxa"/>
            <w:vAlign w:val="bottom"/>
          </w:tcPr>
          <w:p>
            <w:pPr>
              <w:spacing w:after="0"/>
              <w:rPr>
                <w:sz w:val="24"/>
                <w:szCs w:val="24"/>
                <w:color w:val="auto"/>
              </w:rPr>
            </w:pP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3"/>
              </w:rPr>
              <w:t>Yes</w:t>
            </w:r>
          </w:p>
        </w:tc>
        <w:tc>
          <w:tcPr>
            <w:tcW w:w="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30"/>
        </w:trPr>
        <w:tc>
          <w:tcPr>
            <w:tcW w:w="37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Subsidiary</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108"/>
        </w:trPr>
        <w:tc>
          <w:tcPr>
            <w:tcW w:w="1040" w:type="dxa"/>
            <w:vAlign w:val="bottom"/>
            <w:tcBorders>
              <w:left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r>
      <w:tr>
        <w:trPr>
          <w:trHeight w:val="303"/>
        </w:trPr>
        <w:tc>
          <w:tcPr>
            <w:tcW w:w="37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Aggregate value of assets held by Canadian</w:t>
            </w:r>
          </w:p>
        </w:tc>
        <w:tc>
          <w:tcPr>
            <w:tcW w:w="1340" w:type="dxa"/>
            <w:vAlign w:val="bottom"/>
          </w:tcPr>
          <w:p>
            <w:pPr>
              <w:spacing w:after="0"/>
              <w:rPr>
                <w:sz w:val="24"/>
                <w:szCs w:val="24"/>
                <w:color w:val="auto"/>
              </w:rPr>
            </w:pPr>
          </w:p>
        </w:tc>
        <w:tc>
          <w:tcPr>
            <w:tcW w:w="24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 $500,000</w:t>
            </w:r>
          </w:p>
        </w:tc>
        <w:tc>
          <w:tcPr>
            <w:tcW w:w="2220" w:type="dxa"/>
            <w:vAlign w:val="bottom"/>
            <w:tcBorders>
              <w:right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$___________</w:t>
            </w:r>
          </w:p>
        </w:tc>
        <w:tc>
          <w:tcPr>
            <w:tcW w:w="220" w:type="dxa"/>
            <w:vAlign w:val="bottom"/>
          </w:tcPr>
          <w:p>
            <w:pPr>
              <w:spacing w:after="0"/>
              <w:rPr>
                <w:sz w:val="24"/>
                <w:szCs w:val="24"/>
                <w:color w:val="auto"/>
              </w:rPr>
            </w:pP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3"/>
              </w:rPr>
              <w:t>Yes</w:t>
            </w:r>
          </w:p>
        </w:tc>
        <w:tc>
          <w:tcPr>
            <w:tcW w:w="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30"/>
        </w:trPr>
        <w:tc>
          <w:tcPr>
            <w:tcW w:w="37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Subsidiary</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108"/>
        </w:trPr>
        <w:tc>
          <w:tcPr>
            <w:tcW w:w="1040" w:type="dxa"/>
            <w:vAlign w:val="bottom"/>
            <w:tcBorders>
              <w:left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r>
      <w:tr>
        <w:trPr>
          <w:trHeight w:val="412"/>
        </w:trPr>
        <w:tc>
          <w:tcPr>
            <w:tcW w:w="3760" w:type="dxa"/>
            <w:vAlign w:val="bottom"/>
            <w:gridSpan w:val="4"/>
          </w:tcPr>
          <w:p>
            <w:pPr>
              <w:spacing w:after="0"/>
              <w:rPr>
                <w:sz w:val="20"/>
                <w:szCs w:val="20"/>
                <w:color w:val="auto"/>
              </w:rPr>
            </w:pPr>
            <w:r>
              <w:rPr>
                <w:rFonts w:ascii="Arial" w:cs="Arial" w:eastAsia="Arial" w:hAnsi="Arial"/>
                <w:sz w:val="18"/>
                <w:szCs w:val="18"/>
                <w:b w:val="1"/>
                <w:bCs w:val="1"/>
                <w:color w:val="auto"/>
              </w:rPr>
              <w:t>Other Matters</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120" w:type="dxa"/>
            <w:vAlign w:val="bottom"/>
            <w:tcBorders>
              <w:left w:val="single" w:sz="8" w:color="auto"/>
            </w:tcBorders>
            <w:gridSpan w:val="2"/>
            <w:shd w:val="clear" w:color="auto" w:fill="000000"/>
          </w:tcPr>
          <w:p>
            <w:pPr>
              <w:spacing w:after="0" w:line="20" w:lineRule="exact"/>
              <w:rPr>
                <w:sz w:val="1"/>
                <w:szCs w:val="1"/>
                <w:color w:val="auto"/>
              </w:rPr>
            </w:pPr>
          </w:p>
        </w:tc>
        <w:tc>
          <w:tcPr>
            <w:tcW w:w="770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65"/>
        </w:trPr>
        <w:tc>
          <w:tcPr>
            <w:tcW w:w="8820" w:type="dxa"/>
            <w:vAlign w:val="bottom"/>
            <w:gridSpan w:val="10"/>
          </w:tcPr>
          <w:p>
            <w:pPr>
              <w:spacing w:after="0"/>
              <w:rPr>
                <w:sz w:val="20"/>
                <w:szCs w:val="20"/>
                <w:color w:val="auto"/>
              </w:rPr>
            </w:pPr>
            <w:r>
              <w:rPr>
                <w:rFonts w:ascii="Arial" w:cs="Arial" w:eastAsia="Arial" w:hAnsi="Arial"/>
                <w:sz w:val="18"/>
                <w:szCs w:val="18"/>
                <w:color w:val="auto"/>
                <w:w w:val="98"/>
              </w:rPr>
              <w:t>Have there been any amendments of or other changes to the capitalization table of Borrower or to the Operating</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w w:val="92"/>
              </w:rPr>
              <w:t>Documents of Borrower or any of its Subsidiaries?</w:t>
            </w:r>
          </w:p>
        </w:tc>
        <w:tc>
          <w:tcPr>
            <w:tcW w:w="5060" w:type="dxa"/>
            <w:vAlign w:val="bottom"/>
            <w:gridSpan w:val="6"/>
          </w:tcPr>
          <w:p>
            <w:pPr>
              <w:spacing w:after="0"/>
              <w:rPr>
                <w:sz w:val="20"/>
                <w:szCs w:val="20"/>
                <w:color w:val="auto"/>
              </w:rPr>
            </w:pPr>
            <w:r>
              <w:rPr>
                <w:rFonts w:ascii="Arial" w:cs="Arial" w:eastAsia="Arial" w:hAnsi="Arial"/>
                <w:sz w:val="18"/>
                <w:szCs w:val="18"/>
                <w:color w:val="auto"/>
                <w:w w:val="99"/>
              </w:rPr>
              <w:t>If yes, provide copies of any such amendments or changes with</w:t>
            </w:r>
          </w:p>
        </w:tc>
        <w:tc>
          <w:tcPr>
            <w:tcW w:w="900" w:type="dxa"/>
            <w:vAlign w:val="bottom"/>
          </w:tcPr>
          <w:p>
            <w:pPr>
              <w:jc w:val="right"/>
              <w:ind w:right="430"/>
              <w:spacing w:after="0"/>
              <w:rPr>
                <w:sz w:val="20"/>
                <w:szCs w:val="20"/>
                <w:color w:val="auto"/>
              </w:rPr>
            </w:pPr>
            <w:r>
              <w:rPr>
                <w:rFonts w:ascii="Arial" w:cs="Arial" w:eastAsia="Arial" w:hAnsi="Arial"/>
                <w:sz w:val="18"/>
                <w:szCs w:val="18"/>
                <w:color w:val="auto"/>
              </w:rPr>
              <w:t>Yes</w:t>
            </w:r>
          </w:p>
        </w:tc>
        <w:tc>
          <w:tcPr>
            <w:tcW w:w="220" w:type="dxa"/>
            <w:vAlign w:val="bottom"/>
          </w:tcPr>
          <w:p>
            <w:pPr>
              <w:spacing w:after="0"/>
              <w:rPr>
                <w:sz w:val="18"/>
                <w:szCs w:val="18"/>
                <w:color w:val="auto"/>
              </w:rPr>
            </w:pPr>
          </w:p>
        </w:tc>
        <w:tc>
          <w:tcPr>
            <w:tcW w:w="1300" w:type="dxa"/>
            <w:vAlign w:val="bottom"/>
            <w:gridSpan w:val="3"/>
          </w:tcPr>
          <w:p>
            <w:pPr>
              <w:ind w:left="460"/>
              <w:spacing w:after="0"/>
              <w:rPr>
                <w:sz w:val="20"/>
                <w:szCs w:val="20"/>
                <w:color w:val="auto"/>
              </w:rPr>
            </w:pPr>
            <w:r>
              <w:rPr>
                <w:rFonts w:ascii="Arial" w:cs="Arial" w:eastAsia="Arial" w:hAnsi="Arial"/>
                <w:sz w:val="18"/>
                <w:szCs w:val="18"/>
                <w:color w:val="auto"/>
              </w:rPr>
              <w:t>No</w:t>
            </w:r>
          </w:p>
        </w:tc>
      </w:tr>
      <w:tr>
        <w:trPr>
          <w:trHeight w:val="230"/>
        </w:trPr>
        <w:tc>
          <w:tcPr>
            <w:tcW w:w="3760" w:type="dxa"/>
            <w:vAlign w:val="bottom"/>
            <w:gridSpan w:val="4"/>
          </w:tcPr>
          <w:p>
            <w:pPr>
              <w:spacing w:after="0"/>
              <w:rPr>
                <w:sz w:val="20"/>
                <w:szCs w:val="20"/>
                <w:color w:val="auto"/>
              </w:rPr>
            </w:pPr>
            <w:r>
              <w:rPr>
                <w:rFonts w:ascii="Arial" w:cs="Arial" w:eastAsia="Arial" w:hAnsi="Arial"/>
                <w:sz w:val="18"/>
                <w:szCs w:val="18"/>
                <w:color w:val="auto"/>
              </w:rPr>
              <w:t>this Compliance Statement.</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80" w:right="319" w:bottom="1440" w:gutter="0" w:footer="0" w:header="0"/>
        </w:sectPr>
      </w:pPr>
    </w:p>
    <w:bookmarkStart w:id="135" w:name="page136"/>
    <w:bookmarkEnd w:id="135"/>
    <w:tbl>
      <w:tblPr>
        <w:tblLayout w:type="fixed"/>
        <w:tblInd w:w="1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EXHIBIT B</w:t>
            </w:r>
          </w:p>
        </w:tc>
        <w:tc>
          <w:tcPr>
            <w:tcW w:w="5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20" w:type="dxa"/>
            <w:vAlign w:val="bottom"/>
            <w:gridSpan w:val="11"/>
          </w:tcPr>
          <w:p>
            <w:pPr>
              <w:jc w:val="center"/>
              <w:ind w:right="3660"/>
              <w:spacing w:after="0" w:line="196" w:lineRule="exact"/>
              <w:rPr>
                <w:sz w:val="20"/>
                <w:szCs w:val="20"/>
                <w:color w:val="auto"/>
              </w:rPr>
            </w:pPr>
            <w:r>
              <w:rPr>
                <w:rFonts w:ascii="Arial" w:cs="Arial" w:eastAsia="Arial" w:hAnsi="Arial"/>
                <w:sz w:val="18"/>
                <w:szCs w:val="18"/>
                <w:b w:val="1"/>
                <w:bCs w:val="1"/>
                <w:color w:val="auto"/>
                <w:w w:val="99"/>
              </w:rPr>
              <w:t>LOAN PAYMENT/ADVANCE REQUEST FORM</w:t>
            </w:r>
          </w:p>
        </w:tc>
        <w:tc>
          <w:tcPr>
            <w:tcW w:w="0" w:type="dxa"/>
            <w:vAlign w:val="bottom"/>
          </w:tcPr>
          <w:p>
            <w:pPr>
              <w:spacing w:after="0"/>
              <w:rPr>
                <w:sz w:val="1"/>
                <w:szCs w:val="1"/>
                <w:color w:val="auto"/>
              </w:rPr>
            </w:pPr>
          </w:p>
        </w:tc>
      </w:tr>
      <w:tr>
        <w:trPr>
          <w:trHeight w:val="358"/>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700" w:type="dxa"/>
            <w:vAlign w:val="bottom"/>
            <w:gridSpan w:val="3"/>
          </w:tcPr>
          <w:p>
            <w:pPr>
              <w:ind w:left="2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auto"/>
            </w:tcBorders>
            <w:gridSpan w:val="5"/>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64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8"/>
                <w:szCs w:val="18"/>
                <w:color w:val="auto"/>
              </w:rPr>
              <w:t>AVROBIO, INC.</w:t>
            </w:r>
          </w:p>
        </w:tc>
        <w:tc>
          <w:tcPr>
            <w:tcW w:w="0" w:type="dxa"/>
            <w:vAlign w:val="bottom"/>
          </w:tcPr>
          <w:p>
            <w:pPr>
              <w:spacing w:after="0"/>
              <w:rPr>
                <w:sz w:val="1"/>
                <w:szCs w:val="1"/>
                <w:color w:val="auto"/>
              </w:rPr>
            </w:pPr>
          </w:p>
        </w:tc>
      </w:tr>
      <w:tr>
        <w:trPr>
          <w:trHeight w:val="198"/>
        </w:trPr>
        <w:tc>
          <w:tcPr>
            <w:tcW w:w="300" w:type="dxa"/>
            <w:vAlign w:val="bottom"/>
            <w:tcBorders>
              <w:lef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80" w:type="dxa"/>
            <w:vAlign w:val="bottom"/>
            <w:tcBorders>
              <w:right w:val="single" w:sz="8" w:color="auto"/>
            </w:tcBorders>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364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From Account #</w:t>
            </w: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To Account #</w:t>
            </w:r>
          </w:p>
        </w:tc>
        <w:tc>
          <w:tcPr>
            <w:tcW w:w="0" w:type="dxa"/>
            <w:vAlign w:val="bottom"/>
          </w:tcPr>
          <w:p>
            <w:pPr>
              <w:spacing w:after="0"/>
              <w:rPr>
                <w:sz w:val="1"/>
                <w:szCs w:val="1"/>
                <w:color w:val="auto"/>
              </w:rPr>
            </w:pPr>
          </w:p>
        </w:tc>
      </w:tr>
      <w:tr>
        <w:trPr>
          <w:trHeight w:val="27"/>
        </w:trPr>
        <w:tc>
          <w:tcPr>
            <w:tcW w:w="300" w:type="dxa"/>
            <w:vAlign w:val="bottom"/>
            <w:tcBorders>
              <w:left w:val="single" w:sz="8" w:color="auto"/>
            </w:tcBorders>
          </w:tcPr>
          <w:p>
            <w:pPr>
              <w:spacing w:after="0"/>
              <w:rPr>
                <w:sz w:val="2"/>
                <w:szCs w:val="2"/>
                <w:color w:val="auto"/>
              </w:rPr>
            </w:pPr>
          </w:p>
        </w:tc>
        <w:tc>
          <w:tcPr>
            <w:tcW w:w="1440" w:type="dxa"/>
            <w:vAlign w:val="bottom"/>
            <w:vMerge w:val="restart"/>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2"/>
          </w:tcPr>
          <w:p>
            <w:pPr>
              <w:spacing w:after="0"/>
              <w:rPr>
                <w:sz w:val="2"/>
                <w:szCs w:val="2"/>
                <w:color w:val="auto"/>
              </w:rPr>
            </w:pPr>
          </w:p>
        </w:tc>
        <w:tc>
          <w:tcPr>
            <w:tcW w:w="160" w:type="dxa"/>
            <w:vAlign w:val="bottom"/>
            <w:tcBorders>
              <w:right w:val="single" w:sz="8" w:color="auto"/>
            </w:tcBorders>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spacing w:after="0"/>
              <w:rPr>
                <w:sz w:val="19"/>
                <w:szCs w:val="19"/>
                <w:color w:val="auto"/>
              </w:rPr>
            </w:pPr>
          </w:p>
        </w:tc>
        <w:tc>
          <w:tcPr>
            <w:tcW w:w="1440" w:type="dxa"/>
            <w:vAlign w:val="bottom"/>
            <w:vMerge w:val="continue"/>
          </w:tcPr>
          <w:p>
            <w:pPr>
              <w:spacing w:after="0"/>
              <w:rPr>
                <w:sz w:val="19"/>
                <w:szCs w:val="19"/>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(Deposit Account #)</w:t>
            </w: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540" w:type="dxa"/>
            <w:vAlign w:val="bottom"/>
            <w:gridSpan w:val="2"/>
          </w:tcPr>
          <w:p>
            <w:pPr>
              <w:ind w:left="660"/>
              <w:spacing w:after="0"/>
              <w:rPr>
                <w:sz w:val="20"/>
                <w:szCs w:val="20"/>
                <w:color w:val="auto"/>
              </w:rPr>
            </w:pPr>
            <w:r>
              <w:rPr>
                <w:rFonts w:ascii="Arial" w:cs="Arial" w:eastAsia="Arial" w:hAnsi="Arial"/>
                <w:sz w:val="18"/>
                <w:szCs w:val="18"/>
                <w:color w:val="auto"/>
              </w:rPr>
              <w:t>(Loan Account #)</w:t>
            </w:r>
          </w:p>
        </w:tc>
        <w:tc>
          <w:tcPr>
            <w:tcW w:w="1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3340" w:type="dxa"/>
            <w:vAlign w:val="bottom"/>
            <w:gridSpan w:val="4"/>
          </w:tcPr>
          <w:p>
            <w:pPr>
              <w:ind w:left="1440"/>
              <w:spacing w:after="0"/>
              <w:rPr>
                <w:sz w:val="20"/>
                <w:szCs w:val="20"/>
                <w:color w:val="auto"/>
              </w:rPr>
            </w:pPr>
            <w:r>
              <w:rPr>
                <w:rFonts w:ascii="Arial" w:cs="Arial" w:eastAsia="Arial" w:hAnsi="Arial"/>
                <w:sz w:val="18"/>
                <w:szCs w:val="18"/>
                <w:color w:val="auto"/>
              </w:rPr>
              <w:t>Principal $</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40" w:type="dxa"/>
            <w:vAlign w:val="bottom"/>
            <w:tcBorders>
              <w:right w:val="single" w:sz="8" w:color="auto"/>
            </w:tcBorders>
            <w:gridSpan w:val="7"/>
          </w:tcPr>
          <w:p>
            <w:pPr>
              <w:ind w:left="280"/>
              <w:spacing w:after="0"/>
              <w:rPr>
                <w:sz w:val="20"/>
                <w:szCs w:val="20"/>
                <w:color w:val="auto"/>
              </w:rPr>
            </w:pPr>
            <w:r>
              <w:rPr>
                <w:rFonts w:ascii="Arial" w:cs="Arial" w:eastAsia="Arial" w:hAnsi="Arial"/>
                <w:sz w:val="18"/>
                <w:szCs w:val="18"/>
                <w:color w:val="auto"/>
              </w:rPr>
              <w:t>and/or Interest</w:t>
            </w:r>
          </w:p>
        </w:tc>
        <w:tc>
          <w:tcPr>
            <w:tcW w:w="0" w:type="dxa"/>
            <w:vAlign w:val="bottom"/>
          </w:tcPr>
          <w:p>
            <w:pPr>
              <w:spacing w:after="0"/>
              <w:rPr>
                <w:sz w:val="1"/>
                <w:szCs w:val="1"/>
                <w:color w:val="auto"/>
              </w:rPr>
            </w:pPr>
          </w:p>
        </w:tc>
      </w:tr>
      <w:tr>
        <w:trPr>
          <w:trHeight w:val="27"/>
        </w:trPr>
        <w:tc>
          <w:tcPr>
            <w:tcW w:w="30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0" w:type="dxa"/>
            <w:vAlign w:val="bottom"/>
            <w:tcBorders>
              <w:left w:val="single" w:sz="8" w:color="auto"/>
            </w:tcBorders>
            <w:vMerge w:val="continue"/>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700" w:type="dxa"/>
            <w:vAlign w:val="bottom"/>
            <w:tcBorders>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64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Authorized Signature:</w:t>
            </w: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Phone Number:</w:t>
            </w:r>
          </w:p>
        </w:tc>
        <w:tc>
          <w:tcPr>
            <w:tcW w:w="0" w:type="dxa"/>
            <w:vAlign w:val="bottom"/>
          </w:tcPr>
          <w:p>
            <w:pPr>
              <w:spacing w:after="0"/>
              <w:rPr>
                <w:sz w:val="1"/>
                <w:szCs w:val="1"/>
                <w:color w:val="auto"/>
              </w:rPr>
            </w:pPr>
          </w:p>
        </w:tc>
      </w:tr>
      <w:tr>
        <w:trPr>
          <w:trHeight w:val="27"/>
        </w:trPr>
        <w:tc>
          <w:tcPr>
            <w:tcW w:w="240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Print Name/Title:</w:t>
            </w: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00" w:type="dxa"/>
            <w:vAlign w:val="bottom"/>
            <w:tcBorders>
              <w:left w:val="single" w:sz="8" w:color="auto"/>
            </w:tcBorders>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305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2305685"/>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2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6160" w:type="dxa"/>
            <w:vAlign w:val="bottom"/>
            <w:gridSpan w:val="3"/>
          </w:tcPr>
          <w:p>
            <w:pPr>
              <w:ind w:left="300"/>
              <w:spacing w:after="0"/>
              <w:rPr>
                <w:sz w:val="20"/>
                <w:szCs w:val="20"/>
                <w:color w:val="auto"/>
              </w:rPr>
            </w:pPr>
            <w:r>
              <w:rPr>
                <w:rFonts w:ascii="Arial" w:cs="Arial" w:eastAsia="Arial" w:hAnsi="Arial"/>
                <w:sz w:val="18"/>
                <w:szCs w:val="18"/>
                <w:color w:val="auto"/>
              </w:rPr>
              <w:t>To Account #</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720" w:type="dxa"/>
            <w:vAlign w:val="bottom"/>
            <w:vMerge w:val="continue"/>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(Loan Account #)</w:t>
            </w:r>
          </w:p>
        </w:tc>
        <w:tc>
          <w:tcPr>
            <w:tcW w:w="16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4440" w:type="dxa"/>
            <w:vAlign w:val="bottom"/>
            <w:gridSpan w:val="2"/>
          </w:tcPr>
          <w:p>
            <w:pPr>
              <w:ind w:left="1480"/>
              <w:spacing w:after="0"/>
              <w:rPr>
                <w:sz w:val="20"/>
                <w:szCs w:val="20"/>
                <w:color w:val="auto"/>
              </w:rPr>
            </w:pPr>
            <w:r>
              <w:rPr>
                <w:rFonts w:ascii="Arial" w:cs="Arial" w:eastAsia="Arial" w:hAnsi="Arial"/>
                <w:sz w:val="18"/>
                <w:szCs w:val="18"/>
                <w:color w:val="auto"/>
              </w:rPr>
              <w:t>(Deposit Account #)</w:t>
            </w:r>
          </w:p>
        </w:tc>
        <w:tc>
          <w:tcPr>
            <w:tcW w:w="0" w:type="dxa"/>
            <w:vAlign w:val="bottom"/>
          </w:tcPr>
          <w:p>
            <w:pPr>
              <w:spacing w:after="0"/>
              <w:rPr>
                <w:sz w:val="1"/>
                <w:szCs w:val="1"/>
                <w:color w:val="auto"/>
              </w:rPr>
            </w:pPr>
          </w:p>
        </w:tc>
      </w:tr>
      <w:tr>
        <w:trPr>
          <w:trHeight w:val="256"/>
        </w:trPr>
        <w:tc>
          <w:tcPr>
            <w:tcW w:w="4920" w:type="dxa"/>
            <w:vAlign w:val="bottom"/>
            <w:gridSpan w:val="3"/>
            <w:vMerge w:val="restart"/>
          </w:tcPr>
          <w:p>
            <w:pPr>
              <w:ind w:left="1720"/>
              <w:spacing w:after="0"/>
              <w:rPr>
                <w:sz w:val="20"/>
                <w:szCs w:val="20"/>
                <w:color w:val="auto"/>
              </w:rPr>
            </w:pPr>
            <w:r>
              <w:rPr>
                <w:rFonts w:ascii="Arial" w:cs="Arial" w:eastAsia="Arial" w:hAnsi="Arial"/>
                <w:sz w:val="18"/>
                <w:szCs w:val="18"/>
                <w:color w:val="auto"/>
              </w:rPr>
              <w:t>Amount of Term Loan Advance $</w:t>
            </w:r>
          </w:p>
        </w:tc>
        <w:tc>
          <w:tcPr>
            <w:tcW w:w="17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920" w:type="dxa"/>
            <w:vAlign w:val="bottom"/>
            <w:gridSpan w:val="3"/>
            <w:vMerge w:val="continue"/>
          </w:tcPr>
          <w:p>
            <w:pPr>
              <w:spacing w:after="0"/>
              <w:rPr>
                <w:sz w:val="18"/>
                <w:szCs w:val="18"/>
                <w:color w:val="auto"/>
              </w:rPr>
            </w:pPr>
          </w:p>
        </w:tc>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-325120</wp:posOffset>
            </wp:positionV>
            <wp:extent cx="8255" cy="316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8255" cy="316865"/>
                    </a:xfrm>
                    <a:prstGeom prst="rect">
                      <a:avLst/>
                    </a:prstGeom>
                    <a:noFill/>
                  </pic:spPr>
                </pic:pic>
              </a:graphicData>
            </a:graphic>
          </wp:anchor>
        </w:drawing>
      </w:r>
    </w:p>
    <w:p>
      <w:pPr>
        <w:spacing w:after="0" w:line="209" w:lineRule="exact"/>
        <w:rPr>
          <w:sz w:val="20"/>
          <w:szCs w:val="20"/>
          <w:color w:val="auto"/>
        </w:rPr>
      </w:pPr>
    </w:p>
    <w:p>
      <w:pPr>
        <w:ind w:left="20" w:right="480" w:firstLine="1296"/>
        <w:spacing w:after="0" w:line="277"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on the date of the request for an advance:</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w w:val="98"/>
              </w:rPr>
              <w:t>Authorized Signature:</w:t>
            </w: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80" w:type="dxa"/>
            <w:vAlign w:val="bottom"/>
          </w:tcPr>
          <w:p>
            <w:pPr>
              <w:ind w:left="460"/>
              <w:spacing w:after="0"/>
              <w:rPr>
                <w:sz w:val="20"/>
                <w:szCs w:val="20"/>
                <w:color w:val="auto"/>
              </w:rPr>
            </w:pPr>
            <w:r>
              <w:rPr>
                <w:rFonts w:ascii="Arial" w:cs="Arial" w:eastAsia="Arial" w:hAnsi="Arial"/>
                <w:sz w:val="18"/>
                <w:szCs w:val="18"/>
                <w:color w:val="auto"/>
                <w:w w:val="87"/>
              </w:rPr>
              <w:t>Phone Number:</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0"/>
                <w:szCs w:val="20"/>
                <w:color w:val="auto"/>
              </w:rPr>
            </w:pPr>
            <w:r>
              <w:rPr>
                <w:rFonts w:ascii="Arial" w:cs="Arial" w:eastAsia="Arial" w:hAnsi="Arial"/>
                <w:sz w:val="18"/>
                <w:szCs w:val="18"/>
                <w:color w:val="auto"/>
              </w:rPr>
              <w:t>Print Name/Title:</w:t>
            </w:r>
          </w:p>
        </w:tc>
        <w:tc>
          <w:tcPr>
            <w:tcW w:w="6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2486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32486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Deadline for same day processing is noon, Eastern Time</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Beneficiary Name:</w:t>
            </w:r>
          </w:p>
        </w:tc>
        <w:tc>
          <w:tcPr>
            <w:tcW w:w="1580" w:type="dxa"/>
            <w:vAlign w:val="bottom"/>
          </w:tcPr>
          <w:p>
            <w:pPr>
              <w:spacing w:after="0"/>
              <w:rPr>
                <w:sz w:val="20"/>
                <w:szCs w:val="20"/>
                <w:color w:val="auto"/>
              </w:rPr>
            </w:pPr>
          </w:p>
        </w:tc>
        <w:tc>
          <w:tcPr>
            <w:tcW w:w="6480" w:type="dxa"/>
            <w:vAlign w:val="bottom"/>
            <w:gridSpan w:val="4"/>
          </w:tcPr>
          <w:p>
            <w:pPr>
              <w:ind w:left="460"/>
              <w:spacing w:after="0"/>
              <w:rPr>
                <w:sz w:val="20"/>
                <w:szCs w:val="20"/>
                <w:color w:val="auto"/>
              </w:rPr>
            </w:pPr>
            <w:r>
              <w:rPr>
                <w:rFonts w:ascii="Arial" w:cs="Arial" w:eastAsia="Arial" w:hAnsi="Arial"/>
                <w:sz w:val="18"/>
                <w:szCs w:val="18"/>
                <w:color w:val="auto"/>
              </w:rPr>
              <w:t>Amount of Wire: $</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0"/>
                <w:szCs w:val="20"/>
                <w:color w:val="auto"/>
              </w:rPr>
            </w:pPr>
            <w:r>
              <w:rPr>
                <w:rFonts w:ascii="Arial" w:cs="Arial" w:eastAsia="Arial" w:hAnsi="Arial"/>
                <w:sz w:val="18"/>
                <w:szCs w:val="18"/>
                <w:color w:val="auto"/>
              </w:rPr>
              <w:t>Beneficiary Bank:</w:t>
            </w:r>
          </w:p>
        </w:tc>
        <w:tc>
          <w:tcPr>
            <w:tcW w:w="1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20" w:type="dxa"/>
            <w:vAlign w:val="bottom"/>
            <w:vMerge w:val="restart"/>
          </w:tcPr>
          <w:p>
            <w:pPr>
              <w:ind w:left="460"/>
              <w:spacing w:after="0"/>
              <w:rPr>
                <w:sz w:val="20"/>
                <w:szCs w:val="20"/>
                <w:color w:val="auto"/>
              </w:rPr>
            </w:pPr>
            <w:r>
              <w:rPr>
                <w:rFonts w:ascii="Arial" w:cs="Arial" w:eastAsia="Arial" w:hAnsi="Arial"/>
                <w:sz w:val="18"/>
                <w:szCs w:val="18"/>
                <w:color w:val="auto"/>
              </w:rPr>
              <w:t>Account Number:</w:t>
            </w:r>
          </w:p>
        </w:tc>
        <w:tc>
          <w:tcPr>
            <w:tcW w:w="4000" w:type="dxa"/>
            <w:vAlign w:val="bottom"/>
            <w:tcBorders>
              <w:bottom w:val="single" w:sz="8" w:color="auto"/>
            </w:tcBorders>
            <w:gridSpan w:val="2"/>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vMerge w:val="continue"/>
          </w:tcPr>
          <w:p>
            <w:pPr>
              <w:spacing w:after="0"/>
              <w:rPr>
                <w:sz w:val="18"/>
                <w:szCs w:val="18"/>
                <w:color w:val="auto"/>
              </w:rPr>
            </w:pPr>
          </w:p>
        </w:tc>
        <w:tc>
          <w:tcPr>
            <w:tcW w:w="4000" w:type="dxa"/>
            <w:vAlign w:val="bottom"/>
            <w:gridSpan w:val="2"/>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0"/>
                <w:szCs w:val="20"/>
                <w:color w:val="auto"/>
              </w:rPr>
            </w:pPr>
            <w:r>
              <w:rPr>
                <w:rFonts w:ascii="Arial" w:cs="Arial" w:eastAsia="Arial" w:hAnsi="Arial"/>
                <w:sz w:val="18"/>
                <w:szCs w:val="18"/>
                <w:color w:val="auto"/>
              </w:rPr>
              <w:t>City and State:</w:t>
            </w:r>
          </w:p>
        </w:tc>
        <w:tc>
          <w:tcPr>
            <w:tcW w:w="1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41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180" w:type="dxa"/>
            <w:vAlign w:val="bottom"/>
            <w:gridSpan w:val="2"/>
          </w:tcPr>
          <w:p>
            <w:pPr>
              <w:spacing w:after="0"/>
              <w:rPr>
                <w:sz w:val="20"/>
                <w:szCs w:val="20"/>
                <w:color w:val="auto"/>
              </w:rPr>
            </w:pPr>
            <w:r>
              <w:rPr>
                <w:rFonts w:ascii="Arial" w:cs="Arial" w:eastAsia="Arial" w:hAnsi="Arial"/>
                <w:sz w:val="18"/>
                <w:szCs w:val="18"/>
                <w:color w:val="auto"/>
              </w:rPr>
              <w:t>Beneficiary Bank Transit (ABA) #:</w:t>
            </w:r>
          </w:p>
        </w:tc>
        <w:tc>
          <w:tcPr>
            <w:tcW w:w="1580" w:type="dxa"/>
            <w:vAlign w:val="bottom"/>
          </w:tcPr>
          <w:p>
            <w:pPr>
              <w:spacing w:after="0"/>
              <w:rPr>
                <w:sz w:val="24"/>
                <w:szCs w:val="24"/>
                <w:color w:val="auto"/>
              </w:rPr>
            </w:pPr>
          </w:p>
        </w:tc>
        <w:tc>
          <w:tcPr>
            <w:tcW w:w="6480" w:type="dxa"/>
            <w:vAlign w:val="bottom"/>
            <w:gridSpan w:val="4"/>
          </w:tcPr>
          <w:p>
            <w:pPr>
              <w:ind w:left="460"/>
              <w:spacing w:after="0"/>
              <w:rPr>
                <w:sz w:val="20"/>
                <w:szCs w:val="20"/>
                <w:color w:val="auto"/>
              </w:rPr>
            </w:pPr>
            <w:r>
              <w:rPr>
                <w:rFonts w:ascii="Arial" w:cs="Arial" w:eastAsia="Arial" w:hAnsi="Arial"/>
                <w:sz w:val="18"/>
                <w:szCs w:val="18"/>
                <w:color w:val="auto"/>
              </w:rPr>
              <w:t>Beneficiary Bank Code (Swift, Sort, Chip, etc.):</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840" w:type="dxa"/>
            <w:vAlign w:val="bottom"/>
            <w:gridSpan w:val="2"/>
            <w:vMerge w:val="restart"/>
          </w:tcPr>
          <w:p>
            <w:pPr>
              <w:ind w:left="1420"/>
              <w:spacing w:after="0"/>
              <w:rPr>
                <w:sz w:val="20"/>
                <w:szCs w:val="20"/>
                <w:color w:val="auto"/>
              </w:rPr>
            </w:pPr>
            <w:r>
              <w:rPr>
                <w:rFonts w:ascii="Arial" w:cs="Arial" w:eastAsia="Arial" w:hAnsi="Arial"/>
                <w:sz w:val="18"/>
                <w:szCs w:val="18"/>
                <w:b w:val="1"/>
                <w:bCs w:val="1"/>
                <w:color w:val="auto"/>
              </w:rPr>
              <w:t>(For International Wire Only)</w:t>
            </w:r>
          </w:p>
        </w:tc>
        <w:tc>
          <w:tcPr>
            <w:tcW w:w="1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3180" w:type="dxa"/>
            <w:vAlign w:val="bottom"/>
            <w:gridSpan w:val="2"/>
          </w:tcPr>
          <w:p>
            <w:pPr>
              <w:spacing w:after="0"/>
              <w:rPr>
                <w:sz w:val="20"/>
                <w:szCs w:val="20"/>
                <w:color w:val="auto"/>
              </w:rPr>
            </w:pPr>
            <w:r>
              <w:rPr>
                <w:rFonts w:ascii="Arial" w:cs="Arial" w:eastAsia="Arial" w:hAnsi="Arial"/>
                <w:sz w:val="18"/>
                <w:szCs w:val="18"/>
                <w:color w:val="auto"/>
              </w:rPr>
              <w:t>Intermediary Bank:</w:t>
            </w:r>
          </w:p>
        </w:tc>
        <w:tc>
          <w:tcPr>
            <w:tcW w:w="1580" w:type="dxa"/>
            <w:vAlign w:val="bottom"/>
          </w:tcPr>
          <w:p>
            <w:pPr>
              <w:spacing w:after="0"/>
              <w:rPr>
                <w:sz w:val="24"/>
                <w:szCs w:val="24"/>
                <w:color w:val="auto"/>
              </w:rPr>
            </w:pPr>
          </w:p>
        </w:tc>
        <w:tc>
          <w:tcPr>
            <w:tcW w:w="6480" w:type="dxa"/>
            <w:vAlign w:val="bottom"/>
            <w:tcBorders>
              <w:right w:val="single" w:sz="8" w:color="auto"/>
            </w:tcBorders>
            <w:gridSpan w:val="4"/>
          </w:tcPr>
          <w:p>
            <w:pPr>
              <w:ind w:left="480"/>
              <w:spacing w:after="0"/>
              <w:rPr>
                <w:sz w:val="20"/>
                <w:szCs w:val="20"/>
                <w:color w:val="auto"/>
              </w:rPr>
            </w:pPr>
            <w:r>
              <w:rPr>
                <w:rFonts w:ascii="Arial" w:cs="Arial" w:eastAsia="Arial" w:hAnsi="Arial"/>
                <w:sz w:val="18"/>
                <w:szCs w:val="18"/>
                <w:color w:val="auto"/>
              </w:rPr>
              <w:t>Transit (ABA) #:</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0"/>
                <w:szCs w:val="20"/>
                <w:color w:val="auto"/>
              </w:rPr>
            </w:pPr>
            <w:r>
              <w:rPr>
                <w:rFonts w:ascii="Arial" w:cs="Arial" w:eastAsia="Arial" w:hAnsi="Arial"/>
                <w:sz w:val="18"/>
                <w:szCs w:val="18"/>
                <w:color w:val="auto"/>
              </w:rPr>
              <w:t>For Further Credit to:</w:t>
            </w:r>
          </w:p>
        </w:tc>
        <w:tc>
          <w:tcPr>
            <w:tcW w:w="1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Instruction:</w:t>
      </w:r>
    </w:p>
    <w:p>
      <w:pPr>
        <w:spacing w:after="0" w:line="293" w:lineRule="exact"/>
        <w:rPr>
          <w:sz w:val="20"/>
          <w:szCs w:val="20"/>
          <w:color w:val="auto"/>
        </w:rPr>
      </w:pPr>
    </w:p>
    <w:p>
      <w:pPr>
        <w:ind w:left="20" w:right="40"/>
        <w:spacing w:after="0" w:line="290"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bl>
      <w:tblPr>
        <w:tblLayout w:type="fixed"/>
        <w:tblInd w:w="0" w:type="dxa"/>
        <w:tblCellMar>
          <w:top w:w="0" w:type="dxa"/>
          <w:left w:w="0" w:type="dxa"/>
          <w:bottom w:w="0" w:type="dxa"/>
          <w:right w:w="0" w:type="dxa"/>
        </w:tblCellMar>
      </w:tblPr>
      <w:tr>
        <w:trPr>
          <w:trHeight w:val="238"/>
        </w:trPr>
        <w:tc>
          <w:tcPr>
            <w:tcW w:w="1740" w:type="dxa"/>
            <w:vAlign w:val="bottom"/>
          </w:tcPr>
          <w:p>
            <w:pPr>
              <w:ind w:left="20"/>
              <w:spacing w:after="0"/>
              <w:rPr>
                <w:sz w:val="20"/>
                <w:szCs w:val="20"/>
                <w:color w:val="auto"/>
              </w:rPr>
            </w:pPr>
            <w:r>
              <w:rPr>
                <w:rFonts w:ascii="Arial" w:cs="Arial" w:eastAsia="Arial" w:hAnsi="Arial"/>
                <w:sz w:val="18"/>
                <w:szCs w:val="18"/>
                <w:color w:val="auto"/>
                <w:w w:val="98"/>
              </w:rPr>
              <w:t>Authorized Signature:</w:t>
            </w: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460" w:type="dxa"/>
            <w:vAlign w:val="bottom"/>
            <w:gridSpan w:val="4"/>
          </w:tcPr>
          <w:p>
            <w:pPr>
              <w:ind w:left="46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66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2780" w:type="dxa"/>
            <w:vAlign w:val="bottom"/>
            <w:gridSpan w:val="2"/>
          </w:tcPr>
          <w:p>
            <w:pPr>
              <w:ind w:left="460"/>
              <w:spacing w:after="0"/>
              <w:rPr>
                <w:sz w:val="20"/>
                <w:szCs w:val="20"/>
                <w:color w:val="auto"/>
              </w:rPr>
            </w:pPr>
            <w:r>
              <w:rPr>
                <w:rFonts w:ascii="Arial" w:cs="Arial" w:eastAsia="Arial" w:hAnsi="Arial"/>
                <w:sz w:val="18"/>
                <w:szCs w:val="18"/>
                <w:color w:val="auto"/>
              </w:rPr>
              <w:t>Print Name/Title:</w:t>
            </w:r>
          </w:p>
        </w:tc>
        <w:tc>
          <w:tcPr>
            <w:tcW w:w="3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40" w:type="dxa"/>
            <w:vAlign w:val="bottom"/>
            <w:vMerge w:val="restart"/>
          </w:tcPr>
          <w:p>
            <w:pPr>
              <w:ind w:left="20"/>
              <w:spacing w:after="0"/>
              <w:rPr>
                <w:sz w:val="20"/>
                <w:szCs w:val="20"/>
                <w:color w:val="auto"/>
              </w:rPr>
            </w:pPr>
            <w:r>
              <w:rPr>
                <w:rFonts w:ascii="Arial" w:cs="Arial" w:eastAsia="Arial" w:hAnsi="Arial"/>
                <w:sz w:val="18"/>
                <w:szCs w:val="18"/>
                <w:color w:val="auto"/>
              </w:rPr>
              <w:t>Telephone #:</w:t>
            </w:r>
          </w:p>
        </w:tc>
        <w:tc>
          <w:tcPr>
            <w:tcW w:w="6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60" w:type="dxa"/>
            <w:vAlign w:val="bottom"/>
            <w:vMerge w:val="restart"/>
          </w:tcPr>
          <w:p>
            <w:pPr>
              <w:ind w:left="460"/>
              <w:spacing w:after="0"/>
              <w:rPr>
                <w:sz w:val="20"/>
                <w:szCs w:val="20"/>
                <w:color w:val="auto"/>
              </w:rPr>
            </w:pPr>
            <w:r>
              <w:rPr>
                <w:rFonts w:ascii="Arial" w:cs="Arial" w:eastAsia="Arial" w:hAnsi="Arial"/>
                <w:sz w:val="18"/>
                <w:szCs w:val="18"/>
                <w:color w:val="auto"/>
              </w:rPr>
              <w:t>Telephone #:</w:t>
            </w:r>
          </w:p>
        </w:tc>
        <w:tc>
          <w:tcPr>
            <w:tcW w:w="10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60" w:type="dxa"/>
            <w:vAlign w:val="bottom"/>
            <w:gridSpan w:val="4"/>
          </w:tcPr>
          <w:p>
            <w:pPr>
              <w:ind w:left="700"/>
              <w:spacing w:after="0"/>
              <w:rPr>
                <w:sz w:val="20"/>
                <w:szCs w:val="20"/>
                <w:color w:val="auto"/>
              </w:rPr>
            </w:pPr>
            <w:r>
              <w:rPr>
                <w:rFonts w:ascii="Arial" w:cs="Arial" w:eastAsia="Arial" w:hAnsi="Arial"/>
                <w:sz w:val="18"/>
                <w:szCs w:val="18"/>
                <w:color w:val="auto"/>
              </w:rPr>
              <w:t>II-3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7" w:right="3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see attached</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8"/>
          <w:szCs w:val="18"/>
          <w:b w:val="1"/>
          <w:bCs w:val="1"/>
          <w:color w:val="auto"/>
        </w:rPr>
        <w:t>DISBURSEMENT LETTER</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_________ __, 20__</w:t>
      </w:r>
    </w:p>
    <w:p>
      <w:pPr>
        <w:spacing w:after="0" w:line="221"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 xml:space="preserve">The undersigned, being an Authorized Signer of </w:t>
      </w:r>
      <w:r>
        <w:rPr>
          <w:rFonts w:ascii="Arial" w:cs="Arial" w:eastAsia="Arial" w:hAnsi="Arial"/>
          <w:sz w:val="16"/>
          <w:szCs w:val="16"/>
          <w:b w:val="1"/>
          <w:bCs w:val="1"/>
          <w:color w:val="auto"/>
        </w:rPr>
        <w:t>AVROBIO,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does hereby certify to (a)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w:t>
      </w:r>
      <w:r>
        <w:rPr>
          <w:rFonts w:ascii="Arial" w:cs="Arial" w:eastAsia="Arial" w:hAnsi="Arial"/>
          <w:sz w:val="16"/>
          <w:szCs w:val="16"/>
          <w:b w:val="1"/>
          <w:bCs w:val="1"/>
          <w:color w:val="auto"/>
        </w:rPr>
        <w:t>SVB</w:t>
      </w:r>
      <w:r>
        <w:rPr>
          <w:rFonts w:ascii="Arial" w:cs="Arial" w:eastAsia="Arial" w:hAnsi="Arial"/>
          <w:sz w:val="16"/>
          <w:szCs w:val="16"/>
          <w:color w:val="auto"/>
        </w:rPr>
        <w:t>”), in its capacity as administrative agent and collateral agent (“</w:t>
      </w:r>
      <w:r>
        <w:rPr>
          <w:rFonts w:ascii="Arial" w:cs="Arial" w:eastAsia="Arial" w:hAnsi="Arial"/>
          <w:sz w:val="16"/>
          <w:szCs w:val="16"/>
          <w:b w:val="1"/>
          <w:bCs w:val="1"/>
          <w:color w:val="auto"/>
        </w:rPr>
        <w:t>Agent</w:t>
      </w:r>
      <w:r>
        <w:rPr>
          <w:rFonts w:ascii="Arial" w:cs="Arial" w:eastAsia="Arial" w:hAnsi="Arial"/>
          <w:sz w:val="16"/>
          <w:szCs w:val="16"/>
          <w:color w:val="auto"/>
        </w:rPr>
        <w:t>”), (b)</w:t>
      </w:r>
      <w:r>
        <w:rPr>
          <w:rFonts w:ascii="Arial" w:cs="Arial" w:eastAsia="Arial" w:hAnsi="Arial"/>
          <w:sz w:val="16"/>
          <w:szCs w:val="16"/>
          <w:b w:val="1"/>
          <w:bCs w:val="1"/>
          <w:color w:val="auto"/>
        </w:rPr>
        <w:t xml:space="preserve"> SVB</w:t>
      </w:r>
      <w:r>
        <w:rPr>
          <w:rFonts w:ascii="Arial" w:cs="Arial" w:eastAsia="Arial" w:hAnsi="Arial"/>
          <w:sz w:val="16"/>
          <w:szCs w:val="16"/>
          <w:color w:val="auto"/>
        </w:rPr>
        <w:t>, as a lender,</w:t>
      </w:r>
    </w:p>
    <w:p>
      <w:pPr>
        <w:spacing w:after="0" w:line="1" w:lineRule="exact"/>
        <w:rPr>
          <w:sz w:val="20"/>
          <w:szCs w:val="20"/>
          <w:color w:val="auto"/>
        </w:rPr>
      </w:pPr>
    </w:p>
    <w:p>
      <w:pPr>
        <w:jc w:val="both"/>
        <w:ind w:firstLine="8"/>
        <w:spacing w:after="0" w:line="295" w:lineRule="auto"/>
        <w:tabs>
          <w:tab w:leader="none" w:pos="244"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SVB INNOVATION CREDIT FUND VIII, L.P.</w:t>
      </w:r>
      <w:r>
        <w:rPr>
          <w:rFonts w:ascii="Arial" w:cs="Arial" w:eastAsia="Arial" w:hAnsi="Arial"/>
          <w:sz w:val="16"/>
          <w:szCs w:val="16"/>
          <w:color w:val="auto"/>
        </w:rPr>
        <w:t>, a Delaware limited partnership (“</w:t>
      </w:r>
      <w:r>
        <w:rPr>
          <w:rFonts w:ascii="Arial" w:cs="Arial" w:eastAsia="Arial" w:hAnsi="Arial"/>
          <w:sz w:val="16"/>
          <w:szCs w:val="16"/>
          <w:b w:val="1"/>
          <w:bCs w:val="1"/>
          <w:color w:val="auto"/>
        </w:rPr>
        <w:t>SVB Capital</w:t>
      </w:r>
      <w:r>
        <w:rPr>
          <w:rFonts w:ascii="Arial" w:cs="Arial" w:eastAsia="Arial" w:hAnsi="Arial"/>
          <w:sz w:val="16"/>
          <w:szCs w:val="16"/>
          <w:color w:val="auto"/>
        </w:rPr>
        <w:t>”), as a lender (SVB and SVB Capital and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“Lenders” from time to time a party hereto are referred to herein collectively as the “</w:t>
      </w:r>
      <w:r>
        <w:rPr>
          <w:rFonts w:ascii="Arial" w:cs="Arial" w:eastAsia="Arial" w:hAnsi="Arial"/>
          <w:sz w:val="16"/>
          <w:szCs w:val="16"/>
          <w:b w:val="1"/>
          <w:bCs w:val="1"/>
          <w:color w:val="auto"/>
        </w:rPr>
        <w:t>Lenders</w:t>
      </w:r>
      <w:r>
        <w:rPr>
          <w:rFonts w:ascii="Arial" w:cs="Arial" w:eastAsia="Arial" w:hAnsi="Arial"/>
          <w:sz w:val="16"/>
          <w:szCs w:val="16"/>
          <w:color w:val="auto"/>
        </w:rPr>
        <w:t>” and each individually as a “</w:t>
      </w:r>
      <w:r>
        <w:rPr>
          <w:rFonts w:ascii="Arial" w:cs="Arial" w:eastAsia="Arial" w:hAnsi="Arial"/>
          <w:sz w:val="16"/>
          <w:szCs w:val="16"/>
          <w:b w:val="1"/>
          <w:bCs w:val="1"/>
          <w:color w:val="auto"/>
        </w:rPr>
        <w:t>Lender</w:t>
      </w:r>
      <w:r>
        <w:rPr>
          <w:rFonts w:ascii="Arial" w:cs="Arial" w:eastAsia="Arial" w:hAnsi="Arial"/>
          <w:sz w:val="16"/>
          <w:szCs w:val="16"/>
          <w:color w:val="auto"/>
        </w:rPr>
        <w:t>”) in connection with that certain Loan and Security Agreement dated as of November 2, 2021, by and among Borrower, Agent and the Lenders from time to time party thereto (the “</w:t>
      </w:r>
      <w:r>
        <w:rPr>
          <w:rFonts w:ascii="Arial" w:cs="Arial" w:eastAsia="Arial" w:hAnsi="Arial"/>
          <w:sz w:val="16"/>
          <w:szCs w:val="16"/>
          <w:b w:val="1"/>
          <w:bCs w:val="1"/>
          <w:color w:val="auto"/>
        </w:rPr>
        <w:t>Loan Agreement</w:t>
      </w:r>
      <w:r>
        <w:rPr>
          <w:rFonts w:ascii="Arial" w:cs="Arial" w:eastAsia="Arial" w:hAnsi="Arial"/>
          <w:sz w:val="16"/>
          <w:szCs w:val="16"/>
          <w:color w:val="auto"/>
        </w:rPr>
        <w:t>”; with other capitalized terms used herein having the meanings ascribed thereto in the Loan Agreement) that:</w:t>
      </w:r>
    </w:p>
    <w:p>
      <w:pPr>
        <w:spacing w:after="0" w:line="53" w:lineRule="exact"/>
        <w:rPr>
          <w:rFonts w:ascii="Arial" w:cs="Arial" w:eastAsia="Arial" w:hAnsi="Arial"/>
          <w:sz w:val="16"/>
          <w:szCs w:val="16"/>
          <w:color w:val="auto"/>
        </w:rPr>
      </w:pPr>
    </w:p>
    <w:p>
      <w:pPr>
        <w:ind w:firstLine="872"/>
        <w:spacing w:after="0" w:line="277" w:lineRule="auto"/>
        <w:tabs>
          <w:tab w:leader="none" w:pos="164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4 of the Loan Agreement and in the other Loan Documents are true and correct in all material respects as of the date hereof.</w:t>
      </w:r>
    </w:p>
    <w:p>
      <w:pPr>
        <w:spacing w:after="0" w:line="197" w:lineRule="exact"/>
        <w:rPr>
          <w:rFonts w:ascii="Arial" w:cs="Arial" w:eastAsia="Arial" w:hAnsi="Arial"/>
          <w:sz w:val="18"/>
          <w:szCs w:val="18"/>
          <w:color w:val="auto"/>
        </w:rPr>
      </w:pPr>
    </w:p>
    <w:p>
      <w:pPr>
        <w:ind w:left="1660" w:hanging="788"/>
        <w:spacing w:after="0"/>
        <w:tabs>
          <w:tab w:leader="none" w:pos="16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37" w:lineRule="exact"/>
        <w:rPr>
          <w:rFonts w:ascii="Arial" w:cs="Arial" w:eastAsia="Arial" w:hAnsi="Arial"/>
          <w:sz w:val="17"/>
          <w:szCs w:val="17"/>
          <w:color w:val="auto"/>
        </w:rPr>
      </w:pPr>
    </w:p>
    <w:p>
      <w:pPr>
        <w:ind w:left="1660" w:hanging="788"/>
        <w:spacing w:after="0"/>
        <w:tabs>
          <w:tab w:leader="none" w:pos="16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Borrower is in compliance with the covenants and requirements contained in Sections 3, 5 and 6 of the Loan Agreement.</w:t>
      </w:r>
    </w:p>
    <w:p>
      <w:pPr>
        <w:spacing w:after="0" w:line="263" w:lineRule="exact"/>
        <w:rPr>
          <w:rFonts w:ascii="Arial" w:cs="Arial" w:eastAsia="Arial" w:hAnsi="Arial"/>
          <w:sz w:val="17"/>
          <w:szCs w:val="17"/>
          <w:color w:val="auto"/>
        </w:rPr>
      </w:pPr>
    </w:p>
    <w:p>
      <w:pPr>
        <w:ind w:firstLine="872"/>
        <w:spacing w:after="0" w:line="277" w:lineRule="auto"/>
        <w:tabs>
          <w:tab w:leader="none" w:pos="164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conditions referred to in Section 2 of the Loan Agreement to the making of a Credit Extension to be made on or about the date hereof have been satisfied or waived by Agent.</w:t>
      </w:r>
    </w:p>
    <w:p>
      <w:pPr>
        <w:spacing w:after="0" w:line="197" w:lineRule="exact"/>
        <w:rPr>
          <w:rFonts w:ascii="Arial" w:cs="Arial" w:eastAsia="Arial" w:hAnsi="Arial"/>
          <w:sz w:val="18"/>
          <w:szCs w:val="18"/>
          <w:color w:val="auto"/>
        </w:rPr>
      </w:pPr>
    </w:p>
    <w:p>
      <w:pPr>
        <w:ind w:left="1660" w:hanging="788"/>
        <w:spacing w:after="0"/>
        <w:tabs>
          <w:tab w:leader="none" w:pos="1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52" w:lineRule="exact"/>
        <w:rPr>
          <w:rFonts w:ascii="Arial" w:cs="Arial" w:eastAsia="Arial" w:hAnsi="Arial"/>
          <w:sz w:val="18"/>
          <w:szCs w:val="18"/>
          <w:color w:val="auto"/>
        </w:rPr>
      </w:pPr>
    </w:p>
    <w:p>
      <w:pPr>
        <w:ind w:left="1660" w:hanging="788"/>
        <w:spacing w:after="0"/>
        <w:tabs>
          <w:tab w:leader="none" w:pos="1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undersigned is an Authorized Signer.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ind w:left="800" w:hanging="792"/>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proceeds of the Term Loan Advance shall be disbursed as follows:</w:t>
      </w:r>
    </w:p>
    <w:p>
      <w:pPr>
        <w:spacing w:after="0" w:line="356"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Disbursement from SVB:</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440" w:type="dxa"/>
            <w:vAlign w:val="bottom"/>
          </w:tcPr>
          <w:p>
            <w:pPr>
              <w:ind w:left="220"/>
              <w:spacing w:after="0"/>
              <w:rPr>
                <w:sz w:val="20"/>
                <w:szCs w:val="20"/>
                <w:color w:val="auto"/>
              </w:rPr>
            </w:pPr>
            <w:r>
              <w:rPr>
                <w:rFonts w:ascii="Arial" w:cs="Arial" w:eastAsia="Arial" w:hAnsi="Arial"/>
                <w:sz w:val="18"/>
                <w:szCs w:val="18"/>
                <w:color w:val="auto"/>
              </w:rPr>
              <w:t>Loan Amount</w:t>
            </w:r>
          </w:p>
        </w:tc>
        <w:tc>
          <w:tcPr>
            <w:tcW w:w="3980" w:type="dxa"/>
            <w:vAlign w:val="bottom"/>
          </w:tcPr>
          <w:p>
            <w:pPr>
              <w:jc w:val="right"/>
              <w:spacing w:after="0"/>
              <w:rPr>
                <w:sz w:val="20"/>
                <w:szCs w:val="20"/>
                <w:color w:val="auto"/>
              </w:rPr>
            </w:pPr>
            <w:r>
              <w:rPr>
                <w:rFonts w:ascii="Arial" w:cs="Arial" w:eastAsia="Arial" w:hAnsi="Arial"/>
                <w:sz w:val="18"/>
                <w:szCs w:val="18"/>
                <w:color w:val="auto"/>
              </w:rPr>
              <w:t>$_______________</w:t>
            </w:r>
          </w:p>
        </w:tc>
        <w:tc>
          <w:tcPr>
            <w:tcW w:w="0" w:type="dxa"/>
            <w:vAlign w:val="bottom"/>
          </w:tcPr>
          <w:p>
            <w:pPr>
              <w:spacing w:after="0"/>
              <w:rPr>
                <w:sz w:val="1"/>
                <w:szCs w:val="1"/>
                <w:color w:val="auto"/>
              </w:rPr>
            </w:pPr>
          </w:p>
        </w:tc>
      </w:tr>
      <w:tr>
        <w:trPr>
          <w:trHeight w:val="324"/>
        </w:trPr>
        <w:tc>
          <w:tcPr>
            <w:tcW w:w="5440" w:type="dxa"/>
            <w:vAlign w:val="bottom"/>
          </w:tcPr>
          <w:p>
            <w:pPr>
              <w:ind w:left="44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Deposit Received</w:t>
            </w:r>
          </w:p>
        </w:tc>
        <w:tc>
          <w:tcPr>
            <w:tcW w:w="3980" w:type="dxa"/>
            <w:vAlign w:val="bottom"/>
          </w:tcPr>
          <w:p>
            <w:pPr>
              <w:jc w:val="right"/>
              <w:spacing w:after="0"/>
              <w:rPr>
                <w:sz w:val="20"/>
                <w:szCs w:val="20"/>
                <w:color w:val="auto"/>
              </w:rPr>
            </w:pPr>
            <w:r>
              <w:rPr>
                <w:rFonts w:ascii="Arial" w:cs="Arial" w:eastAsia="Arial" w:hAnsi="Arial"/>
                <w:sz w:val="18"/>
                <w:szCs w:val="18"/>
                <w:color w:val="auto"/>
              </w:rPr>
              <w:t>$__________</w:t>
            </w:r>
          </w:p>
        </w:tc>
        <w:tc>
          <w:tcPr>
            <w:tcW w:w="0" w:type="dxa"/>
            <w:vAlign w:val="bottom"/>
          </w:tcPr>
          <w:p>
            <w:pPr>
              <w:spacing w:after="0"/>
              <w:rPr>
                <w:sz w:val="1"/>
                <w:szCs w:val="1"/>
                <w:color w:val="auto"/>
              </w:rPr>
            </w:pPr>
          </w:p>
        </w:tc>
      </w:tr>
      <w:tr>
        <w:trPr>
          <w:trHeight w:val="324"/>
        </w:trPr>
        <w:tc>
          <w:tcPr>
            <w:tcW w:w="5440" w:type="dxa"/>
            <w:vAlign w:val="bottom"/>
          </w:tcPr>
          <w:p>
            <w:pPr>
              <w:ind w:left="44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[Interim Interest]</w:t>
            </w:r>
          </w:p>
        </w:tc>
        <w:tc>
          <w:tcPr>
            <w:tcW w:w="3980" w:type="dxa"/>
            <w:vAlign w:val="bottom"/>
          </w:tcPr>
          <w:p>
            <w:pPr>
              <w:jc w:val="right"/>
              <w:spacing w:after="0"/>
              <w:rPr>
                <w:sz w:val="20"/>
                <w:szCs w:val="20"/>
                <w:color w:val="auto"/>
              </w:rPr>
            </w:pPr>
            <w:r>
              <w:rPr>
                <w:rFonts w:ascii="Arial" w:cs="Arial" w:eastAsia="Arial" w:hAnsi="Arial"/>
                <w:sz w:val="18"/>
                <w:szCs w:val="18"/>
                <w:color w:val="auto"/>
              </w:rPr>
              <w:t>($_________)</w:t>
            </w:r>
          </w:p>
        </w:tc>
        <w:tc>
          <w:tcPr>
            <w:tcW w:w="0" w:type="dxa"/>
            <w:vAlign w:val="bottom"/>
          </w:tcPr>
          <w:p>
            <w:pPr>
              <w:spacing w:after="0"/>
              <w:rPr>
                <w:sz w:val="1"/>
                <w:szCs w:val="1"/>
                <w:color w:val="auto"/>
              </w:rPr>
            </w:pPr>
          </w:p>
        </w:tc>
      </w:tr>
      <w:tr>
        <w:trPr>
          <w:trHeight w:val="324"/>
        </w:trPr>
        <w:tc>
          <w:tcPr>
            <w:tcW w:w="54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Lenders’ Legal Fees</w:t>
            </w:r>
          </w:p>
        </w:tc>
        <w:tc>
          <w:tcPr>
            <w:tcW w:w="3980" w:type="dxa"/>
            <w:vAlign w:val="bottom"/>
          </w:tcPr>
          <w:p>
            <w:pPr>
              <w:jc w:val="right"/>
              <w:spacing w:after="0"/>
              <w:rPr>
                <w:sz w:val="20"/>
                <w:szCs w:val="20"/>
                <w:color w:val="auto"/>
              </w:rPr>
            </w:pPr>
            <w:r>
              <w:rPr>
                <w:rFonts w:ascii="Arial" w:cs="Arial" w:eastAsia="Arial" w:hAnsi="Arial"/>
                <w:sz w:val="18"/>
                <w:szCs w:val="18"/>
                <w:color w:val="auto"/>
              </w:rPr>
              <w:t>($_________)</w:t>
            </w:r>
          </w:p>
        </w:tc>
        <w:tc>
          <w:tcPr>
            <w:tcW w:w="0" w:type="dxa"/>
            <w:vAlign w:val="bottom"/>
          </w:tcPr>
          <w:p>
            <w:pPr>
              <w:spacing w:after="0"/>
              <w:rPr>
                <w:sz w:val="1"/>
                <w:szCs w:val="1"/>
                <w:color w:val="auto"/>
              </w:rPr>
            </w:pPr>
          </w:p>
        </w:tc>
      </w:tr>
      <w:tr>
        <w:trPr>
          <w:trHeight w:val="675"/>
        </w:trPr>
        <w:tc>
          <w:tcPr>
            <w:tcW w:w="5440" w:type="dxa"/>
            <w:vAlign w:val="bottom"/>
          </w:tcPr>
          <w:p>
            <w:pPr>
              <w:spacing w:after="0"/>
              <w:rPr>
                <w:sz w:val="20"/>
                <w:szCs w:val="20"/>
                <w:color w:val="auto"/>
              </w:rPr>
            </w:pPr>
            <w:r>
              <w:rPr>
                <w:rFonts w:ascii="Arial" w:cs="Arial" w:eastAsia="Arial" w:hAnsi="Arial"/>
                <w:sz w:val="18"/>
                <w:szCs w:val="18"/>
                <w:b w:val="1"/>
                <w:bCs w:val="1"/>
                <w:color w:val="auto"/>
              </w:rPr>
              <w:t>Net Proceeds due from SVB:</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$_______________</w:t>
            </w:r>
          </w:p>
        </w:tc>
        <w:tc>
          <w:tcPr>
            <w:tcW w:w="0" w:type="dxa"/>
            <w:vAlign w:val="bottom"/>
          </w:tcPr>
          <w:p>
            <w:pPr>
              <w:spacing w:after="0"/>
              <w:rPr>
                <w:sz w:val="1"/>
                <w:szCs w:val="1"/>
                <w:color w:val="auto"/>
              </w:rPr>
            </w:pPr>
          </w:p>
        </w:tc>
      </w:tr>
      <w:tr>
        <w:trPr>
          <w:trHeight w:val="675"/>
        </w:trPr>
        <w:tc>
          <w:tcPr>
            <w:tcW w:w="5440" w:type="dxa"/>
            <w:vAlign w:val="bottom"/>
          </w:tcPr>
          <w:p>
            <w:pPr>
              <w:spacing w:after="0"/>
              <w:rPr>
                <w:sz w:val="20"/>
                <w:szCs w:val="20"/>
                <w:color w:val="auto"/>
              </w:rPr>
            </w:pPr>
            <w:r>
              <w:rPr>
                <w:rFonts w:ascii="Arial" w:cs="Arial" w:eastAsia="Arial" w:hAnsi="Arial"/>
                <w:sz w:val="18"/>
                <w:szCs w:val="18"/>
                <w:b w:val="1"/>
                <w:bCs w:val="1"/>
                <w:color w:val="auto"/>
              </w:rPr>
              <w:t>Disbursement from SVB Capital:</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40" w:type="dxa"/>
            <w:vAlign w:val="bottom"/>
          </w:tcPr>
          <w:p>
            <w:pPr>
              <w:ind w:left="220"/>
              <w:spacing w:after="0"/>
              <w:rPr>
                <w:sz w:val="20"/>
                <w:szCs w:val="20"/>
                <w:color w:val="auto"/>
              </w:rPr>
            </w:pPr>
            <w:r>
              <w:rPr>
                <w:rFonts w:ascii="Arial" w:cs="Arial" w:eastAsia="Arial" w:hAnsi="Arial"/>
                <w:sz w:val="18"/>
                <w:szCs w:val="18"/>
                <w:color w:val="auto"/>
              </w:rPr>
              <w:t>Loan Amount</w:t>
            </w:r>
          </w:p>
        </w:tc>
        <w:tc>
          <w:tcPr>
            <w:tcW w:w="3980" w:type="dxa"/>
            <w:vAlign w:val="bottom"/>
          </w:tcPr>
          <w:p>
            <w:pPr>
              <w:jc w:val="right"/>
              <w:spacing w:after="0"/>
              <w:rPr>
                <w:sz w:val="20"/>
                <w:szCs w:val="20"/>
                <w:color w:val="auto"/>
              </w:rPr>
            </w:pPr>
            <w:r>
              <w:rPr>
                <w:rFonts w:ascii="Arial" w:cs="Arial" w:eastAsia="Arial" w:hAnsi="Arial"/>
                <w:sz w:val="18"/>
                <w:szCs w:val="18"/>
                <w:color w:val="auto"/>
              </w:rPr>
              <w:t>$_______________</w:t>
            </w:r>
          </w:p>
        </w:tc>
        <w:tc>
          <w:tcPr>
            <w:tcW w:w="0" w:type="dxa"/>
            <w:vAlign w:val="bottom"/>
          </w:tcPr>
          <w:p>
            <w:pPr>
              <w:spacing w:after="0"/>
              <w:rPr>
                <w:sz w:val="1"/>
                <w:szCs w:val="1"/>
                <w:color w:val="auto"/>
              </w:rPr>
            </w:pPr>
          </w:p>
        </w:tc>
      </w:tr>
      <w:tr>
        <w:trPr>
          <w:trHeight w:val="324"/>
        </w:trPr>
        <w:tc>
          <w:tcPr>
            <w:tcW w:w="5440" w:type="dxa"/>
            <w:vAlign w:val="bottom"/>
          </w:tcPr>
          <w:p>
            <w:pPr>
              <w:ind w:left="22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4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[Interim Interest]</w:t>
            </w:r>
          </w:p>
        </w:tc>
        <w:tc>
          <w:tcPr>
            <w:tcW w:w="3980" w:type="dxa"/>
            <w:vAlign w:val="bottom"/>
          </w:tcPr>
          <w:p>
            <w:pPr>
              <w:jc w:val="right"/>
              <w:spacing w:after="0"/>
              <w:rPr>
                <w:sz w:val="20"/>
                <w:szCs w:val="20"/>
                <w:color w:val="auto"/>
              </w:rPr>
            </w:pPr>
            <w:r>
              <w:rPr>
                <w:rFonts w:ascii="Arial" w:cs="Arial" w:eastAsia="Arial" w:hAnsi="Arial"/>
                <w:sz w:val="18"/>
                <w:szCs w:val="18"/>
                <w:color w:val="auto"/>
              </w:rPr>
              <w:t>($_________)</w:t>
            </w:r>
          </w:p>
        </w:tc>
        <w:tc>
          <w:tcPr>
            <w:tcW w:w="0" w:type="dxa"/>
            <w:vAlign w:val="bottom"/>
          </w:tcPr>
          <w:p>
            <w:pPr>
              <w:spacing w:after="0"/>
              <w:rPr>
                <w:sz w:val="1"/>
                <w:szCs w:val="1"/>
                <w:color w:val="auto"/>
              </w:rPr>
            </w:pPr>
          </w:p>
        </w:tc>
      </w:tr>
      <w:tr>
        <w:trPr>
          <w:trHeight w:val="675"/>
        </w:trPr>
        <w:tc>
          <w:tcPr>
            <w:tcW w:w="5440" w:type="dxa"/>
            <w:vAlign w:val="bottom"/>
          </w:tcPr>
          <w:p>
            <w:pPr>
              <w:spacing w:after="0"/>
              <w:rPr>
                <w:sz w:val="20"/>
                <w:szCs w:val="20"/>
                <w:color w:val="auto"/>
              </w:rPr>
            </w:pPr>
            <w:r>
              <w:rPr>
                <w:rFonts w:ascii="Arial" w:cs="Arial" w:eastAsia="Arial" w:hAnsi="Arial"/>
                <w:sz w:val="18"/>
                <w:szCs w:val="18"/>
                <w:b w:val="1"/>
                <w:bCs w:val="1"/>
                <w:color w:val="auto"/>
              </w:rPr>
              <w:t>Net Proceeds due from SVB Capital:</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$_______________</w:t>
            </w: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0"/>
                <w:szCs w:val="20"/>
                <w:color w:val="auto"/>
              </w:rPr>
            </w:pPr>
            <w:r>
              <w:rPr>
                <w:rFonts w:ascii="Arial" w:cs="Arial" w:eastAsia="Arial" w:hAnsi="Arial"/>
                <w:sz w:val="18"/>
                <w:szCs w:val="18"/>
                <w:b w:val="1"/>
                <w:bCs w:val="1"/>
                <w:color w:val="auto"/>
              </w:rPr>
              <w:t>TOTAL TERM LOAN ADVANCE</w:t>
            </w:r>
          </w:p>
        </w:tc>
        <w:tc>
          <w:tcPr>
            <w:tcW w:w="3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$_______________</w:t>
            </w:r>
          </w:p>
        </w:tc>
        <w:tc>
          <w:tcPr>
            <w:tcW w:w="0" w:type="dxa"/>
            <w:vAlign w:val="bottom"/>
          </w:tcPr>
          <w:p>
            <w:pPr>
              <w:spacing w:after="0"/>
              <w:rPr>
                <w:sz w:val="1"/>
                <w:szCs w:val="1"/>
                <w:color w:val="auto"/>
              </w:rPr>
            </w:pPr>
          </w:p>
        </w:tc>
      </w:tr>
      <w:tr>
        <w:trPr>
          <w:trHeight w:val="162"/>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NET PROCEEDS FROM LENDERS</w:t>
            </w: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vMerge w:val="continue"/>
          </w:tcPr>
          <w:p>
            <w:pPr>
              <w:spacing w:after="0"/>
              <w:rPr>
                <w:sz w:val="14"/>
                <w:szCs w:val="14"/>
                <w:color w:val="auto"/>
              </w:rPr>
            </w:pP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00" w:hanging="792"/>
        <w:spacing w:after="0"/>
        <w:tabs>
          <w:tab w:leader="none" w:pos="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aggregate net proceeds of the Term Loan Advance shall be transferred to the Borrower’s Designated Deposit Account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ind w:left="1600"/>
              <w:spacing w:after="0"/>
              <w:rPr>
                <w:sz w:val="20"/>
                <w:szCs w:val="20"/>
                <w:color w:val="auto"/>
              </w:rPr>
            </w:pPr>
            <w:r>
              <w:rPr>
                <w:rFonts w:ascii="Arial" w:cs="Arial" w:eastAsia="Arial" w:hAnsi="Arial"/>
                <w:sz w:val="18"/>
                <w:szCs w:val="18"/>
                <w:color w:val="auto"/>
              </w:rPr>
              <w:t>Account Name:</w:t>
            </w:r>
          </w:p>
        </w:tc>
        <w:tc>
          <w:tcPr>
            <w:tcW w:w="7800" w:type="dxa"/>
            <w:vAlign w:val="bottom"/>
          </w:tcPr>
          <w:p>
            <w:pPr>
              <w:ind w:left="880"/>
              <w:spacing w:after="0"/>
              <w:rPr>
                <w:sz w:val="20"/>
                <w:szCs w:val="20"/>
                <w:color w:val="auto"/>
              </w:rPr>
            </w:pPr>
            <w:r>
              <w:rPr>
                <w:rFonts w:ascii="Arial" w:cs="Arial" w:eastAsia="Arial" w:hAnsi="Arial"/>
                <w:sz w:val="18"/>
                <w:szCs w:val="18"/>
                <w:color w:val="auto"/>
              </w:rPr>
              <w:t>AVROBIO, INC.</w:t>
            </w:r>
          </w:p>
        </w:tc>
      </w:tr>
      <w:tr>
        <w:trPr>
          <w:trHeight w:val="324"/>
        </w:trPr>
        <w:tc>
          <w:tcPr>
            <w:tcW w:w="3460" w:type="dxa"/>
            <w:vAlign w:val="bottom"/>
          </w:tcPr>
          <w:p>
            <w:pPr>
              <w:ind w:left="1600"/>
              <w:spacing w:after="0"/>
              <w:rPr>
                <w:sz w:val="20"/>
                <w:szCs w:val="20"/>
                <w:color w:val="auto"/>
              </w:rPr>
            </w:pPr>
            <w:r>
              <w:rPr>
                <w:rFonts w:ascii="Arial" w:cs="Arial" w:eastAsia="Arial" w:hAnsi="Arial"/>
                <w:sz w:val="18"/>
                <w:szCs w:val="18"/>
                <w:color w:val="auto"/>
              </w:rPr>
              <w:t>Bank Name:</w:t>
            </w:r>
          </w:p>
        </w:tc>
        <w:tc>
          <w:tcPr>
            <w:tcW w:w="7800" w:type="dxa"/>
            <w:vAlign w:val="bottom"/>
          </w:tcPr>
          <w:p>
            <w:pPr>
              <w:ind w:left="880"/>
              <w:spacing w:after="0"/>
              <w:rPr>
                <w:sz w:val="20"/>
                <w:szCs w:val="20"/>
                <w:color w:val="auto"/>
              </w:rPr>
            </w:pPr>
            <w:r>
              <w:rPr>
                <w:rFonts w:ascii="Arial" w:cs="Arial" w:eastAsia="Arial" w:hAnsi="Arial"/>
                <w:sz w:val="18"/>
                <w:szCs w:val="18"/>
                <w:color w:val="auto"/>
              </w:rPr>
              <w:t>Silicon Valley Bank</w:t>
            </w:r>
          </w:p>
        </w:tc>
      </w:tr>
      <w:tr>
        <w:trPr>
          <w:trHeight w:val="310"/>
        </w:trPr>
        <w:tc>
          <w:tcPr>
            <w:tcW w:w="3460" w:type="dxa"/>
            <w:vAlign w:val="bottom"/>
          </w:tcPr>
          <w:p>
            <w:pPr>
              <w:ind w:left="1600"/>
              <w:spacing w:after="0"/>
              <w:rPr>
                <w:sz w:val="20"/>
                <w:szCs w:val="20"/>
                <w:color w:val="auto"/>
              </w:rPr>
            </w:pPr>
            <w:r>
              <w:rPr>
                <w:rFonts w:ascii="Arial" w:cs="Arial" w:eastAsia="Arial" w:hAnsi="Arial"/>
                <w:sz w:val="18"/>
                <w:szCs w:val="18"/>
                <w:color w:val="auto"/>
              </w:rPr>
              <w:t>Bank Address:</w:t>
            </w:r>
          </w:p>
        </w:tc>
        <w:tc>
          <w:tcPr>
            <w:tcW w:w="7800" w:type="dxa"/>
            <w:vAlign w:val="bottom"/>
          </w:tcPr>
          <w:p>
            <w:pPr>
              <w:ind w:left="880"/>
              <w:spacing w:after="0"/>
              <w:rPr>
                <w:sz w:val="20"/>
                <w:szCs w:val="20"/>
                <w:color w:val="auto"/>
              </w:rPr>
            </w:pPr>
            <w:r>
              <w:rPr>
                <w:rFonts w:ascii="Arial" w:cs="Arial" w:eastAsia="Arial" w:hAnsi="Arial"/>
                <w:sz w:val="18"/>
                <w:szCs w:val="18"/>
                <w:color w:val="auto"/>
              </w:rPr>
              <w:t>3003 Tasman Drive</w:t>
            </w:r>
          </w:p>
        </w:tc>
      </w:tr>
      <w:tr>
        <w:trPr>
          <w:trHeight w:val="230"/>
        </w:trPr>
        <w:tc>
          <w:tcPr>
            <w:tcW w:w="3460" w:type="dxa"/>
            <w:vAlign w:val="bottom"/>
          </w:tcPr>
          <w:p>
            <w:pPr>
              <w:spacing w:after="0"/>
              <w:rPr>
                <w:sz w:val="20"/>
                <w:szCs w:val="20"/>
                <w:color w:val="auto"/>
              </w:rPr>
            </w:pPr>
          </w:p>
        </w:tc>
        <w:tc>
          <w:tcPr>
            <w:tcW w:w="7800" w:type="dxa"/>
            <w:vAlign w:val="bottom"/>
          </w:tcPr>
          <w:p>
            <w:pPr>
              <w:ind w:left="880"/>
              <w:spacing w:after="0"/>
              <w:rPr>
                <w:sz w:val="20"/>
                <w:szCs w:val="20"/>
                <w:color w:val="auto"/>
              </w:rPr>
            </w:pPr>
            <w:r>
              <w:rPr>
                <w:rFonts w:ascii="Arial" w:cs="Arial" w:eastAsia="Arial" w:hAnsi="Arial"/>
                <w:sz w:val="18"/>
                <w:szCs w:val="18"/>
                <w:color w:val="auto"/>
              </w:rPr>
              <w:t>Santa Clara, California 95054</w:t>
            </w:r>
          </w:p>
        </w:tc>
      </w:tr>
      <w:tr>
        <w:trPr>
          <w:trHeight w:val="324"/>
        </w:trPr>
        <w:tc>
          <w:tcPr>
            <w:tcW w:w="3460" w:type="dxa"/>
            <w:vAlign w:val="bottom"/>
          </w:tcPr>
          <w:p>
            <w:pPr>
              <w:ind w:left="1600"/>
              <w:spacing w:after="0"/>
              <w:rPr>
                <w:sz w:val="20"/>
                <w:szCs w:val="20"/>
                <w:color w:val="auto"/>
              </w:rPr>
            </w:pPr>
            <w:r>
              <w:rPr>
                <w:rFonts w:ascii="Arial" w:cs="Arial" w:eastAsia="Arial" w:hAnsi="Arial"/>
                <w:sz w:val="18"/>
                <w:szCs w:val="18"/>
                <w:color w:val="auto"/>
              </w:rPr>
              <w:t>Account Number:</w:t>
            </w:r>
          </w:p>
        </w:tc>
        <w:tc>
          <w:tcPr>
            <w:tcW w:w="7800" w:type="dxa"/>
            <w:vAlign w:val="bottom"/>
          </w:tcPr>
          <w:p>
            <w:pPr>
              <w:ind w:left="880"/>
              <w:spacing w:after="0"/>
              <w:rPr>
                <w:sz w:val="20"/>
                <w:szCs w:val="20"/>
                <w:color w:val="auto"/>
              </w:rPr>
            </w:pPr>
            <w:r>
              <w:rPr>
                <w:rFonts w:ascii="Arial" w:cs="Arial" w:eastAsia="Arial" w:hAnsi="Arial"/>
                <w:sz w:val="18"/>
                <w:szCs w:val="18"/>
                <w:color w:val="auto"/>
              </w:rPr>
              <w:t>xxxxxxxxxx</w:t>
            </w:r>
          </w:p>
        </w:tc>
      </w:tr>
      <w:tr>
        <w:trPr>
          <w:trHeight w:val="324"/>
        </w:trPr>
        <w:tc>
          <w:tcPr>
            <w:tcW w:w="3460" w:type="dxa"/>
            <w:vAlign w:val="bottom"/>
          </w:tcPr>
          <w:p>
            <w:pPr>
              <w:ind w:left="1600"/>
              <w:spacing w:after="0"/>
              <w:rPr>
                <w:sz w:val="20"/>
                <w:szCs w:val="20"/>
                <w:color w:val="auto"/>
              </w:rPr>
            </w:pPr>
            <w:r>
              <w:rPr>
                <w:rFonts w:ascii="Arial" w:cs="Arial" w:eastAsia="Arial" w:hAnsi="Arial"/>
                <w:sz w:val="18"/>
                <w:szCs w:val="18"/>
                <w:color w:val="auto"/>
              </w:rPr>
              <w:t>ABA Number:</w:t>
            </w:r>
          </w:p>
        </w:tc>
        <w:tc>
          <w:tcPr>
            <w:tcW w:w="7800" w:type="dxa"/>
            <w:vAlign w:val="bottom"/>
          </w:tcPr>
          <w:p>
            <w:pPr>
              <w:ind w:left="880"/>
              <w:spacing w:after="0"/>
              <w:rPr>
                <w:sz w:val="20"/>
                <w:szCs w:val="20"/>
                <w:color w:val="auto"/>
              </w:rPr>
            </w:pPr>
            <w:r>
              <w:rPr>
                <w:rFonts w:ascii="Arial" w:cs="Arial" w:eastAsia="Arial" w:hAnsi="Arial"/>
                <w:sz w:val="18"/>
                <w:szCs w:val="18"/>
                <w:color w:val="auto"/>
              </w:rPr>
              <w:t>xxxxxxxxxx</w:t>
            </w:r>
          </w:p>
        </w:tc>
      </w:tr>
      <w:tr>
        <w:trPr>
          <w:trHeight w:val="715"/>
        </w:trPr>
        <w:tc>
          <w:tcPr>
            <w:tcW w:w="3460" w:type="dxa"/>
            <w:vAlign w:val="bottom"/>
          </w:tcPr>
          <w:p>
            <w:pPr>
              <w:spacing w:after="0"/>
              <w:rPr>
                <w:sz w:val="24"/>
                <w:szCs w:val="24"/>
                <w:color w:val="auto"/>
              </w:rPr>
            </w:pPr>
          </w:p>
        </w:tc>
        <w:tc>
          <w:tcPr>
            <w:tcW w:w="7800" w:type="dxa"/>
            <w:vAlign w:val="bottom"/>
          </w:tcPr>
          <w:p>
            <w:pPr>
              <w:ind w:left="580"/>
              <w:spacing w:after="0"/>
              <w:rPr>
                <w:sz w:val="20"/>
                <w:szCs w:val="20"/>
                <w:color w:val="auto"/>
              </w:rPr>
            </w:pPr>
            <w:r>
              <w:rPr>
                <w:rFonts w:ascii="Arial" w:cs="Arial" w:eastAsia="Arial" w:hAnsi="Arial"/>
                <w:sz w:val="18"/>
                <w:szCs w:val="18"/>
                <w:b w:val="1"/>
                <w:bCs w:val="1"/>
                <w:i w:val="1"/>
                <w:iCs w:val="1"/>
                <w:color w:val="auto"/>
              </w:rPr>
              <w:t>[Balance of Page Intentionally Left Blank]</w:t>
            </w:r>
          </w:p>
        </w:tc>
      </w:tr>
      <w:tr>
        <w:trPr>
          <w:trHeight w:val="574"/>
        </w:trPr>
        <w:tc>
          <w:tcPr>
            <w:tcW w:w="346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AVROBIO,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31750</wp:posOffset>
            </wp:positionV>
            <wp:extent cx="31629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31750</wp:posOffset>
            </wp:positionV>
            <wp:extent cx="31629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31750</wp:posOffset>
            </wp:positionV>
            <wp:extent cx="31629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r>
        <w:rPr>
          <w:rFonts w:ascii="Arial" w:cs="Arial" w:eastAsia="Arial" w:hAnsi="Arial"/>
          <w:sz w:val="18"/>
          <w:szCs w:val="18"/>
          <w:color w:val="auto"/>
        </w:rPr>
        <w:t>, as Agent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r>
        <w:rPr>
          <w:rFonts w:ascii="Arial" w:cs="Arial" w:eastAsia="Arial" w:hAnsi="Arial"/>
          <w:sz w:val="18"/>
          <w:szCs w:val="18"/>
          <w:color w:val="auto"/>
        </w:rPr>
        <w:t>, as Lender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INNOVATION CREDIT FUND VIII, L.P.</w:t>
      </w:r>
      <w:r>
        <w:rPr>
          <w:rFonts w:ascii="Arial" w:cs="Arial" w:eastAsia="Arial" w:hAnsi="Arial"/>
          <w:sz w:val="18"/>
          <w:szCs w:val="18"/>
          <w:color w:val="auto"/>
        </w:rPr>
        <w:t>, as 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SVB Innovation Credit Partners VIII, LLC,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its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31546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69" w:lineRule="exact"/>
        <w:rPr>
          <w:sz w:val="20"/>
          <w:szCs w:val="20"/>
          <w:color w:val="auto"/>
        </w:rPr>
      </w:pPr>
    </w:p>
    <w:p>
      <w:pPr>
        <w:jc w:val="right"/>
        <w:ind w:right="30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Disbursement Letter</w:t>
      </w:r>
      <w:r>
        <w:rPr>
          <w:rFonts w:ascii="Arial" w:cs="Arial" w:eastAsia="Arial" w:hAnsi="Arial"/>
          <w:sz w:val="18"/>
          <w:szCs w:val="18"/>
          <w:b w:val="1"/>
          <w:bCs w:val="1"/>
          <w:color w:val="auto"/>
        </w:rPr>
        <w:t>]</w:t>
      </w:r>
    </w:p>
    <w:p>
      <w:pPr>
        <w:sectPr>
          <w:pgSz w:w="11900" w:h="16838" w:orient="portrait"/>
          <w:cols w:equalWidth="0" w:num="1">
            <w:col w:w="10139"/>
          </w:cols>
          <w:pgMar w:left="320" w:top="827"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00" w:hanging="492"/>
        <w:spacing w:after="0"/>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00" w:hanging="492"/>
        <w:spacing w:after="0"/>
        <w:tabs>
          <w:tab w:leader="none" w:pos="5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September 30, 2021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6" w:lineRule="exact"/>
        <w:rPr>
          <w:sz w:val="20"/>
          <w:szCs w:val="20"/>
          <w:color w:val="auto"/>
        </w:rPr>
      </w:pPr>
    </w:p>
    <w:p>
      <w:pPr>
        <w:ind w:left="880" w:hanging="373"/>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251"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1."/>
      <w:numFmt w:val="decimal"/>
      <w:start w:val="10"/>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1)"/>
      <w:numFmt w:val="upperLetter"/>
      <w:start w:val="1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1)"/>
      <w:numFmt w:val="lowerRoman"/>
      <w:start w:val="4"/>
    </w:lvl>
    <w:lvl w:ilvl="1">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1)"/>
      <w:numFmt w:val="decimal"/>
      <w:start w:val="3"/>
    </w:lvl>
  </w:abstractNum>
  <w:abstractNum w:abstractNumId="44">
    <w:nsid w:val="71EA1109"/>
    <w:multiLevelType w:val="hybridMultilevel"/>
    <w:lvl w:ilvl="0">
      <w:lvlJc w:val="left"/>
      <w:lvlText w:val="*"/>
      <w:numFmt w:val="bullet"/>
      <w:start w:val="1"/>
    </w:lvl>
    <w:lvl w:ilvl="1">
      <w:lvlJc w:val="left"/>
      <w:lvlText w:val="%2"/>
      <w:numFmt w:val="decimal"/>
      <w:start w:val="104"/>
    </w:lvl>
  </w:abstractNum>
  <w:abstractNum w:abstractNumId="45">
    <w:nsid w:val="100F59DC"/>
    <w:multiLevelType w:val="hybridMultilevel"/>
    <w:lvl w:ilvl="0">
      <w:lvlJc w:val="left"/>
      <w:lvlText w:val="1"/>
      <w:numFmt w:val="bullet"/>
      <w:start w:val="1"/>
    </w:lvl>
  </w:abstractNum>
  <w:abstractNum w:abstractNumId="46">
    <w:nsid w:val="7FB7E0AA"/>
    <w:multiLevelType w:val="hybridMultilevel"/>
    <w:lvl w:ilvl="0">
      <w:lvlJc w:val="left"/>
      <w:lvlText w:val="(%1)"/>
      <w:numFmt w:val="lowerLetter"/>
      <w:start w:val="1"/>
    </w:lvl>
  </w:abstractNum>
  <w:abstractNum w:abstractNumId="47">
    <w:nsid w:val="6EB5BD4"/>
    <w:multiLevelType w:val="hybridMultilevel"/>
    <w:lvl w:ilvl="0">
      <w:lvlJc w:val="left"/>
      <w:lvlText w:val="(%1)"/>
      <w:numFmt w:val="lowerLetter"/>
      <w:start w:val="2"/>
    </w:lvl>
  </w:abstractNum>
  <w:abstractNum w:abstractNumId="48">
    <w:nsid w:val="6F6DD9AC"/>
    <w:multiLevelType w:val="hybridMultilevel"/>
    <w:lvl w:ilvl="0">
      <w:lvlJc w:val="left"/>
      <w:lvlText w:val="(%1)"/>
      <w:numFmt w:val="lowerLetter"/>
      <w:start w:val="3"/>
    </w:lvl>
  </w:abstractNum>
  <w:abstractNum w:abstractNumId="49">
    <w:nsid w:val="94211F2"/>
    <w:multiLevelType w:val="hybridMultilevel"/>
    <w:lvl w:ilvl="0">
      <w:lvlJc w:val="left"/>
      <w:lvlText w:val="(%1)"/>
      <w:numFmt w:val="lowerLetter"/>
      <w:start w:val="2"/>
    </w:lvl>
    <w:lvl w:ilvl="1">
      <w:lvlJc w:val="left"/>
      <w:lvlText w:val="(%2)"/>
      <w:numFmt w:val="lowerRoman"/>
      <w:start w:val="1"/>
    </w:lvl>
  </w:abstractNum>
  <w:abstractNum w:abstractNumId="50">
    <w:nsid w:val="885E1B"/>
    <w:multiLevelType w:val="hybridMultilevel"/>
    <w:lvl w:ilvl="0">
      <w:lvlJc w:val="left"/>
      <w:lvlText w:val="(%1)"/>
      <w:numFmt w:val="lowerLetter"/>
      <w:start w:val="1"/>
    </w:lvl>
  </w:abstractNum>
  <w:abstractNum w:abstractNumId="51">
    <w:nsid w:val="76272110"/>
    <w:multiLevelType w:val="hybridMultilevel"/>
    <w:lvl w:ilvl="0">
      <w:lvlJc w:val="left"/>
      <w:lvlText w:val="(%1)"/>
      <w:numFmt w:val="lowerLetter"/>
      <w:start w:val="2"/>
    </w:lvl>
  </w:abstractNum>
  <w:abstractNum w:abstractNumId="52">
    <w:nsid w:val="4C04A8AF"/>
    <w:multiLevelType w:val="hybridMultilevel"/>
    <w:lvl w:ilvl="0">
      <w:lvlJc w:val="left"/>
      <w:lvlText w:val="(%1)"/>
      <w:numFmt w:val="lowerLetter"/>
      <w:start w:val="1"/>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lowerLetter"/>
      <w:start w:val="1"/>
    </w:lvl>
  </w:abstractNum>
  <w:abstractNum w:abstractNumId="55">
    <w:nsid w:val="3222E7CD"/>
    <w:multiLevelType w:val="hybridMultilevel"/>
    <w:lvl w:ilvl="0">
      <w:lvlJc w:val="left"/>
      <w:lvlText w:val="(%1)"/>
      <w:numFmt w:val="lowerLetter"/>
      <w:start w:val="1"/>
    </w:lvl>
  </w:abstractNum>
  <w:abstractNum w:abstractNumId="56">
    <w:nsid w:val="74DE0EE3"/>
    <w:multiLevelType w:val="hybridMultilevel"/>
    <w:lvl w:ilvl="0">
      <w:lvlJc w:val="left"/>
      <w:lvlText w:val="(%1)"/>
      <w:numFmt w:val="lowerLetter"/>
      <w:start w:val="2"/>
    </w:lvl>
  </w:abstractNum>
  <w:abstractNum w:abstractNumId="57">
    <w:nsid w:val="68EBC550"/>
    <w:multiLevelType w:val="hybridMultilevel"/>
    <w:lvl w:ilvl="0">
      <w:lvlJc w:val="left"/>
      <w:lvlText w:val="2"/>
      <w:numFmt w:val="bullet"/>
      <w:start w:val="1"/>
    </w:lvl>
  </w:abstractNum>
  <w:abstractNum w:abstractNumId="58">
    <w:nsid w:val="2DF6D648"/>
    <w:multiLevelType w:val="hybridMultilevel"/>
    <w:lvl w:ilvl="0">
      <w:lvlJc w:val="left"/>
      <w:lvlText w:val="(%1)"/>
      <w:numFmt w:val="lowerLetter"/>
      <w:start w:val="1"/>
    </w:lvl>
  </w:abstractNum>
  <w:abstractNum w:abstractNumId="59">
    <w:nsid w:val="46B7D447"/>
    <w:multiLevelType w:val="hybridMultilevel"/>
    <w:lvl w:ilvl="0">
      <w:lvlJc w:val="left"/>
      <w:lvlText w:val="(%1)"/>
      <w:numFmt w:val="lowerLetter"/>
      <w:start w:val="8"/>
    </w:lvl>
  </w:abstractNum>
  <w:abstractNum w:abstractNumId="60">
    <w:nsid w:val="4A2AC315"/>
    <w:multiLevelType w:val="hybridMultilevel"/>
    <w:lvl w:ilvl="0">
      <w:lvlJc w:val="left"/>
      <w:lvlText w:val="(%1)"/>
      <w:numFmt w:val="lowerLetter"/>
      <w:start w:val="1"/>
    </w:lvl>
  </w:abstractNum>
  <w:abstractNum w:abstractNumId="61">
    <w:nsid w:val="39EE015C"/>
    <w:multiLevelType w:val="hybridMultilevel"/>
    <w:lvl w:ilvl="0">
      <w:lvlJc w:val="left"/>
      <w:lvlText w:val="3"/>
      <w:numFmt w:val="bullet"/>
      <w:start w:val="1"/>
    </w:lvl>
  </w:abstractNum>
  <w:abstractNum w:abstractNumId="62">
    <w:nsid w:val="57FC4FBB"/>
    <w:multiLevelType w:val="hybridMultilevel"/>
    <w:lvl w:ilvl="0">
      <w:lvlJc w:val="left"/>
      <w:lvlText w:val="(%1)"/>
      <w:numFmt w:val="lowerLetter"/>
      <w:start w:val="1"/>
    </w:lvl>
  </w:abstractNum>
  <w:abstractNum w:abstractNumId="63">
    <w:nsid w:val="CC1016F"/>
    <w:multiLevelType w:val="hybridMultilevel"/>
    <w:lvl w:ilvl="0">
      <w:lvlJc w:val="left"/>
      <w:lvlText w:val="(%1)"/>
      <w:numFmt w:val="lowerLetter"/>
      <w:start w:val="2"/>
    </w:lvl>
  </w:abstractNum>
  <w:abstractNum w:abstractNumId="64">
    <w:nsid w:val="43F18422"/>
    <w:multiLevelType w:val="hybridMultilevel"/>
    <w:lvl w:ilvl="0">
      <w:lvlJc w:val="left"/>
      <w:lvlText w:val="4"/>
      <w:numFmt w:val="bullet"/>
      <w:start w:val="1"/>
    </w:lvl>
  </w:abstractNum>
  <w:abstractNum w:abstractNumId="65">
    <w:nsid w:val="60EF0119"/>
    <w:multiLevelType w:val="hybridMultilevel"/>
    <w:lvl w:ilvl="0">
      <w:lvlJc w:val="left"/>
      <w:lvlText w:val="(%1)"/>
      <w:numFmt w:val="lowerLetter"/>
      <w:start w:val="1"/>
    </w:lvl>
  </w:abstractNum>
  <w:abstractNum w:abstractNumId="66">
    <w:nsid w:val="26F324BA"/>
    <w:multiLevelType w:val="hybridMultilevel"/>
    <w:lvl w:ilvl="0">
      <w:lvlJc w:val="left"/>
      <w:lvlText w:val="(%1)"/>
      <w:numFmt w:val="lowerLetter"/>
      <w:start w:val="1"/>
    </w:lvl>
  </w:abstractNum>
  <w:abstractNum w:abstractNumId="67">
    <w:nsid w:val="7F01579B"/>
    <w:multiLevelType w:val="hybridMultilevel"/>
    <w:lvl w:ilvl="0">
      <w:lvlJc w:val="left"/>
      <w:lvlText w:val="(%1)"/>
      <w:numFmt w:val="lowerLetter"/>
      <w:start w:val="1"/>
    </w:lvl>
  </w:abstractNum>
  <w:abstractNum w:abstractNumId="68">
    <w:nsid w:val="49DA307D"/>
    <w:multiLevelType w:val="hybridMultilevel"/>
    <w:lvl w:ilvl="0">
      <w:lvlJc w:val="left"/>
      <w:lvlText w:val="(%1)"/>
      <w:numFmt w:val="lowerLetter"/>
      <w:start w:val="1"/>
    </w:lvl>
  </w:abstractNum>
  <w:abstractNum w:abstractNumId="69">
    <w:nsid w:val="7055A5F5"/>
    <w:multiLevelType w:val="hybridMultilevel"/>
    <w:lvl w:ilvl="0">
      <w:lvlJc w:val="left"/>
      <w:lvlText w:val="5"/>
      <w:numFmt w:val="bullet"/>
      <w:start w:val="1"/>
    </w:lvl>
  </w:abstractNum>
  <w:abstractNum w:abstractNumId="70">
    <w:nsid w:val="5FB8370B"/>
    <w:multiLevelType w:val="hybridMultilevel"/>
    <w:lvl w:ilvl="0">
      <w:lvlJc w:val="left"/>
      <w:lvlText w:val="(%1)"/>
      <w:numFmt w:val="lowerLetter"/>
      <w:start w:val="1"/>
    </w:lvl>
  </w:abstractNum>
  <w:abstractNum w:abstractNumId="71">
    <w:nsid w:val="50801EE1"/>
    <w:multiLevelType w:val="hybridMultilevel"/>
    <w:lvl w:ilvl="0">
      <w:lvlJc w:val="left"/>
      <w:lvlText w:val="(%1)"/>
      <w:numFmt w:val="lowerLetter"/>
      <w:start w:val="2"/>
    </w:lvl>
  </w:abstractNum>
  <w:abstractNum w:abstractNumId="72">
    <w:nsid w:val="488AC1A"/>
    <w:multiLevelType w:val="hybridMultilevel"/>
    <w:lvl w:ilvl="0">
      <w:lvlJc w:val="left"/>
      <w:lvlText w:val="(%1)"/>
      <w:numFmt w:val="lowerLetter"/>
      <w:start w:val="1"/>
    </w:lvl>
  </w:abstractNum>
  <w:abstractNum w:abstractNumId="73">
    <w:nsid w:val="5FB8011C"/>
    <w:multiLevelType w:val="hybridMultilevel"/>
    <w:lvl w:ilvl="0">
      <w:lvlJc w:val="left"/>
      <w:lvlText w:val="(%1)"/>
      <w:numFmt w:val="lowerLetter"/>
      <w:start w:val="7"/>
    </w:lvl>
  </w:abstractNum>
  <w:abstractNum w:abstractNumId="74">
    <w:nsid w:val="6AA78F7F"/>
    <w:multiLevelType w:val="hybridMultilevel"/>
    <w:lvl w:ilvl="0">
      <w:lvlJc w:val="left"/>
      <w:lvlText w:val="(%1)"/>
      <w:numFmt w:val="lowerLetter"/>
      <w:start w:val="1"/>
    </w:lvl>
  </w:abstractNum>
  <w:abstractNum w:abstractNumId="75">
    <w:nsid w:val="7672BD23"/>
    <w:multiLevelType w:val="hybridMultilevel"/>
    <w:lvl w:ilvl="0">
      <w:lvlJc w:val="left"/>
      <w:lvlText w:val="(%1)"/>
      <w:numFmt w:val="lowerLetter"/>
      <w:start w:val="1"/>
    </w:lvl>
  </w:abstractNum>
  <w:abstractNum w:abstractNumId="76">
    <w:nsid w:val="6FC75AF8"/>
    <w:multiLevelType w:val="hybridMultilevel"/>
    <w:lvl w:ilvl="0">
      <w:lvlJc w:val="left"/>
      <w:lvlText w:val="(%1)"/>
      <w:numFmt w:val="lowerLetter"/>
      <w:start w:val="3"/>
    </w:lvl>
  </w:abstractNum>
  <w:abstractNum w:abstractNumId="77">
    <w:nsid w:val="6A5F7029"/>
    <w:multiLevelType w:val="hybridMultilevel"/>
    <w:lvl w:ilvl="0">
      <w:lvlJc w:val="left"/>
      <w:lvlText w:val="(%1)"/>
      <w:numFmt w:val="lowerLetter"/>
      <w:start w:val="1"/>
    </w:lvl>
  </w:abstractNum>
  <w:abstractNum w:abstractNumId="78">
    <w:nsid w:val="7D5E18F8"/>
    <w:multiLevelType w:val="hybridMultilevel"/>
    <w:lvl w:ilvl="0">
      <w:lvlJc w:val="left"/>
      <w:lvlText w:val="(%1)"/>
      <w:numFmt w:val="lowerLetter"/>
      <w:start w:val="1"/>
    </w:lvl>
  </w:abstractNum>
  <w:abstractNum w:abstractNumId="79">
    <w:nsid w:val="5F3534A4"/>
    <w:multiLevelType w:val="hybridMultilevel"/>
    <w:lvl w:ilvl="0">
      <w:lvlJc w:val="left"/>
      <w:lvlText w:val="(%1)"/>
      <w:numFmt w:val="lowerLetter"/>
      <w:start w:val="2"/>
    </w:lvl>
  </w:abstractNum>
  <w:abstractNum w:abstractNumId="80">
    <w:nsid w:val="73A1821B"/>
    <w:multiLevelType w:val="hybridMultilevel"/>
    <w:lvl w:ilvl="0">
      <w:lvlJc w:val="left"/>
      <w:lvlText w:val="(%1)"/>
      <w:numFmt w:val="lowerLetter"/>
      <w:start w:val="1"/>
    </w:lvl>
  </w:abstractNum>
  <w:abstractNum w:abstractNumId="81">
    <w:nsid w:val="7DE67713"/>
    <w:multiLevelType w:val="hybridMultilevel"/>
    <w:lvl w:ilvl="0">
      <w:lvlJc w:val="left"/>
      <w:lvlText w:val="6"/>
      <w:numFmt w:val="bullet"/>
      <w:start w:val="1"/>
    </w:lvl>
  </w:abstractNum>
  <w:abstractNum w:abstractNumId="82">
    <w:nsid w:val="555C55B5"/>
    <w:multiLevelType w:val="hybridMultilevel"/>
    <w:lvl w:ilvl="0">
      <w:lvlJc w:val="left"/>
      <w:lvlText w:val="(%1)"/>
      <w:numFmt w:val="lowerLetter"/>
      <w:start w:val="1"/>
    </w:lvl>
  </w:abstractNum>
  <w:abstractNum w:abstractNumId="83">
    <w:nsid w:val="3FA62ACA"/>
    <w:multiLevelType w:val="hybridMultilevel"/>
    <w:lvl w:ilvl="0">
      <w:lvlJc w:val="left"/>
      <w:lvlText w:val="(%1)"/>
      <w:numFmt w:val="lowerLetter"/>
      <w:start w:val="2"/>
    </w:lvl>
  </w:abstractNum>
  <w:abstractNum w:abstractNumId="84">
    <w:nsid w:val="14FCE74E"/>
    <w:multiLevelType w:val="hybridMultilevel"/>
    <w:lvl w:ilvl="0">
      <w:lvlJc w:val="left"/>
      <w:lvlText w:val="7"/>
      <w:numFmt w:val="bullet"/>
      <w:start w:val="1"/>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1"/>
    </w:lvl>
    <w:lvl w:ilvl="1">
      <w:lvlJc w:val="left"/>
      <w:lvlText w:val="(%2)"/>
      <w:numFmt w:val="lowerLetter"/>
      <w:start w:val="1"/>
    </w:lvl>
  </w:abstractNum>
  <w:abstractNum w:abstractNumId="87">
    <w:nsid w:val="9DAF632"/>
    <w:multiLevelType w:val="hybridMultilevel"/>
    <w:lvl w:ilvl="0">
      <w:lvlJc w:val="left"/>
      <w:lvlText w:val="(%1)"/>
      <w:numFmt w:val="lowerLetter"/>
      <w:start w:val="35"/>
    </w:lvl>
    <w:lvl w:ilvl="1">
      <w:lvlJc w:val="left"/>
      <w:lvlText w:val="(%2)"/>
      <w:numFmt w:val="lowerLetter"/>
      <w:start w:val="2"/>
    </w:lvl>
  </w:abstractNum>
  <w:abstractNum w:abstractNumId="88">
    <w:nsid w:val="53299938"/>
    <w:multiLevelType w:val="hybridMultilevel"/>
    <w:lvl w:ilvl="0">
      <w:lvlJc w:val="left"/>
      <w:lvlText w:val="8"/>
      <w:numFmt w:val="bullet"/>
      <w:start w:val="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8"/>
    </w:lvl>
  </w:abstractNum>
  <w:abstractNum w:abstractNumId="91">
    <w:nsid w:val="1D545C4D"/>
    <w:multiLevelType w:val="hybridMultilevel"/>
    <w:lvl w:ilvl="0">
      <w:lvlJc w:val="left"/>
      <w:lvlText w:val="9"/>
      <w:numFmt w:val="bullet"/>
      <w:start w:val="1"/>
    </w:lvl>
  </w:abstractNum>
  <w:abstractNum w:abstractNumId="92">
    <w:nsid w:val="59ADEA3D"/>
    <w:multiLevelType w:val="hybridMultilevel"/>
    <w:lvl w:ilvl="0">
      <w:lvlJc w:val="left"/>
      <w:lvlText w:val="(%1)"/>
      <w:numFmt w:val="lowerLetter"/>
      <w:start w:val="1"/>
    </w:lvl>
  </w:abstractNum>
  <w:abstractNum w:abstractNumId="93">
    <w:nsid w:val="288F1A34"/>
    <w:multiLevelType w:val="hybridMultilevel"/>
    <w:lvl w:ilvl="0">
      <w:lvlJc w:val="left"/>
      <w:lvlText w:val="(%1)"/>
      <w:numFmt w:val="lowerLetter"/>
      <w:start w:val="1"/>
    </w:lvl>
  </w:abstractNum>
  <w:abstractNum w:abstractNumId="94">
    <w:nsid w:val="2A155DBC"/>
    <w:multiLevelType w:val="hybridMultilevel"/>
    <w:lvl w:ilvl="0">
      <w:lvlJc w:val="left"/>
      <w:lvlText w:val="(%1)"/>
      <w:numFmt w:val="lowerLetter"/>
      <w:start w:val="3"/>
    </w:lvl>
  </w:abstractNum>
  <w:abstractNum w:abstractNumId="95">
    <w:nsid w:val="1D9F6E5F"/>
    <w:multiLevelType w:val="hybridMultilevel"/>
    <w:lvl w:ilvl="0">
      <w:lvlJc w:val="left"/>
      <w:lvlText w:val="(%1)"/>
      <w:numFmt w:val="lowerRoman"/>
      <w:start w:val="2"/>
    </w:lvl>
  </w:abstractNum>
  <w:abstractNum w:abstractNumId="96">
    <w:nsid w:val="97E1B4E"/>
    <w:multiLevelType w:val="hybridMultilevel"/>
    <w:lvl w:ilvl="0">
      <w:lvlJc w:val="left"/>
      <w:lvlText w:val="(%1)"/>
      <w:numFmt w:val="lowerLetter"/>
      <w:start w:val="1"/>
    </w:lvl>
    <w:lvl w:ilvl="1">
      <w:lvlJc w:val="left"/>
      <w:lvlText w:val="(%2)"/>
      <w:numFmt w:val="upperLetter"/>
      <w:start w:val="1"/>
    </w:lvl>
  </w:abstractNum>
  <w:abstractNum w:abstractNumId="97">
    <w:nsid w:val="51088277"/>
    <w:multiLevelType w:val="hybridMultilevel"/>
    <w:lvl w:ilvl="0">
      <w:lvlJc w:val="left"/>
      <w:lvlText w:val="(%1)"/>
      <w:numFmt w:val="lowerLetter"/>
      <w:start w:val="3"/>
    </w:lvl>
  </w:abstractNum>
  <w:abstractNum w:abstractNumId="98">
    <w:nsid w:val="1CA0C5FA"/>
    <w:multiLevelType w:val="hybridMultilevel"/>
    <w:lvl w:ilvl="0">
      <w:lvlJc w:val="left"/>
      <w:lvlText w:val="%1"/>
      <w:numFmt w:val="decimal"/>
      <w:start w:val="10"/>
    </w:lvl>
  </w:abstractNum>
  <w:abstractNum w:abstractNumId="99">
    <w:nsid w:val="53584BCB"/>
    <w:multiLevelType w:val="hybridMultilevel"/>
    <w:lvl w:ilvl="0">
      <w:lvlJc w:val="left"/>
      <w:lvlText w:val="%1"/>
      <w:numFmt w:val="decimal"/>
      <w:start w:val="11"/>
    </w:lvl>
  </w:abstractNum>
  <w:abstractNum w:abstractNumId="100">
    <w:nsid w:val="415E286C"/>
    <w:multiLevelType w:val="hybridMultilevel"/>
    <w:lvl w:ilvl="0">
      <w:lvlJc w:val="left"/>
      <w:lvlText w:val="%1"/>
      <w:numFmt w:val="decimal"/>
      <w:start w:val="12"/>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decimal"/>
      <w:start w:val="13"/>
    </w:lvl>
  </w:abstractNum>
  <w:abstractNum w:abstractNumId="103">
    <w:nsid w:val="45E6D486"/>
    <w:multiLevelType w:val="hybridMultilevel"/>
    <w:lvl w:ilvl="0">
      <w:lvlJc w:val="left"/>
      <w:lvlText w:val="(%1)"/>
      <w:numFmt w:val="lowerLetter"/>
      <w:start w:val="1"/>
    </w:lvl>
  </w:abstractNum>
  <w:abstractNum w:abstractNumId="104">
    <w:nsid w:val="5C10FE21"/>
    <w:multiLevelType w:val="hybridMultilevel"/>
    <w:lvl w:ilvl="0">
      <w:lvlJc w:val="left"/>
      <w:lvlText w:val="(%1)"/>
      <w:numFmt w:val="lowerLetter"/>
      <w:start w:val="1"/>
    </w:lvl>
  </w:abstractNum>
  <w:abstractNum w:abstractNumId="105">
    <w:nsid w:val="E7FFA2B"/>
    <w:multiLevelType w:val="hybridMultilevel"/>
    <w:lvl w:ilvl="0">
      <w:lvlJc w:val="left"/>
      <w:lvlText w:val="(%1)"/>
      <w:numFmt w:val="lowerLetter"/>
      <w:start w:val="6"/>
    </w:lvl>
  </w:abstractNum>
  <w:abstractNum w:abstractNumId="106">
    <w:nsid w:val="3C5991AA"/>
    <w:multiLevelType w:val="hybridMultilevel"/>
    <w:lvl w:ilvl="0">
      <w:lvlJc w:val="left"/>
      <w:lvlText w:val="(%1)"/>
      <w:numFmt w:val="lowerLetter"/>
      <w:start w:val="4"/>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lowerLetter"/>
      <w:start w:val="3"/>
    </w:lvl>
  </w:abstractNum>
  <w:abstractNum w:abstractNumId="109">
    <w:nsid w:val="39B7AAA2"/>
    <w:multiLevelType w:val="hybridMultilevel"/>
    <w:lvl w:ilvl="0">
      <w:lvlJc w:val="left"/>
      <w:lvlText w:val="(%1)"/>
      <w:numFmt w:val="lowerLetter"/>
      <w:start w:val="1"/>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lowerLetter"/>
      <w:start w:val="2"/>
    </w:lvl>
  </w:abstractNum>
  <w:abstractNum w:abstractNumId="112">
    <w:nsid w:val="379E21B5"/>
    <w:multiLevelType w:val="hybridMultilevel"/>
    <w:lvl w:ilvl="0">
      <w:lvlJc w:val="left"/>
      <w:lvlText w:val="(%1)"/>
      <w:numFmt w:val="lowerLetter"/>
      <w:start w:val="6"/>
    </w:lvl>
  </w:abstractNum>
  <w:abstractNum w:abstractNumId="113">
    <w:nsid w:val="69E373"/>
    <w:multiLevelType w:val="hybridMultilevel"/>
    <w:lvl w:ilvl="0">
      <w:lvlJc w:val="left"/>
      <w:lvlText w:val="(%1)"/>
      <w:numFmt w:val="lowerLetter"/>
      <w:start w:val="1"/>
    </w:lvl>
  </w:abstractNum>
  <w:abstractNum w:abstractNumId="114">
    <w:nsid w:val="2C27173B"/>
    <w:multiLevelType w:val="hybridMultilevel"/>
    <w:lvl w:ilvl="0">
      <w:lvlJc w:val="left"/>
      <w:lvlText w:val="(%1)"/>
      <w:numFmt w:val="lowerLetter"/>
      <w:start w:val="8"/>
    </w:lvl>
  </w:abstractNum>
  <w:abstractNum w:abstractNumId="115">
    <w:nsid w:val="4C9B0904"/>
    <w:multiLevelType w:val="hybridMultilevel"/>
    <w:lvl w:ilvl="0">
      <w:lvlJc w:val="left"/>
      <w:lvlText w:val="(%1)"/>
      <w:numFmt w:val="lowerLetter"/>
      <w:start w:val="1"/>
    </w:lvl>
  </w:abstractNum>
  <w:abstractNum w:abstractNumId="116">
    <w:nsid w:val="6AA7B75C"/>
    <w:multiLevelType w:val="hybridMultilevel"/>
    <w:lvl w:ilvl="0">
      <w:lvlJc w:val="left"/>
      <w:lvlText w:val="(%1)"/>
      <w:numFmt w:val="lowerLetter"/>
      <w:start w:val="3"/>
    </w:lvl>
    <w:lvl w:ilvl="1">
      <w:lvlJc w:val="left"/>
      <w:lvlText w:val="%2."/>
      <w:numFmt w:val="decimal"/>
      <w:start w:val="1"/>
    </w:lvl>
  </w:abstractNum>
  <w:abstractNum w:abstractNumId="117">
    <w:nsid w:val="1DF029D3"/>
    <w:multiLevelType w:val="hybridMultilevel"/>
    <w:lvl w:ilvl="0">
      <w:lvlJc w:val="left"/>
      <w:lvlText w:val="%1."/>
      <w:numFmt w:val="decimal"/>
      <w:start w:val="7"/>
    </w:lvl>
  </w:abstractNum>
  <w:abstractNum w:abstractNumId="118">
    <w:nsid w:val="5675FF36"/>
    <w:multiLevelType w:val="hybridMultilevel"/>
    <w:lvl w:ilvl="0">
      <w:lvlJc w:val="left"/>
      <w:lvlText w:val="%1."/>
      <w:numFmt w:val="decimal"/>
      <w:start w:val="8"/>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lvl w:ilvl="1">
      <w:lvlJc w:val="left"/>
      <w:lvlText w:val="(%2)"/>
      <w:numFmt w:val="lowerLetter"/>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04" Type="http://schemas.openxmlformats.org/officeDocument/2006/relationships/hyperlink" Target="http://www.sec.gov/Archives/edgar/data/1681087/000119312518202460/d153924dex31.htm" TargetMode="External"/><Relationship Id="rId105" Type="http://schemas.openxmlformats.org/officeDocument/2006/relationships/hyperlink" Target="http://www.sec.gov/Archives/edgar/data/1681087/000156459020051456/avro-ex32_90.htm" TargetMode="External"/><Relationship Id="rId106" Type="http://schemas.openxmlformats.org/officeDocument/2006/relationships/hyperlink" Target="http://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2021-11-04T16:12:13Z</dcterms:created>
  <dcterms:modified xsi:type="dcterms:W3CDTF">2021-11-04T16:12:13Z</dcterms:modified>
</cp:coreProperties>
</file>