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522605</wp:posOffset>
            </wp:positionH>
            <wp:positionV relativeFrom="page">
              <wp:posOffset>160655</wp:posOffset>
            </wp:positionV>
            <wp:extent cx="6511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1290" cy="8255"/>
                    </a:xfrm>
                    <a:prstGeom prst="rect">
                      <a:avLst/>
                    </a:prstGeom>
                    <a:noFill/>
                  </pic:spPr>
                </pic:pic>
              </a:graphicData>
            </a:graphic>
          </wp:anchor>
        </w:drawing>
        <w:drawing>
          <wp:anchor simplePos="0" relativeHeight="251657728" behindDoc="1" locked="0" layoutInCell="0" allowOverlap="1">
            <wp:simplePos x="0" y="0"/>
            <wp:positionH relativeFrom="page">
              <wp:posOffset>522605</wp:posOffset>
            </wp:positionH>
            <wp:positionV relativeFrom="page">
              <wp:posOffset>200660</wp:posOffset>
            </wp:positionV>
            <wp:extent cx="65112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1290" cy="8255"/>
                    </a:xfrm>
                    <a:prstGeom prst="rect">
                      <a:avLst/>
                    </a:prstGeom>
                    <a:noFill/>
                  </pic:spPr>
                </pic:pic>
              </a:graphicData>
            </a:graphic>
          </wp:anchor>
        </w:drawing>
        <w:t>UNITED STATES</w:t>
      </w:r>
    </w:p>
    <w:p>
      <w:pPr>
        <w:spacing w:after="0" w:line="30"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2573655</wp:posOffset>
            </wp:positionH>
            <wp:positionV relativeFrom="paragraph">
              <wp:posOffset>207010</wp:posOffset>
            </wp:positionV>
            <wp:extent cx="1364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2573655</wp:posOffset>
            </wp:positionH>
            <wp:positionV relativeFrom="paragraph">
              <wp:posOffset>240030</wp:posOffset>
            </wp:positionV>
            <wp:extent cx="1364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8"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71"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2573655</wp:posOffset>
            </wp:positionH>
            <wp:positionV relativeFrom="paragraph">
              <wp:posOffset>223520</wp:posOffset>
            </wp:positionV>
            <wp:extent cx="1364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40"/>
          <w:szCs w:val="40"/>
          <w:b w:val="1"/>
          <w:bCs w:val="1"/>
          <w:color w:val="auto"/>
        </w:rPr>
        <w:t>AVROBIO, Inc.</w:t>
      </w:r>
    </w:p>
    <w:p>
      <w:pPr>
        <w:spacing w:after="0" w:line="54"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2573655</wp:posOffset>
            </wp:positionH>
            <wp:positionV relativeFrom="paragraph">
              <wp:posOffset>210185</wp:posOffset>
            </wp:positionV>
            <wp:extent cx="1364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ectPr>
          <w:pgSz w:w="11900" w:h="16838" w:orient="portrait"/>
          <w:cols w:equalWidth="0" w:num="1">
            <w:col w:w="10263"/>
          </w:cols>
          <w:pgMar w:left="817" w:top="421" w:right="819" w:bottom="1440" w:gutter="0" w:footer="0" w:header="0"/>
        </w:sectPr>
      </w:pPr>
    </w:p>
    <w:p>
      <w:pPr>
        <w:spacing w:after="0" w:line="200" w:lineRule="exact"/>
        <w:rPr>
          <w:sz w:val="24"/>
          <w:szCs w:val="24"/>
          <w:color w:val="auto"/>
        </w:rPr>
      </w:pPr>
    </w:p>
    <w:p>
      <w:pPr>
        <w:spacing w:after="0" w:line="387" w:lineRule="exact"/>
        <w:rPr>
          <w:sz w:val="24"/>
          <w:szCs w:val="24"/>
          <w:color w:val="auto"/>
        </w:rPr>
      </w:pPr>
    </w:p>
    <w:p>
      <w:pPr>
        <w:ind w:left="1403"/>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81-0710585</w:t>
      </w:r>
    </w:p>
    <w:p>
      <w:pPr>
        <w:spacing w:after="0" w:line="20" w:lineRule="exact"/>
        <w:rPr>
          <w:sz w:val="24"/>
          <w:szCs w:val="24"/>
          <w:color w:val="auto"/>
        </w:rPr>
      </w:pPr>
    </w:p>
    <w:p>
      <w:pPr>
        <w:sectPr>
          <w:pgSz w:w="11900" w:h="16838" w:orient="portrait"/>
          <w:cols w:equalWidth="0" w:num="3">
            <w:col w:w="4143" w:space="720"/>
            <w:col w:w="2620" w:space="720"/>
            <w:col w:w="2060"/>
          </w:cols>
          <w:pgMar w:left="817" w:top="421" w:right="819" w:bottom="1440" w:gutter="0" w:footer="0" w:header="0"/>
          <w:type w:val="continuous"/>
        </w:sectPr>
      </w:pPr>
    </w:p>
    <w:p>
      <w:pPr>
        <w:jc w:val="center"/>
        <w:ind w:right="637"/>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p>
      <w:pPr>
        <w:jc w:val="center"/>
        <w:ind w:right="637"/>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3"/>
          <w:szCs w:val="13"/>
          <w:b w:val="1"/>
          <w:bCs w:val="1"/>
          <w:color w:val="auto"/>
        </w:rPr>
        <w:t>(Commission</w:t>
      </w:r>
    </w:p>
    <w:p>
      <w:pPr>
        <w:spacing w:after="0"/>
        <w:rPr>
          <w:sz w:val="20"/>
          <w:szCs w:val="20"/>
          <w:color w:val="auto"/>
        </w:rPr>
      </w:pPr>
      <w:r>
        <w:rPr>
          <w:rFonts w:ascii="Times New Roman" w:cs="Times New Roman" w:eastAsia="Times New Roman" w:hAnsi="Times New Roman"/>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88" w:lineRule="exact"/>
        <w:rPr>
          <w:sz w:val="24"/>
          <w:szCs w:val="24"/>
          <w:color w:val="auto"/>
        </w:rPr>
      </w:pPr>
    </w:p>
    <w:p>
      <w:pPr>
        <w:sectPr>
          <w:pgSz w:w="11900" w:h="16838" w:orient="portrait"/>
          <w:cols w:equalWidth="0" w:num="3">
            <w:col w:w="4123" w:space="720"/>
            <w:col w:w="2520" w:space="720"/>
            <w:col w:w="2180"/>
          </w:cols>
          <w:pgMar w:left="817" w:top="421" w:right="819" w:bottom="1440" w:gutter="0" w:footer="0" w:header="0"/>
          <w:type w:val="continuous"/>
        </w:sectPr>
      </w:pPr>
    </w:p>
    <w:p>
      <w:pPr>
        <w:jc w:val="center"/>
        <w:ind w:right="-2"/>
        <w:spacing w:after="0"/>
        <w:rPr>
          <w:sz w:val="20"/>
          <w:szCs w:val="20"/>
          <w:color w:val="auto"/>
        </w:rPr>
      </w:pPr>
      <w:r>
        <w:rPr>
          <w:rFonts w:ascii="Times New Roman" w:cs="Times New Roman" w:eastAsia="Times New Roman" w:hAnsi="Times New Roman"/>
          <w:sz w:val="17"/>
          <w:szCs w:val="17"/>
          <w:b w:val="1"/>
          <w:bCs w:val="1"/>
          <w:color w:val="auto"/>
        </w:rPr>
        <w:t>One Broadway</w:t>
      </w:r>
    </w:p>
    <w:p>
      <w:pPr>
        <w:spacing w:after="0" w:line="26"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7"/>
          <w:szCs w:val="17"/>
          <w:b w:val="1"/>
          <w:bCs w:val="1"/>
          <w:color w:val="auto"/>
        </w:rPr>
        <w:t>14</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7"/>
          <w:szCs w:val="17"/>
          <w:b w:val="1"/>
          <w:bCs w:val="1"/>
          <w:color w:val="auto"/>
        </w:rPr>
        <w:t xml:space="preserve"> Floor</w:t>
      </w:r>
    </w:p>
    <w:p>
      <w:pPr>
        <w:spacing w:after="0" w:line="5"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7"/>
          <w:szCs w:val="17"/>
          <w:b w:val="1"/>
          <w:bCs w:val="1"/>
          <w:color w:val="auto"/>
        </w:rPr>
        <w:t>Cambridge, MA 02142</w:t>
      </w: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including zip code)</w:t>
      </w:r>
    </w:p>
    <w:p>
      <w:pPr>
        <w:spacing w:after="0" w:line="176"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7"/>
          <w:szCs w:val="17"/>
          <w:b w:val="1"/>
          <w:bCs w:val="1"/>
          <w:color w:val="auto"/>
        </w:rPr>
        <w:t>(617) 914-8420</w:t>
      </w:r>
    </w:p>
    <w:p>
      <w:pPr>
        <w:spacing w:after="0" w:line="20"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76"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0"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2573655</wp:posOffset>
            </wp:positionH>
            <wp:positionV relativeFrom="paragraph">
              <wp:posOffset>204470</wp:posOffset>
            </wp:positionV>
            <wp:extent cx="1364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ectPr>
          <w:pgSz w:w="11900" w:h="16838" w:orient="portrait"/>
          <w:cols w:equalWidth="0" w:num="1">
            <w:col w:w="10263"/>
          </w:cols>
          <w:pgMar w:left="817" w:top="421" w:right="819" w:bottom="1440" w:gutter="0" w:footer="0" w:header="0"/>
          <w:type w:val="continuous"/>
        </w:sectPr>
      </w:pPr>
    </w:p>
    <w:p>
      <w:pPr>
        <w:spacing w:after="0" w:line="200" w:lineRule="exact"/>
        <w:rPr>
          <w:sz w:val="24"/>
          <w:szCs w:val="24"/>
          <w:color w:val="auto"/>
        </w:rPr>
      </w:pPr>
    </w:p>
    <w:p>
      <w:pPr>
        <w:spacing w:after="0" w:line="319" w:lineRule="exact"/>
        <w:rPr>
          <w:sz w:val="24"/>
          <w:szCs w:val="24"/>
          <w:color w:val="auto"/>
        </w:rPr>
      </w:pPr>
    </w:p>
    <w:p>
      <w:pPr>
        <w:ind w:left="3" w:right="440"/>
        <w:spacing w:after="0" w:line="273"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403" w:hanging="403"/>
        <w:spacing w:after="0"/>
        <w:tabs>
          <w:tab w:leader="none" w:pos="403"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19" w:lineRule="exact"/>
        <w:rPr>
          <w:sz w:val="24"/>
          <w:szCs w:val="24"/>
          <w:color w:val="auto"/>
        </w:rPr>
      </w:pPr>
    </w:p>
    <w:p>
      <w:pPr>
        <w:ind w:left="403" w:hanging="403"/>
        <w:spacing w:after="0"/>
        <w:tabs>
          <w:tab w:leader="none" w:pos="403"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18" w:lineRule="exact"/>
        <w:rPr>
          <w:rFonts w:ascii="MS PGothic" w:cs="MS PGothic" w:eastAsia="MS PGothic" w:hAnsi="MS PGothic"/>
          <w:sz w:val="17"/>
          <w:szCs w:val="17"/>
          <w:color w:val="auto"/>
        </w:rPr>
      </w:pPr>
    </w:p>
    <w:p>
      <w:pPr>
        <w:ind w:left="403" w:hanging="403"/>
        <w:spacing w:after="0"/>
        <w:tabs>
          <w:tab w:leader="none" w:pos="403"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18" w:lineRule="exact"/>
        <w:rPr>
          <w:rFonts w:ascii="MS PGothic" w:cs="MS PGothic" w:eastAsia="MS PGothic" w:hAnsi="MS PGothic"/>
          <w:sz w:val="17"/>
          <w:szCs w:val="17"/>
          <w:color w:val="auto"/>
        </w:rPr>
      </w:pPr>
    </w:p>
    <w:p>
      <w:pPr>
        <w:ind w:left="403" w:hanging="403"/>
        <w:spacing w:after="0"/>
        <w:tabs>
          <w:tab w:leader="none" w:pos="403"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7" w:lineRule="exact"/>
        <w:rPr>
          <w:sz w:val="24"/>
          <w:szCs w:val="24"/>
          <w:color w:val="auto"/>
        </w:rPr>
      </w:pPr>
    </w:p>
    <w:p>
      <w:pPr>
        <w:ind w:left="3"/>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13" w:lineRule="exact"/>
        <w:rPr>
          <w:sz w:val="24"/>
          <w:szCs w:val="24"/>
          <w:color w:val="auto"/>
        </w:rPr>
      </w:pPr>
    </w:p>
    <w:tbl>
      <w:tblPr>
        <w:tblLayout w:type="fixed"/>
        <w:tblInd w:w="3" w:type="dxa"/>
        <w:tblCellMar>
          <w:top w:w="0" w:type="dxa"/>
          <w:left w:w="0" w:type="dxa"/>
          <w:bottom w:w="0" w:type="dxa"/>
          <w:right w:w="0" w:type="dxa"/>
        </w:tblCellMar>
      </w:tblPr>
      <w:tr>
        <w:trPr>
          <w:trHeight w:val="149"/>
        </w:trPr>
        <w:tc>
          <w:tcPr>
            <w:tcW w:w="3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3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w:t>
            </w:r>
          </w:p>
        </w:tc>
        <w:tc>
          <w:tcPr>
            <w:tcW w:w="0" w:type="dxa"/>
            <w:vAlign w:val="bottom"/>
          </w:tcPr>
          <w:p>
            <w:pPr>
              <w:spacing w:after="0"/>
              <w:rPr>
                <w:sz w:val="1"/>
                <w:szCs w:val="1"/>
                <w:color w:val="auto"/>
              </w:rPr>
            </w:pPr>
          </w:p>
        </w:tc>
      </w:tr>
      <w:tr>
        <w:trPr>
          <w:trHeight w:val="175"/>
        </w:trPr>
        <w:tc>
          <w:tcPr>
            <w:tcW w:w="3600" w:type="dxa"/>
            <w:vAlign w:val="bottom"/>
            <w:gridSpan w:val="2"/>
            <w:vMerge w:val="continue"/>
          </w:tcPr>
          <w:p>
            <w:pPr>
              <w:spacing w:after="0"/>
              <w:rPr>
                <w:sz w:val="15"/>
                <w:szCs w:val="15"/>
                <w:color w:val="auto"/>
              </w:rPr>
            </w:pPr>
          </w:p>
        </w:tc>
        <w:tc>
          <w:tcPr>
            <w:tcW w:w="3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on which registered</w:t>
            </w:r>
          </w:p>
        </w:tc>
        <w:tc>
          <w:tcPr>
            <w:tcW w:w="0" w:type="dxa"/>
            <w:vAlign w:val="bottom"/>
          </w:tcPr>
          <w:p>
            <w:pPr>
              <w:spacing w:after="0"/>
              <w:rPr>
                <w:sz w:val="1"/>
                <w:szCs w:val="1"/>
                <w:color w:val="auto"/>
              </w:rPr>
            </w:pPr>
          </w:p>
        </w:tc>
      </w:tr>
      <w:tr>
        <w:trPr>
          <w:trHeight w:val="210"/>
        </w:trPr>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Common Stock, $0.0001 par value per share</w:t>
            </w:r>
          </w:p>
        </w:tc>
        <w:tc>
          <w:tcPr>
            <w:tcW w:w="120" w:type="dxa"/>
            <w:vAlign w:val="bottom"/>
          </w:tcPr>
          <w:p>
            <w:pPr>
              <w:spacing w:after="0"/>
              <w:rPr>
                <w:sz w:val="18"/>
                <w:szCs w:val="18"/>
                <w:color w:val="auto"/>
              </w:rPr>
            </w:pPr>
          </w:p>
        </w:tc>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AVRO</w:t>
            </w:r>
          </w:p>
        </w:tc>
        <w:tc>
          <w:tcPr>
            <w:tcW w:w="100" w:type="dxa"/>
            <w:vAlign w:val="bottom"/>
          </w:tcPr>
          <w:p>
            <w:pPr>
              <w:spacing w:after="0"/>
              <w:rPr>
                <w:sz w:val="18"/>
                <w:szCs w:val="18"/>
                <w:color w:val="auto"/>
              </w:rPr>
            </w:pPr>
          </w:p>
        </w:tc>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Nasdaq Global Select Market</w:t>
            </w:r>
          </w:p>
        </w:tc>
        <w:tc>
          <w:tcPr>
            <w:tcW w:w="0" w:type="dxa"/>
            <w:vAlign w:val="bottom"/>
          </w:tcPr>
          <w:p>
            <w:pPr>
              <w:spacing w:after="0"/>
              <w:rPr>
                <w:sz w:val="1"/>
                <w:szCs w:val="1"/>
                <w:color w:val="auto"/>
              </w:rPr>
            </w:pPr>
          </w:p>
        </w:tc>
      </w:tr>
    </w:tbl>
    <w:p>
      <w:pPr>
        <w:spacing w:after="0" w:line="168" w:lineRule="exact"/>
        <w:rPr>
          <w:sz w:val="24"/>
          <w:szCs w:val="24"/>
          <w:color w:val="auto"/>
        </w:rPr>
      </w:pPr>
    </w:p>
    <w:p>
      <w:pPr>
        <w:ind w:left="3" w:right="24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0" w:lineRule="exact"/>
        <w:rPr>
          <w:sz w:val="24"/>
          <w:szCs w:val="24"/>
          <w:color w:val="auto"/>
        </w:rPr>
      </w:pPr>
    </w:p>
    <w:p>
      <w:pPr>
        <w:ind w:left="3"/>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45" w:lineRule="exact"/>
        <w:rPr>
          <w:sz w:val="24"/>
          <w:szCs w:val="24"/>
          <w:color w:val="auto"/>
        </w:rPr>
      </w:pPr>
    </w:p>
    <w:p>
      <w:pPr>
        <w:ind w:left="3" w:right="280"/>
        <w:spacing w:after="0" w:line="22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6511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12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wp:posOffset>
            </wp:positionV>
            <wp:extent cx="65112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1290" cy="8255"/>
                    </a:xfrm>
                    <a:prstGeom prst="rect">
                      <a:avLst/>
                    </a:prstGeom>
                    <a:noFill/>
                  </pic:spPr>
                </pic:pic>
              </a:graphicData>
            </a:graphic>
          </wp:anchor>
        </w:drawing>
      </w:r>
    </w:p>
    <w:p>
      <w:pPr>
        <w:sectPr>
          <w:pgSz w:w="11900" w:h="16838" w:orient="portrait"/>
          <w:cols w:equalWidth="0" w:num="1">
            <w:col w:w="10263"/>
          </w:cols>
          <w:pgMar w:left="817" w:top="421" w:right="81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5270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0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As previously disclosed, AVROBIO, Inc., a Delaware corporation (“</w:t>
      </w:r>
      <w:r>
        <w:rPr>
          <w:rFonts w:ascii="Times New Roman" w:cs="Times New Roman" w:eastAsia="Times New Roman" w:hAnsi="Times New Roman"/>
          <w:sz w:val="17"/>
          <w:szCs w:val="17"/>
          <w:b w:val="1"/>
          <w:bCs w:val="1"/>
          <w:i w:val="1"/>
          <w:iCs w:val="1"/>
          <w:color w:val="auto"/>
        </w:rPr>
        <w:t>AVROBIO</w:t>
      </w:r>
      <w:r>
        <w:rPr>
          <w:rFonts w:ascii="Times New Roman" w:cs="Times New Roman" w:eastAsia="Times New Roman" w:hAnsi="Times New Roman"/>
          <w:sz w:val="17"/>
          <w:szCs w:val="17"/>
          <w:color w:val="auto"/>
        </w:rPr>
        <w:t>”), and Tectonic Therapeutic, Inc., a Delaware corporation (“</w:t>
      </w:r>
      <w:r>
        <w:rPr>
          <w:rFonts w:ascii="Times New Roman" w:cs="Times New Roman" w:eastAsia="Times New Roman" w:hAnsi="Times New Roman"/>
          <w:sz w:val="17"/>
          <w:szCs w:val="17"/>
          <w:b w:val="1"/>
          <w:bCs w:val="1"/>
          <w:i w:val="1"/>
          <w:iCs w:val="1"/>
          <w:color w:val="auto"/>
        </w:rPr>
        <w:t>Tectonic</w:t>
      </w:r>
      <w:r>
        <w:rPr>
          <w:rFonts w:ascii="Times New Roman" w:cs="Times New Roman" w:eastAsia="Times New Roman" w:hAnsi="Times New Roman"/>
          <w:sz w:val="17"/>
          <w:szCs w:val="17"/>
          <w:color w:val="auto"/>
        </w:rPr>
        <w:t>”), entered into an Agreement and Plan of Merger and Reorganization (the “</w:t>
      </w:r>
      <w:r>
        <w:rPr>
          <w:rFonts w:ascii="Times New Roman" w:cs="Times New Roman" w:eastAsia="Times New Roman" w:hAnsi="Times New Roman"/>
          <w:sz w:val="17"/>
          <w:szCs w:val="17"/>
          <w:b w:val="1"/>
          <w:bCs w:val="1"/>
          <w:i w:val="1"/>
          <w:iCs w:val="1"/>
          <w:color w:val="auto"/>
        </w:rPr>
        <w:t>Merger Agreement</w:t>
      </w:r>
      <w:r>
        <w:rPr>
          <w:rFonts w:ascii="Times New Roman" w:cs="Times New Roman" w:eastAsia="Times New Roman" w:hAnsi="Times New Roman"/>
          <w:sz w:val="17"/>
          <w:szCs w:val="17"/>
          <w:color w:val="auto"/>
        </w:rPr>
        <w:t>”) on January 30, 2024, pursuant to which, among other matters, Alpine Merger Subsidiary, Inc., a direct, wholly owned subsidiary of AVROBIO (“</w:t>
      </w:r>
      <w:r>
        <w:rPr>
          <w:rFonts w:ascii="Times New Roman" w:cs="Times New Roman" w:eastAsia="Times New Roman" w:hAnsi="Times New Roman"/>
          <w:sz w:val="17"/>
          <w:szCs w:val="17"/>
          <w:b w:val="1"/>
          <w:bCs w:val="1"/>
          <w:i w:val="1"/>
          <w:iCs w:val="1"/>
          <w:color w:val="auto"/>
        </w:rPr>
        <w:t>Merger Sub</w:t>
      </w:r>
      <w:r>
        <w:rPr>
          <w:rFonts w:ascii="Times New Roman" w:cs="Times New Roman" w:eastAsia="Times New Roman" w:hAnsi="Times New Roman"/>
          <w:sz w:val="17"/>
          <w:szCs w:val="17"/>
          <w:color w:val="auto"/>
        </w:rPr>
        <w:t>”), will merge with and into Tectonic, with Tectonic surviving as a wholly owned subsidiary of AVROBIO (such transaction, the “</w:t>
      </w:r>
      <w:r>
        <w:rPr>
          <w:rFonts w:ascii="Times New Roman" w:cs="Times New Roman" w:eastAsia="Times New Roman" w:hAnsi="Times New Roman"/>
          <w:sz w:val="17"/>
          <w:szCs w:val="17"/>
          <w:b w:val="1"/>
          <w:bCs w:val="1"/>
          <w:i w:val="1"/>
          <w:iCs w:val="1"/>
          <w:color w:val="auto"/>
        </w:rPr>
        <w:t>merger</w:t>
      </w:r>
      <w:r>
        <w:rPr>
          <w:rFonts w:ascii="Times New Roman" w:cs="Times New Roman" w:eastAsia="Times New Roman" w:hAnsi="Times New Roman"/>
          <w:sz w:val="17"/>
          <w:szCs w:val="17"/>
          <w:color w:val="auto"/>
        </w:rPr>
        <w:t>”). After the completion of the merger, AVROBIO will change its corporate name to “Tectonic Therapeutic, Inc.”</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Litigation</w:t>
      </w:r>
    </w:p>
    <w:p>
      <w:pPr>
        <w:spacing w:after="0" w:line="10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In connection with the merger, AVROBIO filed with the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a Form S-4 Registration Statement on February 14, 2024, as amended on March 26, 2024, April 15, 2024, and April 29, 2024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xml:space="preserve">”) with respect to the special meeting of AVROBIO’s stockholders scheduled to be held on June 11, 2024. Following the announcement of the merger and as of the time of the filing of these Supplemental Disclosures (as defined below), three actions were filed by purported AVROBIO stockholders in connection with the merger. One action has been filed in the United States District Court for the Southern District of New York captioned </w:t>
      </w:r>
      <w:r>
        <w:rPr>
          <w:rFonts w:ascii="Times New Roman" w:cs="Times New Roman" w:eastAsia="Times New Roman" w:hAnsi="Times New Roman"/>
          <w:sz w:val="17"/>
          <w:szCs w:val="17"/>
          <w:i w:val="1"/>
          <w:iCs w:val="1"/>
          <w:color w:val="auto"/>
        </w:rPr>
        <w:t>Garofalo v. Avrobio, Inc. et al</w:t>
      </w:r>
      <w:r>
        <w:rPr>
          <w:rFonts w:ascii="Times New Roman" w:cs="Times New Roman" w:eastAsia="Times New Roman" w:hAnsi="Times New Roman"/>
          <w:sz w:val="17"/>
          <w:szCs w:val="17"/>
          <w:color w:val="auto"/>
        </w:rPr>
        <w:t xml:space="preserve">., 24-cv-1493 (filed February 27, 2024). Two actions have been filed in the Supreme Court of New York, captioned </w:t>
      </w:r>
      <w:r>
        <w:rPr>
          <w:rFonts w:ascii="Times New Roman" w:cs="Times New Roman" w:eastAsia="Times New Roman" w:hAnsi="Times New Roman"/>
          <w:sz w:val="17"/>
          <w:szCs w:val="17"/>
          <w:i w:val="1"/>
          <w:iCs w:val="1"/>
          <w:color w:val="auto"/>
        </w:rPr>
        <w:t>Price v. Avrobio, Inc., et al</w:t>
      </w:r>
      <w:r>
        <w:rPr>
          <w:rFonts w:ascii="Times New Roman" w:cs="Times New Roman" w:eastAsia="Times New Roman" w:hAnsi="Times New Roman"/>
          <w:sz w:val="17"/>
          <w:szCs w:val="17"/>
          <w:color w:val="auto"/>
        </w:rPr>
        <w:t xml:space="preserve">., No. 652555/2024 (filed May 17, 2024) and </w:t>
      </w:r>
      <w:r>
        <w:rPr>
          <w:rFonts w:ascii="Times New Roman" w:cs="Times New Roman" w:eastAsia="Times New Roman" w:hAnsi="Times New Roman"/>
          <w:sz w:val="17"/>
          <w:szCs w:val="17"/>
          <w:i w:val="1"/>
          <w:iCs w:val="1"/>
          <w:color w:val="auto"/>
        </w:rPr>
        <w:t>Keller v. Avrobio, Inc., et al</w:t>
      </w:r>
      <w:r>
        <w:rPr>
          <w:rFonts w:ascii="Times New Roman" w:cs="Times New Roman" w:eastAsia="Times New Roman" w:hAnsi="Times New Roman"/>
          <w:sz w:val="17"/>
          <w:szCs w:val="17"/>
          <w:color w:val="auto"/>
        </w:rPr>
        <w:t>., No. 652597/2024 (filed May 21, 204). The foregoing actions are referred to as the “</w:t>
      </w:r>
      <w:r>
        <w:rPr>
          <w:rFonts w:ascii="Times New Roman" w:cs="Times New Roman" w:eastAsia="Times New Roman" w:hAnsi="Times New Roman"/>
          <w:sz w:val="17"/>
          <w:szCs w:val="17"/>
          <w:b w:val="1"/>
          <w:bCs w:val="1"/>
          <w:i w:val="1"/>
          <w:iCs w:val="1"/>
          <w:color w:val="auto"/>
        </w:rPr>
        <w:t>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Actions</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 xml:space="preserve">The Merger Actions generally allege that the Registration Statement misrepresents and/or omits certain purportedly material information in connection with the merger, potential conflicts of interest of AVROBIO’s officers and directors, and the events that led to the signing of the Merger Agreement. The </w:t>
      </w:r>
      <w:r>
        <w:rPr>
          <w:rFonts w:ascii="Times New Roman" w:cs="Times New Roman" w:eastAsia="Times New Roman" w:hAnsi="Times New Roman"/>
          <w:sz w:val="17"/>
          <w:szCs w:val="17"/>
          <w:i w:val="1"/>
          <w:iCs w:val="1"/>
          <w:color w:val="auto"/>
        </w:rPr>
        <w:t xml:space="preserve">Garofalo </w:t>
      </w:r>
      <w:r>
        <w:rPr>
          <w:rFonts w:ascii="Times New Roman" w:cs="Times New Roman" w:eastAsia="Times New Roman" w:hAnsi="Times New Roman"/>
          <w:sz w:val="17"/>
          <w:szCs w:val="17"/>
          <w:color w:val="auto"/>
        </w:rPr>
        <w:t>action asserts violations of Section 14(a) of the Exchange Act and Rule 14a-9 promulgated thereunder against all defendants (AVROBIO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board of directors of AVROBIO) and violations of Section 20(a) of the Exchange Act against AVROBIO’s directors. The </w:t>
      </w:r>
      <w:r>
        <w:rPr>
          <w:rFonts w:ascii="Times New Roman" w:cs="Times New Roman" w:eastAsia="Times New Roman" w:hAnsi="Times New Roman"/>
          <w:sz w:val="17"/>
          <w:szCs w:val="17"/>
          <w:i w:val="1"/>
          <w:iCs w:val="1"/>
          <w:color w:val="auto"/>
        </w:rPr>
        <w:t>Price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Keller</w:t>
      </w:r>
      <w:r>
        <w:rPr>
          <w:rFonts w:ascii="Times New Roman" w:cs="Times New Roman" w:eastAsia="Times New Roman" w:hAnsi="Times New Roman"/>
          <w:sz w:val="17"/>
          <w:szCs w:val="17"/>
          <w:color w:val="auto"/>
        </w:rPr>
        <w:t xml:space="preserve"> actions assert claims for breach of fiduciary duty against all defendants. The Merger Actions seek, among other things, an injunction enjoining the consummation of the merger, costs of the action, including plaintiff’s attorneys’ fees and experts’ fees and other relief the court may deem just and proper.</w:t>
      </w:r>
    </w:p>
    <w:p>
      <w:pPr>
        <w:spacing w:after="0" w:line="173"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7"/>
          <w:szCs w:val="17"/>
          <w:color w:val="auto"/>
        </w:rPr>
        <w:t>AVROBIO also received demand letters from eleven purported AVROBIO stockholders (the “</w:t>
      </w:r>
      <w:r>
        <w:rPr>
          <w:rFonts w:ascii="Times New Roman" w:cs="Times New Roman" w:eastAsia="Times New Roman" w:hAnsi="Times New Roman"/>
          <w:sz w:val="17"/>
          <w:szCs w:val="17"/>
          <w:b w:val="1"/>
          <w:bCs w:val="1"/>
          <w:i w:val="1"/>
          <w:iCs w:val="1"/>
          <w:color w:val="auto"/>
        </w:rPr>
        <w:t>Demands</w:t>
      </w:r>
      <w:r>
        <w:rPr>
          <w:rFonts w:ascii="Times New Roman" w:cs="Times New Roman" w:eastAsia="Times New Roman" w:hAnsi="Times New Roman"/>
          <w:sz w:val="17"/>
          <w:szCs w:val="17"/>
          <w:color w:val="auto"/>
        </w:rPr>
        <w:t>”). The Demands generally assert that the Registration Statement misrepresents and/or omits certain purportedly material information relating to the merger.</w:t>
      </w:r>
    </w:p>
    <w:p>
      <w:pPr>
        <w:spacing w:after="0" w:line="15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AVROBIO cannot predict the outcome of the Merger Actions or the Demands. AVROBIO believes that the Merger Actions and Demands are without merit. If additional complaints are filed or demands are received, absent new or significantly different allegations, AVROBIO will not necessarily disclose such additional complaints or demands.</w:t>
      </w:r>
    </w:p>
    <w:p>
      <w:pPr>
        <w:spacing w:after="0" w:line="16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7"/>
          <w:szCs w:val="17"/>
          <w:color w:val="auto"/>
        </w:rPr>
        <w:t>AVROBIO believes that the disclosures set forth in the Registration Statement comply fully with all applicable law, that no supplemental disclosures are required under applicable law, and that the allegations in the Merger Actions and Demands are without merit. However, in order to moot the claims in the Merger Actions and Demands, avoid nuisance and possible expense and business delays, and provide additional information to its stockholders, and without admitting any liability or wrongdoing, AVROBIO has decided voluntarily to supplement certain disclosures in the Registration Statement (the “</w:t>
      </w:r>
      <w:r>
        <w:rPr>
          <w:rFonts w:ascii="Times New Roman" w:cs="Times New Roman" w:eastAsia="Times New Roman" w:hAnsi="Times New Roman"/>
          <w:sz w:val="17"/>
          <w:szCs w:val="17"/>
          <w:b w:val="1"/>
          <w:bCs w:val="1"/>
          <w:i w:val="1"/>
          <w:iCs w:val="1"/>
          <w:color w:val="auto"/>
        </w:rPr>
        <w:t>Supplemental Disclosures</w:t>
      </w:r>
      <w:r>
        <w:rPr>
          <w:rFonts w:ascii="Times New Roman" w:cs="Times New Roman" w:eastAsia="Times New Roman" w:hAnsi="Times New Roman"/>
          <w:sz w:val="17"/>
          <w:szCs w:val="17"/>
          <w:color w:val="auto"/>
        </w:rPr>
        <w:t>”). Nothing in the Supplemental Disclosures shall be deemed an admission of the legal necessity or materiality under applicable laws of any of the disclosures set forth herein. To the contrary, AVROBIO specifically denies all allegations in the Merger Actions and the Demands and that any additional disclosure was or is required or material.</w:t>
      </w:r>
    </w:p>
    <w:p>
      <w:pPr>
        <w:sectPr>
          <w:pgSz w:w="11900" w:h="16838" w:orient="portrait"/>
          <w:cols w:equalWidth="0" w:num="1">
            <w:col w:w="10220"/>
          </w:cols>
          <w:pgMar w:left="820" w:top="282" w:right="859" w:bottom="1440" w:gutter="0" w:footer="0" w:header="0"/>
        </w:sectPr>
      </w:pPr>
    </w:p>
    <w:bookmarkStart w:id="2" w:name="page3"/>
    <w:bookmarkEnd w:id="2"/>
    <w:p>
      <w:pPr>
        <w:ind w:right="40"/>
        <w:spacing w:after="0" w:line="25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120" cy="52705"/>
                    </a:xfrm>
                    <a:prstGeom prst="rect">
                      <a:avLst/>
                    </a:prstGeom>
                    <a:noFill/>
                  </pic:spPr>
                </pic:pic>
              </a:graphicData>
            </a:graphic>
          </wp:anchor>
        </w:drawing>
        <w:t xml:space="preserve">The Supplemental Disclosures supplement the disclosures contained in the Registration Statement and should be read in conjunction with the disclosures contained in the Registration Statement, which in turn should be read in its entirety. To the extent that information set forth in the Supplemental Disclosures differs from or updates information contained in the Registration Statement, the information in the Supplemental Disclosures shall supersede or supplement the information contained in the Registration Statement. All page references used herein are to the Registration Statement and capitalized or defined terms used herein, but not otherwise defined, shall have the meanings ascribed to such terms in the Registration Statement. To the extent that certain disclosures contained in the Registration Statement are amended and restated in the Supplemental Disclosures, any additional language is indicated by </w:t>
      </w:r>
      <w:r>
        <w:rPr>
          <w:rFonts w:ascii="Times New Roman" w:cs="Times New Roman" w:eastAsia="Times New Roman" w:hAnsi="Times New Roman"/>
          <w:sz w:val="17"/>
          <w:szCs w:val="17"/>
          <w:b w:val="1"/>
          <w:bCs w:val="1"/>
          <w:u w:val="single" w:color="auto"/>
          <w:color w:val="auto"/>
        </w:rPr>
        <w:t>bold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underlined text</w:t>
      </w:r>
      <w:r>
        <w:rPr>
          <w:rFonts w:ascii="Times New Roman" w:cs="Times New Roman" w:eastAsia="Times New Roman" w:hAnsi="Times New Roman"/>
          <w:sz w:val="17"/>
          <w:szCs w:val="17"/>
          <w:color w:val="auto"/>
        </w:rPr>
        <w:t xml:space="preserve"> and deletions are indicated by </w:t>
      </w:r>
      <w:r>
        <w:rPr>
          <w:rFonts w:ascii="Times New Roman" w:cs="Times New Roman" w:eastAsia="Times New Roman" w:hAnsi="Times New Roman"/>
          <w:sz w:val="17"/>
          <w:szCs w:val="17"/>
          <w:color w:val="auto"/>
          <w:strike w:val="1"/>
        </w:rPr>
        <w:t>strikethrough</w:t>
      </w:r>
      <w:r>
        <w:rPr>
          <w:rFonts w:ascii="Times New Roman" w:cs="Times New Roman" w:eastAsia="Times New Roman" w:hAnsi="Times New Roman"/>
          <w:sz w:val="17"/>
          <w:szCs w:val="17"/>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Disclosures to the Registration Statement</w:t>
      </w:r>
    </w:p>
    <w:p>
      <w:pPr>
        <w:spacing w:after="0" w:line="106"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7"/>
          <w:szCs w:val="17"/>
          <w:b w:val="1"/>
          <w:bCs w:val="1"/>
          <w:color w:val="auto"/>
        </w:rPr>
        <w:t>The disclosure under the heading “Background of the Merger” is hereby amended and supplemented by replacing the first full paragraph on page 189 of the Registration Statement in its entirety with the following:</w:t>
      </w:r>
    </w:p>
    <w:p>
      <w:pPr>
        <w:spacing w:after="0" w:line="5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On November 11, 2023, Tectonic submitted a written indication of interest to AVROBIO proposing a reverse merger transaction (the “</w:t>
      </w:r>
      <w:r>
        <w:rPr>
          <w:rFonts w:ascii="Times New Roman" w:cs="Times New Roman" w:eastAsia="Times New Roman" w:hAnsi="Times New Roman"/>
          <w:sz w:val="17"/>
          <w:szCs w:val="17"/>
          <w:b w:val="1"/>
          <w:bCs w:val="1"/>
          <w:i w:val="1"/>
          <w:iCs w:val="1"/>
          <w:color w:val="auto"/>
        </w:rPr>
        <w:t>Tectonic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November 11, 2023 Proposal</w:t>
      </w:r>
      <w:r>
        <w:rPr>
          <w:rFonts w:ascii="Times New Roman" w:cs="Times New Roman" w:eastAsia="Times New Roman" w:hAnsi="Times New Roman"/>
          <w:sz w:val="17"/>
          <w:szCs w:val="17"/>
          <w:color w:val="auto"/>
        </w:rPr>
        <w:t>”). The Tectonic November 11, 2023 Proposal contemplated a valuation for AVROBIO of $70 million (including a targeted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$65 million of net cash at closing and a $5 million proposed valuation of AVROBIO’s public company listing), a valuation for Tectonic of $150 million (which was equal to the agreed upon valuation of Tectonic in a recently negotiated term sheet for a transaction Tectonic and the Tectonic Board had previously considered), and a potential concurrent private placement investment in a range of $125 million to $150 million to help fund the combined company following the merger. The Tectonic November 11, 2023 Proposal also communicated Tectonic’s willingness to offer CVRs or other monetization mechanisms to pre-closing AVROBIO shareholders in connection with any post-closing transaction to monetize AVROBIO’s pre-closing assets. </w:t>
      </w:r>
      <w:r>
        <w:rPr>
          <w:rFonts w:ascii="Times New Roman" w:cs="Times New Roman" w:eastAsia="Times New Roman" w:hAnsi="Times New Roman"/>
          <w:sz w:val="17"/>
          <w:szCs w:val="17"/>
          <w:b w:val="1"/>
          <w:bCs w:val="1"/>
          <w:u w:val="single" w:color="auto"/>
          <w:color w:val="auto"/>
        </w:rPr>
        <w:t>The Tectonic November 11, 2023 Proposal also contemplated that the combined company’s board would include 5-6 directors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Tectonic and one director from AVROBIO.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Tectonic November 11, 2023 Proposal was promptly shared with the AVROBIO Transaction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w:t>
      </w:r>
    </w:p>
    <w:p>
      <w:pPr>
        <w:spacing w:after="0" w:line="175"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7"/>
          <w:szCs w:val="17"/>
          <w:b w:val="1"/>
          <w:bCs w:val="1"/>
          <w:color w:val="auto"/>
        </w:rPr>
        <w:t>The disclosure under the heading “Background of the Merger” is hereby amended and supplemented by replacing the fifth full paragraph on page 187 of the Registration Statement in its entirety with the following:</w:t>
      </w:r>
    </w:p>
    <w:p>
      <w:pPr>
        <w:spacing w:after="0" w:line="15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 xml:space="preserve">On October 24, 2023, AVROBIO and Tectonic entered into a mutual confidentiality agreement, which included a customary “standstill” provision binding on Tectonic subject to customary fallaway provisions. </w:t>
      </w:r>
      <w:r>
        <w:rPr>
          <w:rFonts w:ascii="Times New Roman" w:cs="Times New Roman" w:eastAsia="Times New Roman" w:hAnsi="Times New Roman"/>
          <w:sz w:val="17"/>
          <w:szCs w:val="17"/>
          <w:b w:val="1"/>
          <w:bCs w:val="1"/>
          <w:u w:val="single" w:color="auto"/>
          <w:color w:val="auto"/>
        </w:rPr>
        <w:t>At no point during the negotiation process with Tectonic leading up to the execution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of the Merger Agreement did any employee of AVROBIO enter into any formal or informal agreement, arrangement, or understanding (whether or not binding) regarding continuing employment after closing of the contemplated transaction.</w:t>
      </w:r>
    </w:p>
    <w:p>
      <w:pPr>
        <w:spacing w:after="0" w:line="17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7"/>
          <w:szCs w:val="17"/>
          <w:b w:val="1"/>
          <w:bCs w:val="1"/>
          <w:color w:val="auto"/>
        </w:rPr>
        <w:t>The disclosure under the subheading “Opinion of Houlihan Lokey to the AVROBIO Board” is hereby amended and supplemented by replacing the chart on page 213 and 214 of the Registration Statement in its entirety with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160" w:type="dxa"/>
            <w:vAlign w:val="bottom"/>
            <w:gridSpan w:val="5"/>
          </w:tcPr>
          <w:p>
            <w:pPr>
              <w:spacing w:after="0"/>
              <w:rPr>
                <w:sz w:val="20"/>
                <w:szCs w:val="20"/>
                <w:color w:val="auto"/>
              </w:rPr>
            </w:pPr>
            <w:r>
              <w:rPr>
                <w:rFonts w:ascii="Times New Roman" w:cs="Times New Roman" w:eastAsia="Times New Roman" w:hAnsi="Times New Roman"/>
                <w:sz w:val="13"/>
                <w:szCs w:val="13"/>
                <w:i w:val="1"/>
                <w:iCs w:val="1"/>
                <w:color w:val="auto"/>
              </w:rPr>
              <w:t>(Dollars in millions</w:t>
            </w:r>
            <w:r>
              <w:rPr>
                <w:rFonts w:ascii="Times New Roman" w:cs="Times New Roman" w:eastAsia="Times New Roman" w:hAnsi="Times New Roman"/>
                <w:sz w:val="13"/>
                <w:szCs w:val="13"/>
                <w:b w:val="1"/>
                <w:bCs w:val="1"/>
                <w:i w:val="1"/>
                <w:iCs w:val="1"/>
                <w:color w:val="auto"/>
              </w:rPr>
              <w:t>, except per share values</w:t>
            </w:r>
            <w:r>
              <w:rPr>
                <w:rFonts w:ascii="Times New Roman" w:cs="Times New Roman" w:eastAsia="Times New Roman" w:hAnsi="Times New Roman"/>
                <w:sz w:val="13"/>
                <w:szCs w:val="13"/>
                <w:i w:val="1"/>
                <w:iCs w:val="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auto"/>
              </w:rPr>
              <w:t>Lead Product</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240" w:type="dxa"/>
            <w:vAlign w:val="bottom"/>
          </w:tcPr>
          <w:p>
            <w:pPr>
              <w:spacing w:after="0"/>
              <w:rPr>
                <w:sz w:val="11"/>
                <w:szCs w:val="11"/>
                <w:color w:val="auto"/>
              </w:rPr>
            </w:pPr>
          </w:p>
        </w:tc>
        <w:tc>
          <w:tcPr>
            <w:tcW w:w="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940" w:type="dxa"/>
            <w:vAlign w:val="bottom"/>
            <w:gridSpan w:val="4"/>
            <w:vMerge w:val="restart"/>
          </w:tcPr>
          <w:p>
            <w:pPr>
              <w:ind w:left="240"/>
              <w:spacing w:after="0"/>
              <w:rPr>
                <w:sz w:val="20"/>
                <w:szCs w:val="20"/>
                <w:color w:val="auto"/>
              </w:rPr>
            </w:pPr>
            <w:r>
              <w:rPr>
                <w:rFonts w:ascii="Times New Roman" w:cs="Times New Roman" w:eastAsia="Times New Roman" w:hAnsi="Times New Roman"/>
                <w:sz w:val="13"/>
                <w:szCs w:val="13"/>
                <w:color w:val="auto"/>
              </w:rPr>
              <w:t>Enterprise</w:t>
            </w:r>
          </w:p>
        </w:tc>
        <w:tc>
          <w:tcPr>
            <w:tcW w:w="12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94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16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color w:val="auto"/>
              </w:rPr>
              <w:t>Selected Cardiovascular Companies</w:t>
            </w:r>
          </w:p>
        </w:tc>
        <w:tc>
          <w:tcPr>
            <w:tcW w:w="2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680" w:type="dxa"/>
            <w:vAlign w:val="bottom"/>
            <w:gridSpan w:val="3"/>
          </w:tcPr>
          <w:p>
            <w:pPr>
              <w:jc w:val="center"/>
              <w:ind w:left="153"/>
              <w:spacing w:after="0" w:line="138" w:lineRule="exact"/>
              <w:rPr>
                <w:sz w:val="20"/>
                <w:szCs w:val="20"/>
                <w:color w:val="auto"/>
              </w:rPr>
            </w:pPr>
            <w:r>
              <w:rPr>
                <w:rFonts w:ascii="Times New Roman" w:cs="Times New Roman" w:eastAsia="Times New Roman" w:hAnsi="Times New Roman"/>
                <w:sz w:val="13"/>
                <w:szCs w:val="13"/>
                <w:b w:val="1"/>
                <w:bCs w:val="1"/>
                <w:color w:val="auto"/>
              </w:rPr>
              <w:t>Market</w:t>
            </w:r>
          </w:p>
        </w:tc>
        <w:tc>
          <w:tcPr>
            <w:tcW w:w="9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Phase</w:t>
            </w: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Therapeutic Category</w:t>
            </w:r>
          </w:p>
        </w:tc>
        <w:tc>
          <w:tcPr>
            <w:tcW w:w="200" w:type="dxa"/>
            <w:vAlign w:val="bottom"/>
          </w:tcPr>
          <w:p>
            <w:pPr>
              <w:spacing w:after="0"/>
              <w:rPr>
                <w:sz w:val="12"/>
                <w:szCs w:val="12"/>
                <w:color w:val="auto"/>
              </w:rPr>
            </w:pPr>
          </w:p>
        </w:tc>
        <w:tc>
          <w:tcPr>
            <w:tcW w:w="13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Therapeutic Indication</w:t>
            </w:r>
          </w:p>
        </w:tc>
        <w:tc>
          <w:tcPr>
            <w:tcW w:w="0" w:type="dxa"/>
            <w:vAlign w:val="bottom"/>
          </w:tcPr>
          <w:p>
            <w:pPr>
              <w:spacing w:after="0"/>
              <w:rPr>
                <w:sz w:val="1"/>
                <w:szCs w:val="1"/>
                <w:color w:val="auto"/>
              </w:rPr>
            </w:pPr>
          </w:p>
        </w:tc>
      </w:tr>
      <w:tr>
        <w:trPr>
          <w:trHeight w:val="170"/>
        </w:trPr>
        <w:tc>
          <w:tcPr>
            <w:tcW w:w="41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Price</w:t>
            </w:r>
          </w:p>
        </w:tc>
        <w:tc>
          <w:tcPr>
            <w:tcW w:w="240" w:type="dxa"/>
            <w:vAlign w:val="bottom"/>
          </w:tcPr>
          <w:p>
            <w:pPr>
              <w:spacing w:after="0"/>
              <w:rPr>
                <w:sz w:val="14"/>
                <w:szCs w:val="14"/>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w w:val="96"/>
              </w:rPr>
              <w:t>Value</w:t>
            </w: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20" w:type="dxa"/>
            <w:vAlign w:val="bottom"/>
            <w:tcBorders>
              <w:top w:val="single" w:sz="8" w:color="auto"/>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Aerovate Therapeutics, Inc.</w:t>
            </w:r>
          </w:p>
        </w:tc>
        <w:tc>
          <w:tcPr>
            <w:tcW w:w="222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b w:val="1"/>
                <w:bCs w:val="1"/>
                <w:u w:val="single" w:color="auto"/>
                <w:color w:val="auto"/>
                <w:w w:val="97"/>
              </w:rPr>
              <w:t>$</w:t>
            </w:r>
          </w:p>
        </w:tc>
        <w:tc>
          <w:tcPr>
            <w:tcW w:w="3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17.68</w:t>
            </w: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489.2</w:t>
            </w: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354.0</w:t>
            </w: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center"/>
              <w:spacing w:after="0" w:line="124" w:lineRule="exact"/>
              <w:rPr>
                <w:sz w:val="20"/>
                <w:szCs w:val="20"/>
                <w:color w:val="auto"/>
              </w:rPr>
            </w:pPr>
            <w:r>
              <w:rPr>
                <w:rFonts w:ascii="Times New Roman" w:cs="Times New Roman" w:eastAsia="Times New Roman" w:hAnsi="Times New Roman"/>
                <w:sz w:val="13"/>
                <w:szCs w:val="13"/>
                <w:color w:val="auto"/>
              </w:rPr>
              <w:t>Phase II-B / III</w:t>
            </w:r>
          </w:p>
        </w:tc>
        <w:tc>
          <w:tcPr>
            <w:tcW w:w="200" w:type="dxa"/>
            <w:vAlign w:val="bottom"/>
            <w:tcBorders>
              <w:top w:val="single" w:sz="8" w:color="CCEEFF"/>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Cardiovascular</w:t>
            </w:r>
          </w:p>
        </w:tc>
        <w:tc>
          <w:tcPr>
            <w:tcW w:w="20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Pulmonary Hypertension</w:t>
            </w:r>
          </w:p>
        </w:tc>
        <w:tc>
          <w:tcPr>
            <w:tcW w:w="0" w:type="dxa"/>
            <w:vAlign w:val="bottom"/>
          </w:tcPr>
          <w:p>
            <w:pPr>
              <w:spacing w:after="0"/>
              <w:rPr>
                <w:sz w:val="1"/>
                <w:szCs w:val="1"/>
                <w:color w:val="auto"/>
              </w:rPr>
            </w:pPr>
          </w:p>
        </w:tc>
      </w:tr>
      <w:tr>
        <w:trPr>
          <w:trHeight w:val="148"/>
        </w:trPr>
        <w:tc>
          <w:tcPr>
            <w:tcW w:w="4160" w:type="dxa"/>
            <w:vAlign w:val="bottom"/>
            <w:gridSpan w:val="5"/>
          </w:tcPr>
          <w:p>
            <w:pPr>
              <w:spacing w:after="0" w:line="144" w:lineRule="exact"/>
              <w:rPr>
                <w:sz w:val="20"/>
                <w:szCs w:val="20"/>
                <w:color w:val="auto"/>
              </w:rPr>
            </w:pPr>
            <w:r>
              <w:rPr>
                <w:rFonts w:ascii="Times New Roman" w:cs="Times New Roman" w:eastAsia="Times New Roman" w:hAnsi="Times New Roman"/>
                <w:sz w:val="13"/>
                <w:szCs w:val="13"/>
                <w:color w:val="auto"/>
              </w:rPr>
              <w:t>Cereno Scientific AB (publ)</w:t>
            </w:r>
          </w:p>
        </w:tc>
        <w:tc>
          <w:tcPr>
            <w:tcW w:w="20" w:type="dxa"/>
            <w:vAlign w:val="bottom"/>
          </w:tcPr>
          <w:p>
            <w:pPr>
              <w:spacing w:after="0"/>
              <w:rPr>
                <w:sz w:val="12"/>
                <w:szCs w:val="12"/>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32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0.44</w:t>
            </w:r>
          </w:p>
        </w:tc>
        <w:tc>
          <w:tcPr>
            <w:tcW w:w="2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103.5</w:t>
            </w:r>
          </w:p>
        </w:tc>
        <w:tc>
          <w:tcPr>
            <w:tcW w:w="3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97.0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Phase II</w:t>
            </w:r>
          </w:p>
        </w:tc>
        <w:tc>
          <w:tcPr>
            <w:tcW w:w="1380" w:type="dxa"/>
            <w:vAlign w:val="bottom"/>
            <w:gridSpan w:val="2"/>
          </w:tcPr>
          <w:p>
            <w:pPr>
              <w:ind w:left="200"/>
              <w:spacing w:after="0" w:line="144" w:lineRule="exact"/>
              <w:rPr>
                <w:sz w:val="20"/>
                <w:szCs w:val="20"/>
                <w:color w:val="auto"/>
              </w:rPr>
            </w:pPr>
            <w:r>
              <w:rPr>
                <w:rFonts w:ascii="Times New Roman" w:cs="Times New Roman" w:eastAsia="Times New Roman" w:hAnsi="Times New Roman"/>
                <w:sz w:val="13"/>
                <w:szCs w:val="13"/>
                <w:color w:val="auto"/>
              </w:rPr>
              <w:t>Cardiovascular</w:t>
            </w:r>
          </w:p>
        </w:tc>
        <w:tc>
          <w:tcPr>
            <w:tcW w:w="1580" w:type="dxa"/>
            <w:vAlign w:val="bottom"/>
            <w:gridSpan w:val="2"/>
          </w:tcPr>
          <w:p>
            <w:pPr>
              <w:ind w:left="180"/>
              <w:spacing w:after="0" w:line="144" w:lineRule="exact"/>
              <w:rPr>
                <w:sz w:val="20"/>
                <w:szCs w:val="20"/>
                <w:color w:val="auto"/>
              </w:rPr>
            </w:pPr>
            <w:r>
              <w:rPr>
                <w:rFonts w:ascii="Times New Roman" w:cs="Times New Roman" w:eastAsia="Times New Roman" w:hAnsi="Times New Roman"/>
                <w:sz w:val="13"/>
                <w:szCs w:val="13"/>
                <w:color w:val="auto"/>
              </w:rPr>
              <w:t>Pulmonary Hypertension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140" w:type="dxa"/>
            <w:vAlign w:val="bottom"/>
            <w:gridSpan w:val="4"/>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Gossamer Bio, Inc.</w:t>
            </w: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0.80</w:t>
            </w:r>
          </w:p>
        </w:tc>
        <w:tc>
          <w:tcPr>
            <w:tcW w:w="3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180.3</w:t>
            </w:r>
          </w:p>
        </w:tc>
        <w:tc>
          <w:tcPr>
            <w:tcW w:w="3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63.1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III</w:t>
            </w:r>
          </w:p>
        </w:tc>
        <w:tc>
          <w:tcPr>
            <w:tcW w:w="1380" w:type="dxa"/>
            <w:vAlign w:val="bottom"/>
            <w:gridSpan w:val="2"/>
            <w:shd w:val="clear" w:color="auto" w:fill="CCEEFF"/>
          </w:tcPr>
          <w:p>
            <w:pPr>
              <w:ind w:left="200"/>
              <w:spacing w:after="0" w:line="138" w:lineRule="exact"/>
              <w:rPr>
                <w:sz w:val="20"/>
                <w:szCs w:val="20"/>
                <w:color w:val="auto"/>
              </w:rPr>
            </w:pPr>
            <w:r>
              <w:rPr>
                <w:rFonts w:ascii="Times New Roman" w:cs="Times New Roman" w:eastAsia="Times New Roman" w:hAnsi="Times New Roman"/>
                <w:sz w:val="13"/>
                <w:szCs w:val="13"/>
                <w:color w:val="auto"/>
              </w:rPr>
              <w:t>Cardiovascular</w:t>
            </w:r>
          </w:p>
        </w:tc>
        <w:tc>
          <w:tcPr>
            <w:tcW w:w="1580" w:type="dxa"/>
            <w:vAlign w:val="bottom"/>
            <w:gridSpan w:val="2"/>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Pulmonary Hypertension</w:t>
            </w:r>
          </w:p>
        </w:tc>
        <w:tc>
          <w:tcPr>
            <w:tcW w:w="0" w:type="dxa"/>
            <w:vAlign w:val="bottom"/>
          </w:tcPr>
          <w:p>
            <w:pPr>
              <w:spacing w:after="0"/>
              <w:rPr>
                <w:sz w:val="1"/>
                <w:szCs w:val="1"/>
                <w:color w:val="auto"/>
              </w:rPr>
            </w:pPr>
          </w:p>
        </w:tc>
      </w:tr>
      <w:tr>
        <w:trPr>
          <w:trHeight w:val="148"/>
        </w:trPr>
        <w:tc>
          <w:tcPr>
            <w:tcW w:w="4160" w:type="dxa"/>
            <w:vAlign w:val="bottom"/>
            <w:gridSpan w:val="5"/>
          </w:tcPr>
          <w:p>
            <w:pPr>
              <w:spacing w:after="0" w:line="144" w:lineRule="exact"/>
              <w:rPr>
                <w:sz w:val="20"/>
                <w:szCs w:val="20"/>
                <w:color w:val="auto"/>
              </w:rPr>
            </w:pPr>
            <w:r>
              <w:rPr>
                <w:rFonts w:ascii="Times New Roman" w:cs="Times New Roman" w:eastAsia="Times New Roman" w:hAnsi="Times New Roman"/>
                <w:sz w:val="13"/>
                <w:szCs w:val="13"/>
                <w:color w:val="auto"/>
              </w:rPr>
              <w:t>Pharmosa Biopharm Inc.</w:t>
            </w: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3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2.85</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333.9</w:t>
            </w:r>
          </w:p>
        </w:tc>
        <w:tc>
          <w:tcPr>
            <w:tcW w:w="3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Phase III</w:t>
            </w:r>
          </w:p>
        </w:tc>
        <w:tc>
          <w:tcPr>
            <w:tcW w:w="1380" w:type="dxa"/>
            <w:vAlign w:val="bottom"/>
            <w:gridSpan w:val="2"/>
          </w:tcPr>
          <w:p>
            <w:pPr>
              <w:ind w:left="200"/>
              <w:spacing w:after="0" w:line="144" w:lineRule="exact"/>
              <w:rPr>
                <w:sz w:val="20"/>
                <w:szCs w:val="20"/>
                <w:color w:val="auto"/>
              </w:rPr>
            </w:pPr>
            <w:r>
              <w:rPr>
                <w:rFonts w:ascii="Times New Roman" w:cs="Times New Roman" w:eastAsia="Times New Roman" w:hAnsi="Times New Roman"/>
                <w:sz w:val="13"/>
                <w:szCs w:val="13"/>
                <w:color w:val="auto"/>
              </w:rPr>
              <w:t>Cardiovascular</w:t>
            </w:r>
          </w:p>
        </w:tc>
        <w:tc>
          <w:tcPr>
            <w:tcW w:w="1580" w:type="dxa"/>
            <w:vAlign w:val="bottom"/>
            <w:gridSpan w:val="2"/>
          </w:tcPr>
          <w:p>
            <w:pPr>
              <w:ind w:left="180"/>
              <w:spacing w:after="0" w:line="144" w:lineRule="exact"/>
              <w:rPr>
                <w:sz w:val="20"/>
                <w:szCs w:val="20"/>
                <w:color w:val="auto"/>
              </w:rPr>
            </w:pPr>
            <w:r>
              <w:rPr>
                <w:rFonts w:ascii="Times New Roman" w:cs="Times New Roman" w:eastAsia="Times New Roman" w:hAnsi="Times New Roman"/>
                <w:sz w:val="13"/>
                <w:szCs w:val="13"/>
                <w:color w:val="auto"/>
              </w:rPr>
              <w:t>Pulmonary Hypertension</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4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Tenax Therapeutics, Inc.</w:t>
            </w:r>
          </w:p>
        </w:tc>
        <w:tc>
          <w:tcPr>
            <w:tcW w:w="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10.09</w:t>
            </w:r>
          </w:p>
        </w:tc>
        <w:tc>
          <w:tcPr>
            <w:tcW w:w="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r>
              <w:rPr>
                <w:rFonts w:ascii="Times New Roman" w:cs="Times New Roman" w:eastAsia="Times New Roman" w:hAnsi="Times New Roman"/>
                <w:sz w:val="13"/>
                <w:szCs w:val="13"/>
                <w:b w:val="1"/>
                <w:bCs w:val="1"/>
                <w:u w:val="single" w:color="auto"/>
                <w:color w:val="auto"/>
              </w:rPr>
              <w:t>0</w:t>
            </w:r>
          </w:p>
        </w:tc>
        <w:tc>
          <w:tcPr>
            <w:tcW w:w="3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73"/>
              </w:rPr>
              <w:t>($</w:t>
            </w: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8.0)</w:t>
            </w:r>
          </w:p>
        </w:tc>
        <w:tc>
          <w:tcPr>
            <w:tcW w:w="1140" w:type="dxa"/>
            <w:vAlign w:val="bottom"/>
            <w:gridSpan w:val="2"/>
            <w:vMerge w:val="restart"/>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Phase III - Starting</w:t>
            </w:r>
          </w:p>
        </w:tc>
        <w:tc>
          <w:tcPr>
            <w:tcW w:w="13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Cardiovascular</w:t>
            </w:r>
          </w:p>
        </w:tc>
        <w:tc>
          <w:tcPr>
            <w:tcW w:w="15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Pulmonary Hypertension,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60" w:type="dxa"/>
            <w:vAlign w:val="bottom"/>
            <w:gridSpan w:val="2"/>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380" w:type="dxa"/>
            <w:vAlign w:val="bottom"/>
            <w:gridSpan w:val="2"/>
            <w:vMerge w:val="continue"/>
            <w:shd w:val="clear" w:color="auto" w:fill="CCEEFF"/>
          </w:tcPr>
          <w:p>
            <w:pPr>
              <w:spacing w:after="0"/>
              <w:rPr>
                <w:sz w:val="13"/>
                <w:szCs w:val="13"/>
                <w:color w:val="auto"/>
              </w:rPr>
            </w:pPr>
          </w:p>
        </w:tc>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HFpEF</w:t>
            </w:r>
          </w:p>
        </w:tc>
        <w:tc>
          <w:tcPr>
            <w:tcW w:w="0" w:type="dxa"/>
            <w:vAlign w:val="bottom"/>
          </w:tcPr>
          <w:p>
            <w:pPr>
              <w:spacing w:after="0"/>
              <w:rPr>
                <w:sz w:val="1"/>
                <w:szCs w:val="1"/>
                <w:color w:val="auto"/>
              </w:rPr>
            </w:pPr>
          </w:p>
        </w:tc>
      </w:tr>
      <w:tr>
        <w:trPr>
          <w:trHeight w:val="143"/>
        </w:trPr>
        <w:tc>
          <w:tcPr>
            <w:tcW w:w="4160" w:type="dxa"/>
            <w:vAlign w:val="bottom"/>
            <w:gridSpan w:val="5"/>
          </w:tcPr>
          <w:p>
            <w:pPr>
              <w:spacing w:after="0" w:line="144" w:lineRule="exact"/>
              <w:rPr>
                <w:sz w:val="20"/>
                <w:szCs w:val="20"/>
                <w:color w:val="auto"/>
              </w:rPr>
            </w:pPr>
            <w:r>
              <w:rPr>
                <w:rFonts w:ascii="Times New Roman" w:cs="Times New Roman" w:eastAsia="Times New Roman" w:hAnsi="Times New Roman"/>
                <w:sz w:val="13"/>
                <w:szCs w:val="13"/>
                <w:color w:val="auto"/>
              </w:rPr>
              <w:t>Tenaya Therapeutics, Inc.</w:t>
            </w:r>
          </w:p>
        </w:tc>
        <w:tc>
          <w:tcPr>
            <w:tcW w:w="2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3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4.19</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285.4</w:t>
            </w:r>
          </w:p>
        </w:tc>
        <w:tc>
          <w:tcPr>
            <w:tcW w:w="3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157.3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Phase I Complete</w:t>
            </w:r>
          </w:p>
        </w:tc>
        <w:tc>
          <w:tcPr>
            <w:tcW w:w="1380" w:type="dxa"/>
            <w:vAlign w:val="bottom"/>
            <w:gridSpan w:val="2"/>
          </w:tcPr>
          <w:p>
            <w:pPr>
              <w:ind w:left="200"/>
              <w:spacing w:after="0" w:line="144" w:lineRule="exact"/>
              <w:rPr>
                <w:sz w:val="20"/>
                <w:szCs w:val="20"/>
                <w:color w:val="auto"/>
              </w:rPr>
            </w:pPr>
            <w:r>
              <w:rPr>
                <w:rFonts w:ascii="Times New Roman" w:cs="Times New Roman" w:eastAsia="Times New Roman" w:hAnsi="Times New Roman"/>
                <w:sz w:val="13"/>
                <w:szCs w:val="13"/>
                <w:color w:val="auto"/>
              </w:rPr>
              <w:t>Cardiovascular</w:t>
            </w:r>
          </w:p>
        </w:tc>
        <w:tc>
          <w:tcPr>
            <w:tcW w:w="1580" w:type="dxa"/>
            <w:vAlign w:val="bottom"/>
            <w:gridSpan w:val="2"/>
          </w:tcPr>
          <w:p>
            <w:pPr>
              <w:ind w:left="180"/>
              <w:spacing w:after="0" w:line="144" w:lineRule="exact"/>
              <w:rPr>
                <w:sz w:val="20"/>
                <w:szCs w:val="20"/>
                <w:color w:val="auto"/>
              </w:rPr>
            </w:pPr>
            <w:r>
              <w:rPr>
                <w:rFonts w:ascii="Times New Roman" w:cs="Times New Roman" w:eastAsia="Times New Roman" w:hAnsi="Times New Roman"/>
                <w:sz w:val="13"/>
                <w:szCs w:val="13"/>
                <w:color w:val="auto"/>
              </w:rPr>
              <w:t>HFpEF</w:t>
            </w:r>
          </w:p>
        </w:tc>
        <w:tc>
          <w:tcPr>
            <w:tcW w:w="0" w:type="dxa"/>
            <w:vAlign w:val="bottom"/>
          </w:tcPr>
          <w:p>
            <w:pPr>
              <w:spacing w:after="0"/>
              <w:rPr>
                <w:sz w:val="1"/>
                <w:szCs w:val="1"/>
                <w:color w:val="auto"/>
              </w:rPr>
            </w:pPr>
          </w:p>
        </w:tc>
      </w:tr>
    </w:tbl>
    <w:p>
      <w:pPr>
        <w:sectPr>
          <w:pgSz w:w="11900" w:h="16838" w:orient="portrait"/>
          <w:cols w:equalWidth="0" w:num="1">
            <w:col w:w="10260"/>
          </w:cols>
          <w:pgMar w:left="820" w:top="286" w:right="8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120" cy="527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3620" w:type="dxa"/>
            <w:vAlign w:val="bottom"/>
            <w:gridSpan w:val="7"/>
          </w:tcPr>
          <w:p>
            <w:pPr>
              <w:spacing w:after="0"/>
              <w:rPr>
                <w:sz w:val="20"/>
                <w:szCs w:val="20"/>
                <w:color w:val="auto"/>
              </w:rPr>
            </w:pPr>
            <w:r>
              <w:rPr>
                <w:rFonts w:ascii="Times New Roman" w:cs="Times New Roman" w:eastAsia="Times New Roman" w:hAnsi="Times New Roman"/>
                <w:sz w:val="13"/>
                <w:szCs w:val="13"/>
                <w:i w:val="1"/>
                <w:iCs w:val="1"/>
                <w:color w:val="auto"/>
              </w:rPr>
              <w:t>(Dollars in millions</w:t>
            </w:r>
            <w:r>
              <w:rPr>
                <w:rFonts w:ascii="Times New Roman" w:cs="Times New Roman" w:eastAsia="Times New Roman" w:hAnsi="Times New Roman"/>
                <w:sz w:val="13"/>
                <w:szCs w:val="13"/>
                <w:b w:val="1"/>
                <w:bCs w:val="1"/>
                <w:i w:val="1"/>
                <w:iCs w:val="1"/>
                <w:color w:val="auto"/>
              </w:rPr>
              <w:t>, except per share values</w:t>
            </w:r>
            <w:r>
              <w:rPr>
                <w:rFonts w:ascii="Times New Roman" w:cs="Times New Roman" w:eastAsia="Times New Roman" w:hAnsi="Times New Roman"/>
                <w:sz w:val="13"/>
                <w:szCs w:val="13"/>
                <w:i w:val="1"/>
                <w:iCs w:val="1"/>
                <w:color w:val="auto"/>
              </w:rPr>
              <w:t>)</w:t>
            </w: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rPr>
              <w:t>Lead Product</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40" w:type="dxa"/>
            <w:vAlign w:val="bottom"/>
          </w:tcPr>
          <w:p>
            <w:pPr>
              <w:spacing w:after="0"/>
              <w:rPr>
                <w:sz w:val="11"/>
                <w:szCs w:val="11"/>
                <w:color w:val="auto"/>
              </w:rPr>
            </w:pPr>
          </w:p>
        </w:tc>
        <w:tc>
          <w:tcPr>
            <w:tcW w:w="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Enterprise</w:t>
            </w: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880" w:type="dxa"/>
            <w:vAlign w:val="bottom"/>
            <w:gridSpan w:val="4"/>
            <w:vMerge w:val="continue"/>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620" w:type="dxa"/>
            <w:vAlign w:val="bottom"/>
            <w:gridSpan w:val="7"/>
            <w:vMerge w:val="restart"/>
          </w:tcPr>
          <w:p>
            <w:pPr>
              <w:spacing w:after="0"/>
              <w:rPr>
                <w:sz w:val="20"/>
                <w:szCs w:val="20"/>
                <w:color w:val="auto"/>
              </w:rPr>
            </w:pPr>
            <w:r>
              <w:rPr>
                <w:rFonts w:ascii="Times New Roman" w:cs="Times New Roman" w:eastAsia="Times New Roman" w:hAnsi="Times New Roman"/>
                <w:sz w:val="13"/>
                <w:szCs w:val="13"/>
                <w:color w:val="auto"/>
              </w:rPr>
              <w:t>Selected Cardiovascular Companies</w:t>
            </w:r>
          </w:p>
        </w:tc>
        <w:tc>
          <w:tcPr>
            <w:tcW w:w="116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Market</w:t>
            </w:r>
          </w:p>
        </w:tc>
        <w:tc>
          <w:tcPr>
            <w:tcW w:w="880" w:type="dxa"/>
            <w:vAlign w:val="bottom"/>
            <w:gridSpan w:val="4"/>
            <w:vMerge w:val="continue"/>
          </w:tcPr>
          <w:p>
            <w:pPr>
              <w:spacing w:after="0"/>
              <w:rPr>
                <w:sz w:val="12"/>
                <w:szCs w:val="12"/>
                <w:color w:val="auto"/>
              </w:rPr>
            </w:pP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auto"/>
              </w:rPr>
              <w:t>Phase</w:t>
            </w: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Therapeutic Category</w:t>
            </w: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Therapeutic Indication</w:t>
            </w:r>
          </w:p>
        </w:tc>
        <w:tc>
          <w:tcPr>
            <w:tcW w:w="0" w:type="dxa"/>
            <w:vAlign w:val="bottom"/>
          </w:tcPr>
          <w:p>
            <w:pPr>
              <w:spacing w:after="0"/>
              <w:rPr>
                <w:sz w:val="1"/>
                <w:szCs w:val="1"/>
                <w:color w:val="auto"/>
              </w:rPr>
            </w:pPr>
          </w:p>
        </w:tc>
      </w:tr>
      <w:tr>
        <w:trPr>
          <w:trHeight w:val="150"/>
        </w:trPr>
        <w:tc>
          <w:tcPr>
            <w:tcW w:w="3620" w:type="dxa"/>
            <w:vAlign w:val="bottom"/>
            <w:gridSpan w:val="7"/>
            <w:vMerge w:val="continue"/>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w w:val="96"/>
              </w:rPr>
              <w:t>Value</w:t>
            </w:r>
          </w:p>
        </w:tc>
        <w:tc>
          <w:tcPr>
            <w:tcW w:w="900" w:type="dxa"/>
            <w:vAlign w:val="bottom"/>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92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Verve Therapeutics, Inc.</w:t>
            </w:r>
          </w:p>
        </w:tc>
        <w:tc>
          <w:tcPr>
            <w:tcW w:w="1680" w:type="dxa"/>
            <w:vAlign w:val="bottom"/>
            <w:gridSpan w:val="2"/>
            <w:vMerge w:val="restart"/>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11.54</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928.1</w:t>
            </w: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442.9</w:t>
            </w:r>
          </w:p>
        </w:tc>
        <w:tc>
          <w:tcPr>
            <w:tcW w:w="2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vMerge w:val="continue"/>
            <w:shd w:val="clear" w:color="auto" w:fill="CCEEFF"/>
          </w:tcPr>
          <w:p>
            <w:pPr>
              <w:spacing w:after="0"/>
              <w:rPr>
                <w:sz w:val="10"/>
                <w:szCs w:val="10"/>
                <w:color w:val="auto"/>
              </w:rPr>
            </w:pPr>
          </w:p>
        </w:tc>
        <w:tc>
          <w:tcPr>
            <w:tcW w:w="116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Cardiovascular,</w:t>
            </w:r>
          </w:p>
        </w:tc>
        <w:tc>
          <w:tcPr>
            <w:tcW w:w="140" w:type="dxa"/>
            <w:vAlign w:val="bottom"/>
            <w:shd w:val="clear" w:color="auto" w:fill="CCEEFF"/>
          </w:tcPr>
          <w:p>
            <w:pPr>
              <w:spacing w:after="0"/>
              <w:rPr>
                <w:sz w:val="10"/>
                <w:szCs w:val="10"/>
                <w:color w:val="auto"/>
              </w:rPr>
            </w:pPr>
          </w:p>
        </w:tc>
        <w:tc>
          <w:tcPr>
            <w:tcW w:w="126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ASCVD, HeFH</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920" w:type="dxa"/>
            <w:vAlign w:val="bottom"/>
            <w:gridSpan w:val="4"/>
            <w:vMerge w:val="continue"/>
            <w:shd w:val="clear" w:color="auto" w:fill="CCEEFF"/>
          </w:tcPr>
          <w:p>
            <w:pPr>
              <w:spacing w:after="0"/>
              <w:rPr>
                <w:sz w:val="13"/>
                <w:szCs w:val="13"/>
                <w:color w:val="auto"/>
              </w:rPr>
            </w:pPr>
          </w:p>
        </w:tc>
        <w:tc>
          <w:tcPr>
            <w:tcW w:w="1680" w:type="dxa"/>
            <w:vAlign w:val="bottom"/>
            <w:gridSpan w:val="2"/>
            <w:vMerge w:val="continue"/>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Metabolic</w:t>
            </w:r>
          </w:p>
        </w:tc>
        <w:tc>
          <w:tcPr>
            <w:tcW w:w="140" w:type="dxa"/>
            <w:vAlign w:val="bottom"/>
            <w:shd w:val="clear" w:color="auto" w:fill="CCEEFF"/>
          </w:tcPr>
          <w:p>
            <w:pPr>
              <w:spacing w:after="0"/>
              <w:rPr>
                <w:sz w:val="13"/>
                <w:szCs w:val="13"/>
                <w:color w:val="auto"/>
              </w:rPr>
            </w:pPr>
          </w:p>
        </w:tc>
        <w:tc>
          <w:tcPr>
            <w:tcW w:w="1260" w:type="dxa"/>
            <w:vAlign w:val="bottom"/>
            <w:tcBorders>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62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Low</w:t>
            </w: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3600" w:type="dxa"/>
            <w:vAlign w:val="bottom"/>
            <w:gridSpan w:val="6"/>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High</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928.1</w:t>
            </w:r>
          </w:p>
        </w:tc>
        <w:tc>
          <w:tcPr>
            <w:tcW w:w="24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442.9</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7"/>
          </w:tcPr>
          <w:p>
            <w:pPr>
              <w:spacing w:after="0" w:line="144" w:lineRule="exact"/>
              <w:rPr>
                <w:sz w:val="20"/>
                <w:szCs w:val="20"/>
                <w:color w:val="auto"/>
              </w:rPr>
            </w:pPr>
            <w:r>
              <w:rPr>
                <w:rFonts w:ascii="Times New Roman" w:cs="Times New Roman" w:eastAsia="Times New Roman" w:hAnsi="Times New Roman"/>
                <w:sz w:val="13"/>
                <w:szCs w:val="13"/>
                <w:color w:val="auto"/>
              </w:rPr>
              <w:t>Median</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285.4</w:t>
            </w:r>
          </w:p>
        </w:tc>
        <w:tc>
          <w:tcPr>
            <w:tcW w:w="24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157.3</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00" w:type="dxa"/>
            <w:vAlign w:val="bottom"/>
            <w:gridSpan w:val="6"/>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Mean</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331.9</w:t>
            </w:r>
          </w:p>
        </w:tc>
        <w:tc>
          <w:tcPr>
            <w:tcW w:w="24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201.2</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362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Selected Early Stage Companies</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2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0" w:type="dxa"/>
            <w:vAlign w:val="bottom"/>
            <w:gridSpan w:val="6"/>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Acumen Pharmaceuticals, Inc.</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3.24</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187.6</w:t>
            </w: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95.1)</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Phase II Ready</w:t>
            </w: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Central Nervous</w:t>
            </w:r>
          </w:p>
        </w:tc>
        <w:tc>
          <w:tcPr>
            <w:tcW w:w="140" w:type="dxa"/>
            <w:vAlign w:val="bottom"/>
            <w:shd w:val="clear" w:color="auto" w:fill="CCEEFF"/>
          </w:tcPr>
          <w:p>
            <w:pPr>
              <w:spacing w:after="0"/>
              <w:rPr>
                <w:sz w:val="10"/>
                <w:szCs w:val="10"/>
                <w:color w:val="auto"/>
              </w:rPr>
            </w:pPr>
          </w:p>
        </w:tc>
        <w:tc>
          <w:tcPr>
            <w:tcW w:w="126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Alzheimer’s Disease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00" w:type="dxa"/>
            <w:vAlign w:val="bottom"/>
            <w:gridSpan w:val="6"/>
            <w:vMerge w:val="continue"/>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System</w:t>
            </w:r>
          </w:p>
        </w:tc>
        <w:tc>
          <w:tcPr>
            <w:tcW w:w="140" w:type="dxa"/>
            <w:vAlign w:val="bottom"/>
            <w:shd w:val="clear" w:color="auto" w:fill="CCEEFF"/>
          </w:tcPr>
          <w:p>
            <w:pPr>
              <w:spacing w:after="0"/>
              <w:rPr>
                <w:sz w:val="13"/>
                <w:szCs w:val="13"/>
                <w:color w:val="auto"/>
              </w:rPr>
            </w:pPr>
          </w:p>
        </w:tc>
        <w:tc>
          <w:tcPr>
            <w:tcW w:w="1260" w:type="dxa"/>
            <w:vAlign w:val="bottom"/>
            <w:tcBorders>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620" w:type="dxa"/>
            <w:vAlign w:val="bottom"/>
            <w:gridSpan w:val="7"/>
          </w:tcPr>
          <w:p>
            <w:pPr>
              <w:spacing w:after="0" w:line="144" w:lineRule="exact"/>
              <w:rPr>
                <w:sz w:val="20"/>
                <w:szCs w:val="20"/>
                <w:color w:val="auto"/>
              </w:rPr>
            </w:pPr>
            <w:r>
              <w:rPr>
                <w:rFonts w:ascii="Times New Roman" w:cs="Times New Roman" w:eastAsia="Times New Roman" w:hAnsi="Times New Roman"/>
                <w:sz w:val="13"/>
                <w:szCs w:val="13"/>
                <w:color w:val="auto"/>
              </w:rPr>
              <w:t>Apogee Therapeutics, Inc.</w:t>
            </w:r>
          </w:p>
        </w:tc>
        <w:tc>
          <w:tcPr>
            <w:tcW w:w="1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5"/>
              </w:rPr>
              <w:t>36.50</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7"/>
              </w:rPr>
              <w:t>1,849.6</w:t>
            </w:r>
          </w:p>
        </w:tc>
        <w:tc>
          <w:tcPr>
            <w:tcW w:w="24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1,426.8</w:t>
            </w:r>
          </w:p>
        </w:tc>
        <w:tc>
          <w:tcPr>
            <w:tcW w:w="200" w:type="dxa"/>
            <w:vAlign w:val="bottom"/>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tcPr>
          <w:p>
            <w:pPr>
              <w:spacing w:after="0"/>
              <w:rPr>
                <w:sz w:val="12"/>
                <w:szCs w:val="12"/>
                <w:color w:val="auto"/>
              </w:rPr>
            </w:pPr>
          </w:p>
        </w:tc>
        <w:tc>
          <w:tcPr>
            <w:tcW w:w="11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Dermatology</w:t>
            </w:r>
          </w:p>
        </w:tc>
        <w:tc>
          <w:tcPr>
            <w:tcW w:w="140" w:type="dxa"/>
            <w:vAlign w:val="bottom"/>
          </w:tcPr>
          <w:p>
            <w:pPr>
              <w:spacing w:after="0"/>
              <w:rPr>
                <w:sz w:val="12"/>
                <w:szCs w:val="12"/>
                <w:color w:val="auto"/>
              </w:rPr>
            </w:pPr>
          </w:p>
        </w:tc>
        <w:tc>
          <w:tcPr>
            <w:tcW w:w="12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Atopic Dermatitis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0" w:type="dxa"/>
            <w:vAlign w:val="bottom"/>
            <w:gridSpan w:val="6"/>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Cabaletta Bio, Inc.</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22.28</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954.7</w:t>
            </w: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790.3</w:t>
            </w:r>
          </w:p>
        </w:tc>
        <w:tc>
          <w:tcPr>
            <w:tcW w:w="2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Phase I / II</w:t>
            </w:r>
          </w:p>
        </w:tc>
        <w:tc>
          <w:tcPr>
            <w:tcW w:w="14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Immunology</w:t>
            </w:r>
          </w:p>
        </w:tc>
        <w:tc>
          <w:tcPr>
            <w:tcW w:w="140" w:type="dxa"/>
            <w:vAlign w:val="bottom"/>
            <w:shd w:val="clear" w:color="auto" w:fill="CCEEFF"/>
          </w:tcPr>
          <w:p>
            <w:pPr>
              <w:spacing w:after="0"/>
              <w:rPr>
                <w:sz w:val="10"/>
                <w:szCs w:val="10"/>
                <w:color w:val="auto"/>
              </w:rPr>
            </w:pPr>
          </w:p>
        </w:tc>
        <w:tc>
          <w:tcPr>
            <w:tcW w:w="1260" w:type="dxa"/>
            <w:vAlign w:val="bottom"/>
            <w:tcBorders>
              <w:right w:val="single" w:sz="8" w:color="CCEEFF"/>
            </w:tcBorders>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Systemic Lupus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00" w:type="dxa"/>
            <w:vAlign w:val="bottom"/>
            <w:gridSpan w:val="6"/>
            <w:vMerge w:val="continue"/>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Erythematosus (SLE)</w:t>
            </w:r>
          </w:p>
        </w:tc>
        <w:tc>
          <w:tcPr>
            <w:tcW w:w="0" w:type="dxa"/>
            <w:vAlign w:val="bottom"/>
          </w:tcPr>
          <w:p>
            <w:pPr>
              <w:spacing w:after="0"/>
              <w:rPr>
                <w:sz w:val="1"/>
                <w:szCs w:val="1"/>
                <w:color w:val="auto"/>
              </w:rPr>
            </w:pPr>
          </w:p>
        </w:tc>
      </w:tr>
      <w:tr>
        <w:trPr>
          <w:trHeight w:val="143"/>
        </w:trPr>
        <w:tc>
          <w:tcPr>
            <w:tcW w:w="3620" w:type="dxa"/>
            <w:vAlign w:val="bottom"/>
            <w:gridSpan w:val="7"/>
          </w:tcPr>
          <w:p>
            <w:pPr>
              <w:spacing w:after="0" w:line="144" w:lineRule="exact"/>
              <w:rPr>
                <w:sz w:val="20"/>
                <w:szCs w:val="20"/>
                <w:color w:val="auto"/>
              </w:rPr>
            </w:pPr>
            <w:r>
              <w:rPr>
                <w:rFonts w:ascii="Times New Roman" w:cs="Times New Roman" w:eastAsia="Times New Roman" w:hAnsi="Times New Roman"/>
                <w:sz w:val="13"/>
                <w:szCs w:val="13"/>
                <w:color w:val="auto"/>
              </w:rPr>
              <w:t>Dianthus Therapeutics, Inc.</w:t>
            </w:r>
          </w:p>
        </w:tc>
        <w:tc>
          <w:tcPr>
            <w:tcW w:w="1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5"/>
              </w:rPr>
              <w:t>17.88</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264.9</w:t>
            </w:r>
          </w:p>
        </w:tc>
        <w:tc>
          <w:tcPr>
            <w:tcW w:w="24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75.1</w:t>
            </w:r>
          </w:p>
        </w:tc>
        <w:tc>
          <w:tcPr>
            <w:tcW w:w="200" w:type="dxa"/>
            <w:vAlign w:val="bottom"/>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Phase II Ready</w:t>
            </w:r>
          </w:p>
        </w:tc>
        <w:tc>
          <w:tcPr>
            <w:tcW w:w="140" w:type="dxa"/>
            <w:vAlign w:val="bottom"/>
          </w:tcPr>
          <w:p>
            <w:pPr>
              <w:spacing w:after="0"/>
              <w:rPr>
                <w:sz w:val="12"/>
                <w:szCs w:val="12"/>
                <w:color w:val="auto"/>
              </w:rPr>
            </w:pPr>
          </w:p>
        </w:tc>
        <w:tc>
          <w:tcPr>
            <w:tcW w:w="11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Immunology</w:t>
            </w:r>
          </w:p>
        </w:tc>
        <w:tc>
          <w:tcPr>
            <w:tcW w:w="140" w:type="dxa"/>
            <w:vAlign w:val="bottom"/>
          </w:tcPr>
          <w:p>
            <w:pPr>
              <w:spacing w:after="0"/>
              <w:rPr>
                <w:sz w:val="12"/>
                <w:szCs w:val="12"/>
                <w:color w:val="auto"/>
              </w:rPr>
            </w:pPr>
          </w:p>
        </w:tc>
        <w:tc>
          <w:tcPr>
            <w:tcW w:w="12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Myasthenia Gravis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60" w:type="dxa"/>
            <w:vAlign w:val="bottom"/>
            <w:tcBorders>
              <w:right w:val="single" w:sz="8" w:color="CCEEFF"/>
            </w:tcBorders>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Developmental and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00" w:type="dxa"/>
            <w:vAlign w:val="bottom"/>
            <w:gridSpan w:val="6"/>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Longboard Pharmaceuticals, Inc.</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23.27</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843.9</w:t>
            </w: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787.9</w:t>
            </w:r>
          </w:p>
        </w:tc>
        <w:tc>
          <w:tcPr>
            <w:tcW w:w="2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Phase III Ready</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Neurology</w:t>
            </w: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ind w:left="40"/>
              <w:spacing w:after="0" w:line="138" w:lineRule="exact"/>
              <w:rPr>
                <w:sz w:val="20"/>
                <w:szCs w:val="20"/>
                <w:color w:val="auto"/>
              </w:rPr>
            </w:pPr>
            <w:r>
              <w:rPr>
                <w:rFonts w:ascii="Times New Roman" w:cs="Times New Roman" w:eastAsia="Times New Roman" w:hAnsi="Times New Roman"/>
                <w:sz w:val="13"/>
                <w:szCs w:val="13"/>
                <w:color w:val="auto"/>
              </w:rPr>
              <w:t>Epileptic</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00" w:type="dxa"/>
            <w:vAlign w:val="bottom"/>
            <w:gridSpan w:val="6"/>
            <w:vMerge w:val="continue"/>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Encephalopathy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6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auto"/>
              </w:rPr>
              <w:t>Inflammatory Bowel</w:t>
            </w:r>
          </w:p>
        </w:tc>
        <w:tc>
          <w:tcPr>
            <w:tcW w:w="0" w:type="dxa"/>
            <w:vAlign w:val="bottom"/>
          </w:tcPr>
          <w:p>
            <w:pPr>
              <w:spacing w:after="0" w:line="20" w:lineRule="exact"/>
              <w:rPr>
                <w:sz w:val="1"/>
                <w:szCs w:val="1"/>
                <w:color w:val="auto"/>
              </w:rPr>
            </w:pPr>
          </w:p>
        </w:tc>
      </w:tr>
      <w:tr>
        <w:trPr>
          <w:trHeight w:val="123"/>
        </w:trPr>
        <w:tc>
          <w:tcPr>
            <w:tcW w:w="3620" w:type="dxa"/>
            <w:vAlign w:val="bottom"/>
            <w:gridSpan w:val="7"/>
            <w:vMerge w:val="restart"/>
          </w:tcPr>
          <w:p>
            <w:pPr>
              <w:spacing w:after="0"/>
              <w:rPr>
                <w:sz w:val="20"/>
                <w:szCs w:val="20"/>
                <w:color w:val="auto"/>
              </w:rPr>
            </w:pPr>
            <w:r>
              <w:rPr>
                <w:rFonts w:ascii="Times New Roman" w:cs="Times New Roman" w:eastAsia="Times New Roman" w:hAnsi="Times New Roman"/>
                <w:sz w:val="13"/>
                <w:szCs w:val="13"/>
                <w:color w:val="auto"/>
              </w:rPr>
              <w:t>Spyre Therapeutics, Inc.</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27.50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990.6</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1,174.1</w:t>
            </w:r>
          </w:p>
        </w:tc>
        <w:tc>
          <w:tcPr>
            <w:tcW w:w="20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IND</w:t>
            </w:r>
          </w:p>
        </w:tc>
        <w:tc>
          <w:tcPr>
            <w:tcW w:w="140" w:type="dxa"/>
            <w:vAlign w:val="bottom"/>
          </w:tcPr>
          <w:p>
            <w:pPr>
              <w:spacing w:after="0"/>
              <w:rPr>
                <w:sz w:val="10"/>
                <w:szCs w:val="10"/>
                <w:color w:val="auto"/>
              </w:rPr>
            </w:pPr>
          </w:p>
        </w:tc>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Gastrointestinal</w:t>
            </w:r>
          </w:p>
        </w:tc>
        <w:tc>
          <w:tcPr>
            <w:tcW w:w="1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620" w:type="dxa"/>
            <w:vAlign w:val="bottom"/>
            <w:gridSpan w:val="7"/>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Disease</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2"/>
                <w:szCs w:val="12"/>
                <w:color w:val="auto"/>
              </w:rPr>
            </w:pPr>
          </w:p>
        </w:tc>
        <w:tc>
          <w:tcPr>
            <w:tcW w:w="3600" w:type="dxa"/>
            <w:vAlign w:val="bottom"/>
            <w:gridSpan w:val="6"/>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Structure Therapeutics Inc.</w:t>
            </w:r>
          </w:p>
        </w:tc>
        <w:tc>
          <w:tcPr>
            <w:tcW w:w="12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5"/>
              </w:rPr>
              <w:t>42.50</w:t>
            </w:r>
          </w:p>
        </w:tc>
        <w:tc>
          <w:tcPr>
            <w:tcW w:w="2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7"/>
              </w:rPr>
              <w:t>2,076.3</w:t>
            </w:r>
          </w:p>
        </w:tc>
        <w:tc>
          <w:tcPr>
            <w:tcW w:w="24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1,870.9</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II-A</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Metabolic Disorders</w:t>
            </w: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ind w:left="40"/>
              <w:spacing w:after="0" w:line="138" w:lineRule="exact"/>
              <w:rPr>
                <w:sz w:val="20"/>
                <w:szCs w:val="20"/>
                <w:color w:val="auto"/>
              </w:rPr>
            </w:pPr>
            <w:r>
              <w:rPr>
                <w:rFonts w:ascii="Times New Roman" w:cs="Times New Roman" w:eastAsia="Times New Roman" w:hAnsi="Times New Roman"/>
                <w:sz w:val="13"/>
                <w:szCs w:val="13"/>
                <w:color w:val="auto"/>
              </w:rPr>
              <w:t>Diabetes and Obesity</w:t>
            </w:r>
          </w:p>
        </w:tc>
        <w:tc>
          <w:tcPr>
            <w:tcW w:w="0" w:type="dxa"/>
            <w:vAlign w:val="bottom"/>
          </w:tcPr>
          <w:p>
            <w:pPr>
              <w:spacing w:after="0"/>
              <w:rPr>
                <w:sz w:val="1"/>
                <w:szCs w:val="1"/>
                <w:color w:val="auto"/>
              </w:rPr>
            </w:pPr>
          </w:p>
        </w:tc>
      </w:tr>
      <w:tr>
        <w:trPr>
          <w:trHeight w:val="143"/>
        </w:trPr>
        <w:tc>
          <w:tcPr>
            <w:tcW w:w="3620" w:type="dxa"/>
            <w:vAlign w:val="bottom"/>
            <w:gridSpan w:val="7"/>
          </w:tcPr>
          <w:p>
            <w:pPr>
              <w:spacing w:after="0" w:line="144" w:lineRule="exact"/>
              <w:rPr>
                <w:sz w:val="20"/>
                <w:szCs w:val="20"/>
                <w:color w:val="auto"/>
              </w:rPr>
            </w:pPr>
            <w:r>
              <w:rPr>
                <w:rFonts w:ascii="Times New Roman" w:cs="Times New Roman" w:eastAsia="Times New Roman" w:hAnsi="Times New Roman"/>
                <w:sz w:val="13"/>
                <w:szCs w:val="13"/>
                <w:color w:val="auto"/>
              </w:rPr>
              <w:t>Zura Bio Limited</w:t>
            </w:r>
          </w:p>
        </w:tc>
        <w:tc>
          <w:tcPr>
            <w:tcW w:w="1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3.20</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139.5</w:t>
            </w:r>
          </w:p>
        </w:tc>
        <w:tc>
          <w:tcPr>
            <w:tcW w:w="24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58.1</w:t>
            </w:r>
          </w:p>
        </w:tc>
        <w:tc>
          <w:tcPr>
            <w:tcW w:w="200" w:type="dxa"/>
            <w:vAlign w:val="bottom"/>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Phase II Ready</w:t>
            </w:r>
          </w:p>
        </w:tc>
        <w:tc>
          <w:tcPr>
            <w:tcW w:w="140" w:type="dxa"/>
            <w:vAlign w:val="bottom"/>
          </w:tcPr>
          <w:p>
            <w:pPr>
              <w:spacing w:after="0"/>
              <w:rPr>
                <w:sz w:val="12"/>
                <w:szCs w:val="12"/>
                <w:color w:val="auto"/>
              </w:rPr>
            </w:pPr>
          </w:p>
        </w:tc>
        <w:tc>
          <w:tcPr>
            <w:tcW w:w="11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Immunology</w:t>
            </w:r>
          </w:p>
        </w:tc>
        <w:tc>
          <w:tcPr>
            <w:tcW w:w="140" w:type="dxa"/>
            <w:vAlign w:val="bottom"/>
          </w:tcPr>
          <w:p>
            <w:pPr>
              <w:spacing w:after="0"/>
              <w:rPr>
                <w:sz w:val="12"/>
                <w:szCs w:val="12"/>
                <w:color w:val="auto"/>
              </w:rPr>
            </w:pPr>
          </w:p>
        </w:tc>
        <w:tc>
          <w:tcPr>
            <w:tcW w:w="12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Systemic Sclerosis</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2"/>
                <w:szCs w:val="12"/>
                <w:color w:val="auto"/>
              </w:rPr>
            </w:pPr>
          </w:p>
        </w:tc>
        <w:tc>
          <w:tcPr>
            <w:tcW w:w="3600" w:type="dxa"/>
            <w:vAlign w:val="bottom"/>
            <w:gridSpan w:val="6"/>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Low</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139.5</w:t>
            </w:r>
          </w:p>
        </w:tc>
        <w:tc>
          <w:tcPr>
            <w:tcW w:w="24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(95.1)</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7"/>
          </w:tcPr>
          <w:p>
            <w:pPr>
              <w:spacing w:after="0" w:line="144" w:lineRule="exact"/>
              <w:rPr>
                <w:sz w:val="20"/>
                <w:szCs w:val="20"/>
                <w:color w:val="auto"/>
              </w:rPr>
            </w:pPr>
            <w:r>
              <w:rPr>
                <w:rFonts w:ascii="Times New Roman" w:cs="Times New Roman" w:eastAsia="Times New Roman" w:hAnsi="Times New Roman"/>
                <w:sz w:val="13"/>
                <w:szCs w:val="13"/>
                <w:color w:val="auto"/>
              </w:rPr>
              <w:t>High</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7"/>
              </w:rPr>
              <w:t>2,076.3</w:t>
            </w:r>
          </w:p>
        </w:tc>
        <w:tc>
          <w:tcPr>
            <w:tcW w:w="24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1,870.9</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00" w:type="dxa"/>
            <w:vAlign w:val="bottom"/>
            <w:gridSpan w:val="6"/>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Median</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899.33</w:t>
            </w:r>
          </w:p>
        </w:tc>
        <w:tc>
          <w:tcPr>
            <w:tcW w:w="24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789.1</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20" w:type="dxa"/>
            <w:vAlign w:val="bottom"/>
            <w:gridSpan w:val="7"/>
          </w:tcPr>
          <w:p>
            <w:pPr>
              <w:spacing w:after="0" w:line="144" w:lineRule="exact"/>
              <w:rPr>
                <w:sz w:val="20"/>
                <w:szCs w:val="20"/>
                <w:color w:val="auto"/>
              </w:rPr>
            </w:pPr>
            <w:r>
              <w:rPr>
                <w:rFonts w:ascii="Times New Roman" w:cs="Times New Roman" w:eastAsia="Times New Roman" w:hAnsi="Times New Roman"/>
                <w:sz w:val="13"/>
                <w:szCs w:val="13"/>
                <w:color w:val="auto"/>
              </w:rPr>
              <w:t>Mean</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913.4</w:t>
            </w:r>
          </w:p>
        </w:tc>
        <w:tc>
          <w:tcPr>
            <w:tcW w:w="24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761.0</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auto"/>
            </w:tcBorders>
            <w:vMerge w:val="continue"/>
          </w:tcPr>
          <w:p>
            <w:pPr>
              <w:spacing w:after="0"/>
              <w:rPr>
                <w:sz w:val="10"/>
                <w:szCs w:val="10"/>
                <w:color w:val="auto"/>
              </w:rPr>
            </w:pPr>
          </w:p>
        </w:tc>
        <w:tc>
          <w:tcPr>
            <w:tcW w:w="1280" w:type="dxa"/>
            <w:vAlign w:val="bottom"/>
            <w:tcBorders>
              <w:bottom w:val="single" w:sz="8" w:color="auto"/>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All Selected Companies</w:t>
            </w:r>
          </w:p>
        </w:tc>
        <w:tc>
          <w:tcPr>
            <w:tcW w:w="2320" w:type="dxa"/>
            <w:vAlign w:val="bottom"/>
            <w:tcBorders>
              <w:bottom w:val="single" w:sz="8" w:color="CCEEFF"/>
            </w:tcBorders>
            <w:gridSpan w:val="4"/>
            <w:shd w:val="clear" w:color="auto" w:fill="CCEEFF"/>
          </w:tcPr>
          <w:p>
            <w:pPr>
              <w:spacing w:after="0"/>
              <w:rPr>
                <w:sz w:val="10"/>
                <w:szCs w:val="10"/>
                <w:color w:val="auto"/>
              </w:rPr>
            </w:pPr>
          </w:p>
        </w:tc>
        <w:tc>
          <w:tcPr>
            <w:tcW w:w="11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1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00" w:type="dxa"/>
            <w:vAlign w:val="bottom"/>
            <w:gridSpan w:val="6"/>
          </w:tcPr>
          <w:p>
            <w:pPr>
              <w:spacing w:after="0" w:line="131" w:lineRule="exact"/>
              <w:rPr>
                <w:sz w:val="20"/>
                <w:szCs w:val="20"/>
                <w:color w:val="auto"/>
              </w:rPr>
            </w:pPr>
            <w:r>
              <w:rPr>
                <w:rFonts w:ascii="Times New Roman" w:cs="Times New Roman" w:eastAsia="Times New Roman" w:hAnsi="Times New Roman"/>
                <w:sz w:val="13"/>
                <w:szCs w:val="13"/>
                <w:color w:val="auto"/>
              </w:rPr>
              <w:t>Low</w:t>
            </w: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3.0</w:t>
            </w:r>
          </w:p>
        </w:tc>
        <w:tc>
          <w:tcPr>
            <w:tcW w:w="24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(95.1)</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3600" w:type="dxa"/>
            <w:vAlign w:val="bottom"/>
            <w:gridSpan w:val="6"/>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High</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7"/>
              </w:rPr>
              <w:t>2,076.3</w:t>
            </w:r>
          </w:p>
        </w:tc>
        <w:tc>
          <w:tcPr>
            <w:tcW w:w="24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1,870.9</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7"/>
          </w:tcPr>
          <w:p>
            <w:pPr>
              <w:spacing w:after="0" w:line="144" w:lineRule="exact"/>
              <w:rPr>
                <w:sz w:val="20"/>
                <w:szCs w:val="20"/>
                <w:color w:val="auto"/>
              </w:rPr>
            </w:pPr>
            <w:r>
              <w:rPr>
                <w:rFonts w:ascii="Times New Roman" w:cs="Times New Roman" w:eastAsia="Times New Roman" w:hAnsi="Times New Roman"/>
                <w:sz w:val="13"/>
                <w:szCs w:val="13"/>
                <w:color w:val="auto"/>
              </w:rPr>
              <w:t>Median</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333.9</w:t>
            </w:r>
          </w:p>
        </w:tc>
        <w:tc>
          <w:tcPr>
            <w:tcW w:w="24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302.5</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00" w:type="dxa"/>
            <w:vAlign w:val="bottom"/>
            <w:gridSpan w:val="6"/>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Mean</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642.0</w:t>
            </w:r>
          </w:p>
        </w:tc>
        <w:tc>
          <w:tcPr>
            <w:tcW w:w="24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499.8</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160"/>
        <w:spacing w:after="0" w:line="278" w:lineRule="auto"/>
        <w:rPr>
          <w:sz w:val="20"/>
          <w:szCs w:val="20"/>
          <w:color w:val="auto"/>
        </w:rPr>
      </w:pPr>
      <w:r>
        <w:rPr>
          <w:rFonts w:ascii="Times New Roman" w:cs="Times New Roman" w:eastAsia="Times New Roman" w:hAnsi="Times New Roman"/>
          <w:sz w:val="17"/>
          <w:szCs w:val="17"/>
          <w:b w:val="1"/>
          <w:bCs w:val="1"/>
          <w:color w:val="auto"/>
        </w:rPr>
        <w:t>The disclosure under the heading “Opinion of Houlihan Lokey to the AVROBIO Board” is hereby amended and supplemented by replacing the chart on page 215 of the Registration Statement in its entirety with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40" w:type="dxa"/>
            <w:vAlign w:val="bottom"/>
            <w:gridSpan w:val="4"/>
          </w:tcPr>
          <w:p>
            <w:pPr>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Upfront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Contingent</w:t>
            </w:r>
          </w:p>
        </w:tc>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auto"/>
                <w:w w:val="97"/>
              </w:rPr>
              <w:t>Transaction</w:t>
            </w:r>
          </w:p>
        </w:tc>
        <w:tc>
          <w:tcPr>
            <w:tcW w:w="80" w:type="dxa"/>
            <w:vAlign w:val="bottom"/>
          </w:tcPr>
          <w:p>
            <w:pPr>
              <w:spacing w:after="0"/>
              <w:rPr>
                <w:sz w:val="15"/>
                <w:szCs w:val="15"/>
                <w:color w:val="auto"/>
              </w:rPr>
            </w:pPr>
          </w:p>
        </w:tc>
        <w:tc>
          <w:tcPr>
            <w:tcW w:w="2280" w:type="dxa"/>
            <w:vAlign w:val="bottom"/>
            <w:tcBorders>
              <w:bottom w:val="single" w:sz="8" w:color="auto"/>
            </w:tcBorders>
            <w:gridSpan w:val="8"/>
          </w:tcPr>
          <w:p>
            <w:pPr>
              <w:ind w:left="740"/>
              <w:spacing w:after="0"/>
              <w:rPr>
                <w:sz w:val="20"/>
                <w:szCs w:val="20"/>
                <w:color w:val="auto"/>
              </w:rPr>
            </w:pPr>
            <w:r>
              <w:rPr>
                <w:rFonts w:ascii="Times New Roman" w:cs="Times New Roman" w:eastAsia="Times New Roman" w:hAnsi="Times New Roman"/>
                <w:sz w:val="13"/>
                <w:szCs w:val="13"/>
                <w:b w:val="1"/>
                <w:bCs w:val="1"/>
                <w:color w:val="auto"/>
              </w:rPr>
              <w:t>Lead Product</w:t>
            </w:r>
          </w:p>
        </w:tc>
        <w:tc>
          <w:tcPr>
            <w:tcW w:w="0" w:type="dxa"/>
            <w:vAlign w:val="bottom"/>
          </w:tcPr>
          <w:p>
            <w:pPr>
              <w:spacing w:after="0"/>
              <w:rPr>
                <w:sz w:val="1"/>
                <w:szCs w:val="1"/>
                <w:color w:val="auto"/>
              </w:rPr>
            </w:pPr>
          </w:p>
        </w:tc>
      </w:tr>
      <w:tr>
        <w:trPr>
          <w:trHeight w:val="118"/>
        </w:trPr>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Announced</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Effective</w:t>
            </w:r>
          </w:p>
        </w:tc>
        <w:tc>
          <w:tcPr>
            <w:tcW w:w="80" w:type="dxa"/>
            <w:vAlign w:val="bottom"/>
          </w:tcPr>
          <w:p>
            <w:pPr>
              <w:spacing w:after="0"/>
              <w:rPr>
                <w:sz w:val="10"/>
                <w:szCs w:val="10"/>
                <w:color w:val="auto"/>
              </w:rPr>
            </w:pPr>
          </w:p>
        </w:tc>
        <w:tc>
          <w:tcPr>
            <w:tcW w:w="2460" w:type="dxa"/>
            <w:vAlign w:val="bottom"/>
            <w:vMerge w:val="restart"/>
          </w:tcPr>
          <w:p>
            <w:pPr>
              <w:ind w:left="1060"/>
              <w:spacing w:after="0"/>
              <w:rPr>
                <w:sz w:val="20"/>
                <w:szCs w:val="20"/>
                <w:color w:val="auto"/>
              </w:rPr>
            </w:pPr>
            <w:r>
              <w:rPr>
                <w:rFonts w:ascii="Times New Roman" w:cs="Times New Roman" w:eastAsia="Times New Roman" w:hAnsi="Times New Roman"/>
                <w:sz w:val="13"/>
                <w:szCs w:val="13"/>
                <w:color w:val="auto"/>
              </w:rPr>
              <w:t>Target</w:t>
            </w:r>
          </w:p>
        </w:tc>
        <w:tc>
          <w:tcPr>
            <w:tcW w:w="40" w:type="dxa"/>
            <w:vAlign w:val="bottom"/>
          </w:tcPr>
          <w:p>
            <w:pPr>
              <w:spacing w:after="0"/>
              <w:rPr>
                <w:sz w:val="10"/>
                <w:szCs w:val="10"/>
                <w:color w:val="auto"/>
              </w:rPr>
            </w:pPr>
          </w:p>
        </w:tc>
        <w:tc>
          <w:tcPr>
            <w:tcW w:w="1700" w:type="dxa"/>
            <w:vAlign w:val="bottom"/>
            <w:vMerge w:val="restart"/>
          </w:tcPr>
          <w:p>
            <w:pPr>
              <w:ind w:left="600"/>
              <w:spacing w:after="0"/>
              <w:rPr>
                <w:sz w:val="20"/>
                <w:szCs w:val="20"/>
                <w:color w:val="auto"/>
              </w:rPr>
            </w:pPr>
            <w:r>
              <w:rPr>
                <w:rFonts w:ascii="Times New Roman" w:cs="Times New Roman" w:eastAsia="Times New Roman" w:hAnsi="Times New Roman"/>
                <w:sz w:val="13"/>
                <w:szCs w:val="13"/>
                <w:color w:val="auto"/>
              </w:rPr>
              <w:t>Acquiror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Therapeutic</w:t>
            </w:r>
          </w:p>
        </w:tc>
        <w:tc>
          <w:tcPr>
            <w:tcW w:w="80" w:type="dxa"/>
            <w:vAlign w:val="bottom"/>
          </w:tcPr>
          <w:p>
            <w:pPr>
              <w:spacing w:after="0"/>
              <w:rPr>
                <w:sz w:val="10"/>
                <w:szCs w:val="10"/>
                <w:color w:val="auto"/>
              </w:rPr>
            </w:pPr>
          </w:p>
        </w:tc>
        <w:tc>
          <w:tcPr>
            <w:tcW w:w="76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Development</w:t>
            </w:r>
          </w:p>
        </w:tc>
        <w:tc>
          <w:tcPr>
            <w:tcW w:w="0" w:type="dxa"/>
            <w:vAlign w:val="bottom"/>
          </w:tcPr>
          <w:p>
            <w:pPr>
              <w:spacing w:after="0"/>
              <w:rPr>
                <w:sz w:val="1"/>
                <w:szCs w:val="1"/>
                <w:color w:val="auto"/>
              </w:rPr>
            </w:pPr>
          </w:p>
        </w:tc>
      </w:tr>
      <w:tr>
        <w:trPr>
          <w:trHeight w:val="151"/>
        </w:trPr>
        <w:tc>
          <w:tcPr>
            <w:tcW w:w="94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Consideration</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Consideration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Value</w:t>
            </w:r>
          </w:p>
        </w:tc>
        <w:tc>
          <w:tcPr>
            <w:tcW w:w="80" w:type="dxa"/>
            <w:vAlign w:val="bottom"/>
          </w:tcPr>
          <w:p>
            <w:pPr>
              <w:spacing w:after="0"/>
              <w:rPr>
                <w:sz w:val="13"/>
                <w:szCs w:val="13"/>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Indication</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Phase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Cardiovascular</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lef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20" w:type="dxa"/>
            <w:vAlign w:val="bottom"/>
          </w:tcPr>
          <w:p>
            <w:pPr>
              <w:spacing w:after="0" w:line="126" w:lineRule="exact"/>
              <w:rPr>
                <w:sz w:val="20"/>
                <w:szCs w:val="20"/>
                <w:color w:val="auto"/>
              </w:rPr>
            </w:pPr>
            <w:r>
              <w:rPr>
                <w:rFonts w:ascii="Times New Roman" w:cs="Times New Roman" w:eastAsia="Times New Roman" w:hAnsi="Times New Roman"/>
                <w:sz w:val="13"/>
                <w:szCs w:val="13"/>
                <w:color w:val="auto"/>
              </w:rPr>
              <w:t>9/30/22</w:t>
            </w:r>
          </w:p>
        </w:tc>
        <w:tc>
          <w:tcPr>
            <w:tcW w:w="300" w:type="dxa"/>
            <w:vAlign w:val="bottom"/>
          </w:tcPr>
          <w:p>
            <w:pPr>
              <w:spacing w:after="0"/>
              <w:rPr>
                <w:sz w:val="10"/>
                <w:szCs w:val="10"/>
                <w:color w:val="auto"/>
              </w:rPr>
            </w:pPr>
          </w:p>
        </w:tc>
        <w:tc>
          <w:tcPr>
            <w:tcW w:w="50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w w:val="99"/>
              </w:rPr>
              <w:t>10/20/22</w:t>
            </w:r>
          </w:p>
        </w:tc>
        <w:tc>
          <w:tcPr>
            <w:tcW w:w="254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3"/>
                <w:szCs w:val="13"/>
                <w:color w:val="auto"/>
              </w:rPr>
              <w:t>DJS Antibodies Ltd</w:t>
            </w:r>
          </w:p>
        </w:tc>
        <w:tc>
          <w:tcPr>
            <w:tcW w:w="174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3"/>
                <w:szCs w:val="13"/>
                <w:color w:val="auto"/>
              </w:rPr>
              <w:t>AbbVie, Inc.</w:t>
            </w:r>
          </w:p>
        </w:tc>
        <w:tc>
          <w:tcPr>
            <w:tcW w:w="14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255.0</w:t>
            </w:r>
          </w:p>
        </w:tc>
        <w:tc>
          <w:tcPr>
            <w:tcW w:w="14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95.0</w:t>
            </w:r>
          </w:p>
        </w:tc>
        <w:tc>
          <w:tcPr>
            <w:tcW w:w="18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350.0</w:t>
            </w:r>
          </w:p>
        </w:tc>
        <w:tc>
          <w:tcPr>
            <w:tcW w:w="1520" w:type="dxa"/>
            <w:vAlign w:val="bottom"/>
            <w:gridSpan w:val="4"/>
          </w:tcPr>
          <w:p>
            <w:pPr>
              <w:ind w:left="80"/>
              <w:spacing w:after="0" w:line="126" w:lineRule="exact"/>
              <w:rPr>
                <w:sz w:val="20"/>
                <w:szCs w:val="20"/>
                <w:color w:val="auto"/>
              </w:rPr>
            </w:pPr>
            <w:r>
              <w:rPr>
                <w:rFonts w:ascii="Times New Roman" w:cs="Times New Roman" w:eastAsia="Times New Roman" w:hAnsi="Times New Roman"/>
                <w:sz w:val="13"/>
                <w:szCs w:val="13"/>
                <w:b w:val="1"/>
                <w:bCs w:val="1"/>
                <w:color w:val="auto"/>
              </w:rPr>
              <w:t>Fibrotic Diseases</w:t>
            </w:r>
          </w:p>
        </w:tc>
        <w:tc>
          <w:tcPr>
            <w:tcW w:w="80" w:type="dxa"/>
            <w:vAlign w:val="bottom"/>
          </w:tcPr>
          <w:p>
            <w:pPr>
              <w:spacing w:after="0"/>
              <w:rPr>
                <w:sz w:val="10"/>
                <w:szCs w:val="10"/>
                <w:color w:val="auto"/>
              </w:rPr>
            </w:pPr>
          </w:p>
        </w:tc>
        <w:tc>
          <w:tcPr>
            <w:tcW w:w="760" w:type="dxa"/>
            <w:vAlign w:val="bottom"/>
            <w:gridSpan w:val="4"/>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9/20/22</w:t>
            </w: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12/1/22</w:t>
            </w:r>
          </w:p>
        </w:tc>
        <w:tc>
          <w:tcPr>
            <w:tcW w:w="254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Renovacor, Inc.</w:t>
            </w:r>
          </w:p>
        </w:tc>
        <w:tc>
          <w:tcPr>
            <w:tcW w:w="1740" w:type="dxa"/>
            <w:vAlign w:val="bottom"/>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Rocket Pharmaceuticals, Inc.</w:t>
            </w:r>
          </w:p>
        </w:tc>
        <w:tc>
          <w:tcPr>
            <w:tcW w:w="140" w:type="dxa"/>
            <w:vAlign w:val="bottom"/>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53.0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1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53.0</w:t>
            </w:r>
          </w:p>
        </w:tc>
        <w:tc>
          <w:tcPr>
            <w:tcW w:w="1520" w:type="dxa"/>
            <w:vAlign w:val="bottom"/>
            <w:gridSpan w:val="4"/>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Cardiomyopathy</w:t>
            </w:r>
          </w:p>
        </w:tc>
        <w:tc>
          <w:tcPr>
            <w:tcW w:w="80" w:type="dxa"/>
            <w:vAlign w:val="bottom"/>
            <w:tcBorders>
              <w:left w:val="single" w:sz="8" w:color="CCEEFF"/>
            </w:tcBorders>
            <w:shd w:val="clear" w:color="auto" w:fill="CCEEFF"/>
          </w:tcPr>
          <w:p>
            <w:pPr>
              <w:spacing w:after="0"/>
              <w:rPr>
                <w:sz w:val="10"/>
                <w:szCs w:val="10"/>
                <w:color w:val="auto"/>
              </w:rPr>
            </w:pPr>
          </w:p>
        </w:tc>
        <w:tc>
          <w:tcPr>
            <w:tcW w:w="76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2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3/23/21</w:t>
            </w:r>
          </w:p>
        </w:tc>
        <w:tc>
          <w:tcPr>
            <w:tcW w:w="300" w:type="dxa"/>
            <w:vAlign w:val="bottom"/>
          </w:tcPr>
          <w:p>
            <w:pPr>
              <w:spacing w:after="0"/>
              <w:rPr>
                <w:sz w:val="10"/>
                <w:szCs w:val="10"/>
                <w:color w:val="auto"/>
              </w:rPr>
            </w:pPr>
          </w:p>
        </w:tc>
        <w:tc>
          <w:tcPr>
            <w:tcW w:w="5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color w:val="auto"/>
              </w:rPr>
              <w:t>9/2/21</w:t>
            </w:r>
          </w:p>
        </w:tc>
        <w:tc>
          <w:tcPr>
            <w:tcW w:w="25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Chardan Healthcare Acquisition 2 Corp.</w:t>
            </w:r>
          </w:p>
        </w:tc>
        <w:tc>
          <w:tcPr>
            <w:tcW w:w="17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Renovacor, Inc.</w:t>
            </w:r>
          </w:p>
        </w:tc>
        <w:tc>
          <w:tcPr>
            <w:tcW w:w="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116.0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1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116.0</w:t>
            </w:r>
          </w:p>
        </w:tc>
        <w:tc>
          <w:tcPr>
            <w:tcW w:w="2360" w:type="dxa"/>
            <w:vAlign w:val="bottom"/>
            <w:gridSpan w:val="9"/>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 Disorders Preclinical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1/19/21</w:t>
            </w: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1/15/21</w:t>
            </w:r>
          </w:p>
        </w:tc>
        <w:tc>
          <w:tcPr>
            <w:tcW w:w="254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PH Precision Med</w:t>
            </w:r>
          </w:p>
        </w:tc>
        <w:tc>
          <w:tcPr>
            <w:tcW w:w="1740" w:type="dxa"/>
            <w:vAlign w:val="bottom"/>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Tenax Therapeutics, Inc.</w:t>
            </w:r>
          </w:p>
        </w:tc>
        <w:tc>
          <w:tcPr>
            <w:tcW w:w="140" w:type="dxa"/>
            <w:vAlign w:val="bottom"/>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21.6</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1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21.6</w:t>
            </w:r>
          </w:p>
        </w:tc>
        <w:tc>
          <w:tcPr>
            <w:tcW w:w="1520" w:type="dxa"/>
            <w:vAlign w:val="bottom"/>
            <w:gridSpan w:val="4"/>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w w:val="99"/>
              </w:rPr>
              <w:t>Pulmonary Hypertension</w:t>
            </w:r>
          </w:p>
        </w:tc>
        <w:tc>
          <w:tcPr>
            <w:tcW w:w="80" w:type="dxa"/>
            <w:vAlign w:val="bottom"/>
            <w:tcBorders>
              <w:left w:val="single" w:sz="8" w:color="CCEEFF"/>
            </w:tcBorders>
            <w:shd w:val="clear" w:color="auto" w:fill="CCEEFF"/>
          </w:tcPr>
          <w:p>
            <w:pPr>
              <w:spacing w:after="0"/>
              <w:rPr>
                <w:sz w:val="10"/>
                <w:szCs w:val="10"/>
                <w:color w:val="auto"/>
              </w:rPr>
            </w:pPr>
          </w:p>
        </w:tc>
        <w:tc>
          <w:tcPr>
            <w:tcW w:w="76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2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7/21/20</w:t>
            </w:r>
          </w:p>
        </w:tc>
        <w:tc>
          <w:tcPr>
            <w:tcW w:w="300" w:type="dxa"/>
            <w:vAlign w:val="bottom"/>
          </w:tcPr>
          <w:p>
            <w:pPr>
              <w:spacing w:after="0"/>
              <w:rPr>
                <w:sz w:val="10"/>
                <w:szCs w:val="10"/>
                <w:color w:val="auto"/>
              </w:rPr>
            </w:pPr>
          </w:p>
        </w:tc>
        <w:tc>
          <w:tcPr>
            <w:tcW w:w="5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color w:val="auto"/>
                <w:w w:val="99"/>
              </w:rPr>
              <w:t>12/14/20</w:t>
            </w:r>
          </w:p>
        </w:tc>
        <w:tc>
          <w:tcPr>
            <w:tcW w:w="25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Tenzing Acquisition Corp.</w:t>
            </w:r>
          </w:p>
        </w:tc>
        <w:tc>
          <w:tcPr>
            <w:tcW w:w="17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Reviva Pharmaceuticals, Inc.</w:t>
            </w:r>
          </w:p>
        </w:tc>
        <w:tc>
          <w:tcPr>
            <w:tcW w:w="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119.7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1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119.7</w:t>
            </w:r>
          </w:p>
        </w:tc>
        <w:tc>
          <w:tcPr>
            <w:tcW w:w="1520" w:type="dxa"/>
            <w:vAlign w:val="bottom"/>
            <w:gridSpan w:val="4"/>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w w:val="99"/>
              </w:rPr>
              <w:t>Pulmonary Hypertension</w:t>
            </w:r>
          </w:p>
        </w:tc>
        <w:tc>
          <w:tcPr>
            <w:tcW w:w="80" w:type="dxa"/>
            <w:vAlign w:val="bottom"/>
          </w:tcPr>
          <w:p>
            <w:pPr>
              <w:spacing w:after="0"/>
              <w:rPr>
                <w:sz w:val="10"/>
                <w:szCs w:val="10"/>
                <w:color w:val="auto"/>
              </w:rPr>
            </w:pPr>
          </w:p>
        </w:tc>
        <w:tc>
          <w:tcPr>
            <w:tcW w:w="76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1/13/20</w:t>
            </w: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1/13/20</w:t>
            </w:r>
          </w:p>
        </w:tc>
        <w:tc>
          <w:tcPr>
            <w:tcW w:w="4420" w:type="dxa"/>
            <w:vAlign w:val="bottom"/>
            <w:gridSpan w:val="6"/>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Viamet’s Oral Aldosterone Synthase Inhibitor PhaseBio Pharmaceuticals, Inc. $</w:t>
            </w: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0.1</w:t>
            </w:r>
          </w:p>
        </w:tc>
        <w:tc>
          <w:tcPr>
            <w:tcW w:w="140" w:type="dxa"/>
            <w:vAlign w:val="bottom"/>
            <w:gridSpan w:val="2"/>
            <w:shd w:val="clear" w:color="auto" w:fill="CCEEFF"/>
          </w:tcPr>
          <w:p>
            <w:pPr>
              <w:jc w:val="right"/>
              <w:ind w:right="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147.6</w:t>
            </w:r>
          </w:p>
        </w:tc>
        <w:tc>
          <w:tcPr>
            <w:tcW w:w="1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147.7</w:t>
            </w:r>
          </w:p>
        </w:tc>
        <w:tc>
          <w:tcPr>
            <w:tcW w:w="1520" w:type="dxa"/>
            <w:vAlign w:val="bottom"/>
            <w:gridSpan w:val="4"/>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Hypertension</w:t>
            </w:r>
          </w:p>
        </w:tc>
        <w:tc>
          <w:tcPr>
            <w:tcW w:w="80" w:type="dxa"/>
            <w:vAlign w:val="bottom"/>
            <w:tcBorders>
              <w:left w:val="single" w:sz="8" w:color="CCEEFF"/>
            </w:tcBorders>
            <w:shd w:val="clear" w:color="auto" w:fill="CCEEFF"/>
          </w:tcPr>
          <w:p>
            <w:pPr>
              <w:spacing w:after="0"/>
              <w:rPr>
                <w:sz w:val="10"/>
                <w:szCs w:val="10"/>
                <w:color w:val="auto"/>
              </w:rPr>
            </w:pPr>
          </w:p>
        </w:tc>
        <w:tc>
          <w:tcPr>
            <w:tcW w:w="76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400"/>
          </w:cols>
          <w:pgMar w:left="820" w:top="279" w:right="67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3120" cy="527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240" w:type="dxa"/>
            <w:vAlign w:val="bottom"/>
            <w:gridSpan w:val="6"/>
          </w:tcPr>
          <w:p>
            <w:pPr>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Upfront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Contingent</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Transaction</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9"/>
          </w:tcPr>
          <w:p>
            <w:pPr>
              <w:ind w:left="80"/>
              <w:spacing w:after="0"/>
              <w:rPr>
                <w:sz w:val="20"/>
                <w:szCs w:val="20"/>
                <w:color w:val="auto"/>
              </w:rPr>
            </w:pPr>
            <w:r>
              <w:rPr>
                <w:rFonts w:ascii="Times New Roman" w:cs="Times New Roman" w:eastAsia="Times New Roman" w:hAnsi="Times New Roman"/>
                <w:sz w:val="13"/>
                <w:szCs w:val="13"/>
                <w:b w:val="1"/>
                <w:bCs w:val="1"/>
                <w:color w:val="auto"/>
              </w:rPr>
              <w:t>Lead Product</w:t>
            </w: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240" w:type="dxa"/>
            <w:vAlign w:val="bottom"/>
            <w:gridSpan w:val="6"/>
            <w:vMerge w:val="restart"/>
          </w:tcPr>
          <w:p>
            <w:pPr>
              <w:spacing w:after="0"/>
              <w:rPr>
                <w:sz w:val="20"/>
                <w:szCs w:val="20"/>
                <w:color w:val="auto"/>
              </w:rPr>
            </w:pPr>
            <w:r>
              <w:rPr>
                <w:rFonts w:ascii="Times New Roman" w:cs="Times New Roman" w:eastAsia="Times New Roman" w:hAnsi="Times New Roman"/>
                <w:sz w:val="13"/>
                <w:szCs w:val="13"/>
                <w:color w:val="auto"/>
              </w:rPr>
              <w:t>Announced Effective</w:t>
            </w:r>
          </w:p>
        </w:tc>
        <w:tc>
          <w:tcPr>
            <w:tcW w:w="20" w:type="dxa"/>
            <w:vAlign w:val="bottom"/>
          </w:tcPr>
          <w:p>
            <w:pPr>
              <w:spacing w:after="0"/>
              <w:rPr>
                <w:sz w:val="10"/>
                <w:szCs w:val="10"/>
                <w:color w:val="auto"/>
              </w:rPr>
            </w:pPr>
          </w:p>
        </w:tc>
        <w:tc>
          <w:tcPr>
            <w:tcW w:w="2120" w:type="dxa"/>
            <w:vAlign w:val="bottom"/>
            <w:vMerge w:val="restart"/>
          </w:tcPr>
          <w:p>
            <w:pPr>
              <w:ind w:left="880"/>
              <w:spacing w:after="0"/>
              <w:rPr>
                <w:sz w:val="20"/>
                <w:szCs w:val="20"/>
                <w:color w:val="auto"/>
              </w:rPr>
            </w:pPr>
            <w:r>
              <w:rPr>
                <w:rFonts w:ascii="Times New Roman" w:cs="Times New Roman" w:eastAsia="Times New Roman" w:hAnsi="Times New Roman"/>
                <w:sz w:val="13"/>
                <w:szCs w:val="13"/>
                <w:color w:val="auto"/>
              </w:rPr>
              <w:t>Target</w:t>
            </w:r>
          </w:p>
        </w:tc>
        <w:tc>
          <w:tcPr>
            <w:tcW w:w="40" w:type="dxa"/>
            <w:vAlign w:val="bottom"/>
          </w:tcPr>
          <w:p>
            <w:pPr>
              <w:spacing w:after="0"/>
              <w:rPr>
                <w:sz w:val="10"/>
                <w:szCs w:val="10"/>
                <w:color w:val="auto"/>
              </w:rPr>
            </w:pPr>
          </w:p>
        </w:tc>
        <w:tc>
          <w:tcPr>
            <w:tcW w:w="2100" w:type="dxa"/>
            <w:vAlign w:val="bottom"/>
            <w:vMerge w:val="restart"/>
          </w:tcPr>
          <w:p>
            <w:pPr>
              <w:ind w:left="800"/>
              <w:spacing w:after="0"/>
              <w:rPr>
                <w:sz w:val="20"/>
                <w:szCs w:val="20"/>
                <w:color w:val="auto"/>
              </w:rPr>
            </w:pPr>
            <w:r>
              <w:rPr>
                <w:rFonts w:ascii="Times New Roman" w:cs="Times New Roman" w:eastAsia="Times New Roman" w:hAnsi="Times New Roman"/>
                <w:sz w:val="13"/>
                <w:szCs w:val="13"/>
                <w:color w:val="auto"/>
              </w:rPr>
              <w:t>Acquiror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gridSpan w:val="11"/>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Therapeutic</w:t>
            </w: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Development</w:t>
            </w:r>
          </w:p>
        </w:tc>
        <w:tc>
          <w:tcPr>
            <w:tcW w:w="0" w:type="dxa"/>
            <w:vAlign w:val="bottom"/>
          </w:tcPr>
          <w:p>
            <w:pPr>
              <w:spacing w:after="0"/>
              <w:rPr>
                <w:sz w:val="1"/>
                <w:szCs w:val="1"/>
                <w:color w:val="auto"/>
              </w:rPr>
            </w:pPr>
          </w:p>
        </w:tc>
      </w:tr>
      <w:tr>
        <w:trPr>
          <w:trHeight w:val="171"/>
        </w:trPr>
        <w:tc>
          <w:tcPr>
            <w:tcW w:w="124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Consideration</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Consideration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Value</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11"/>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Indication</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Phase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0" w:type="dxa"/>
            <w:vAlign w:val="bottom"/>
            <w:tcBorders>
              <w:top w:val="single" w:sz="8" w:color="auto"/>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Low</w:t>
            </w:r>
          </w:p>
        </w:tc>
        <w:tc>
          <w:tcPr>
            <w:tcW w:w="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1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1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0.1</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95.0</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21.6</w:t>
            </w: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right w:val="single" w:sz="8" w:color="CCEEFF"/>
            </w:tcBorders>
            <w:shd w:val="clear" w:color="auto" w:fill="CCEEFF"/>
          </w:tcPr>
          <w:p>
            <w:pPr>
              <w:spacing w:after="0"/>
              <w:rPr>
                <w:sz w:val="10"/>
                <w:szCs w:val="10"/>
                <w:color w:val="auto"/>
              </w:rPr>
            </w:pPr>
          </w:p>
        </w:tc>
        <w:tc>
          <w:tcPr>
            <w:tcW w:w="100" w:type="dxa"/>
            <w:vAlign w:val="bottom"/>
            <w:tcBorders>
              <w:top w:val="single" w:sz="8" w:color="auto"/>
              <w:left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right w:val="single" w:sz="8" w:color="CCEEFF"/>
            </w:tcBorders>
            <w:shd w:val="clear" w:color="auto" w:fill="CCEEFF"/>
          </w:tcPr>
          <w:p>
            <w:pPr>
              <w:spacing w:after="0"/>
              <w:rPr>
                <w:sz w:val="10"/>
                <w:szCs w:val="10"/>
                <w:color w:val="auto"/>
              </w:rPr>
            </w:pPr>
          </w:p>
        </w:tc>
        <w:tc>
          <w:tcPr>
            <w:tcW w:w="80" w:type="dxa"/>
            <w:vAlign w:val="bottom"/>
            <w:tcBorders>
              <w:top w:val="single" w:sz="8" w:color="auto"/>
              <w:lef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right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High</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255.0</w:t>
            </w:r>
          </w:p>
        </w:tc>
        <w:tc>
          <w:tcPr>
            <w:tcW w:w="14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147.6</w:t>
            </w:r>
          </w:p>
        </w:tc>
        <w:tc>
          <w:tcPr>
            <w:tcW w:w="1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350.0</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Median</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84.5</w:t>
            </w:r>
          </w:p>
        </w:tc>
        <w:tc>
          <w:tcPr>
            <w:tcW w:w="1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121.3</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117.9</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Mean</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Phase I</w:t>
            </w: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11/14/23</w:t>
            </w:r>
          </w:p>
        </w:tc>
        <w:tc>
          <w:tcPr>
            <w:tcW w:w="20" w:type="dxa"/>
            <w:vAlign w:val="bottom"/>
          </w:tcPr>
          <w:p>
            <w:pPr>
              <w:spacing w:after="0"/>
              <w:rPr>
                <w:sz w:val="19"/>
                <w:szCs w:val="19"/>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Pending</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Qsam Biosciences, Inc.</w:t>
            </w:r>
          </w:p>
        </w:tc>
        <w:tc>
          <w:tcPr>
            <w:tcW w:w="21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Telix Pharmaceuticals Limited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w:t>
            </w:r>
          </w:p>
        </w:tc>
        <w:tc>
          <w:tcPr>
            <w:tcW w:w="80" w:type="dxa"/>
            <w:vAlign w:val="bottom"/>
          </w:tcPr>
          <w:p>
            <w:pPr>
              <w:spacing w:after="0"/>
              <w:rPr>
                <w:sz w:val="19"/>
                <w:szCs w:val="19"/>
                <w:color w:val="auto"/>
              </w:rPr>
            </w:pPr>
          </w:p>
        </w:tc>
        <w:tc>
          <w:tcPr>
            <w:tcW w:w="1780" w:type="dxa"/>
            <w:vAlign w:val="bottom"/>
            <w:gridSpan w:val="12"/>
          </w:tcPr>
          <w:p>
            <w:pPr>
              <w:spacing w:after="0"/>
              <w:rPr>
                <w:sz w:val="20"/>
                <w:szCs w:val="20"/>
                <w:color w:val="auto"/>
              </w:rPr>
            </w:pPr>
            <w:r>
              <w:rPr>
                <w:rFonts w:ascii="Times New Roman" w:cs="Times New Roman" w:eastAsia="Times New Roman" w:hAnsi="Times New Roman"/>
                <w:sz w:val="13"/>
                <w:szCs w:val="13"/>
                <w:b w:val="1"/>
                <w:bCs w:val="1"/>
                <w:color w:val="auto"/>
              </w:rPr>
              <w:t>Osteosarcoma</w:t>
            </w: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8/21/23</w:t>
            </w:r>
          </w:p>
        </w:tc>
        <w:tc>
          <w:tcPr>
            <w:tcW w:w="5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rPr>
              <w:t>8/23/23</w:t>
            </w: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Bird Rock Bio, Inc.</w:t>
            </w:r>
          </w:p>
        </w:tc>
        <w:tc>
          <w:tcPr>
            <w:tcW w:w="2140" w:type="dxa"/>
            <w:vAlign w:val="bottom"/>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Skye Bioscience, Inc.</w:t>
            </w:r>
          </w:p>
        </w:tc>
        <w:tc>
          <w:tcPr>
            <w:tcW w:w="14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20.0</w:t>
            </w:r>
          </w:p>
        </w:tc>
        <w:tc>
          <w:tcPr>
            <w:tcW w:w="1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20.0</w:t>
            </w:r>
          </w:p>
        </w:tc>
        <w:tc>
          <w:tcPr>
            <w:tcW w:w="80" w:type="dxa"/>
            <w:vAlign w:val="bottom"/>
            <w:shd w:val="clear" w:color="auto" w:fill="CCEEFF"/>
          </w:tcPr>
          <w:p>
            <w:pPr>
              <w:spacing w:after="0"/>
              <w:rPr>
                <w:sz w:val="10"/>
                <w:szCs w:val="10"/>
                <w:color w:val="auto"/>
              </w:rPr>
            </w:pPr>
          </w:p>
        </w:tc>
        <w:tc>
          <w:tcPr>
            <w:tcW w:w="1780" w:type="dxa"/>
            <w:vAlign w:val="bottom"/>
            <w:tcBorders>
              <w:right w:val="single" w:sz="8" w:color="CCEEFF"/>
            </w:tcBorders>
            <w:gridSpan w:val="1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Chronic Kidney Disease</w:t>
            </w:r>
          </w:p>
        </w:tc>
        <w:tc>
          <w:tcPr>
            <w:tcW w:w="76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6/25/23</w:t>
            </w:r>
          </w:p>
        </w:tc>
        <w:tc>
          <w:tcPr>
            <w:tcW w:w="20" w:type="dxa"/>
            <w:vAlign w:val="bottom"/>
          </w:tcPr>
          <w:p>
            <w:pPr>
              <w:spacing w:after="0"/>
              <w:rPr>
                <w:sz w:val="10"/>
                <w:szCs w:val="10"/>
                <w:color w:val="auto"/>
              </w:rPr>
            </w:pPr>
          </w:p>
        </w:tc>
        <w:tc>
          <w:tcPr>
            <w:tcW w:w="5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Pending</w:t>
            </w:r>
          </w:p>
        </w:tc>
        <w:tc>
          <w:tcPr>
            <w:tcW w:w="21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Qpex Biopharma, Inc.</w:t>
            </w:r>
          </w:p>
        </w:tc>
        <w:tc>
          <w:tcPr>
            <w:tcW w:w="2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Shionogi, Inc.</w:t>
            </w:r>
          </w:p>
        </w:tc>
        <w:tc>
          <w:tcPr>
            <w:tcW w:w="1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100.0</w:t>
            </w:r>
          </w:p>
        </w:tc>
        <w:tc>
          <w:tcPr>
            <w:tcW w:w="1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40.0</w:t>
            </w:r>
          </w:p>
        </w:tc>
        <w:tc>
          <w:tcPr>
            <w:tcW w:w="1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140.0</w:t>
            </w:r>
          </w:p>
        </w:tc>
        <w:tc>
          <w:tcPr>
            <w:tcW w:w="80" w:type="dxa"/>
            <w:vAlign w:val="bottom"/>
          </w:tcPr>
          <w:p>
            <w:pPr>
              <w:spacing w:after="0"/>
              <w:rPr>
                <w:sz w:val="10"/>
                <w:szCs w:val="10"/>
                <w:color w:val="auto"/>
              </w:rPr>
            </w:pPr>
          </w:p>
        </w:tc>
        <w:tc>
          <w:tcPr>
            <w:tcW w:w="1480" w:type="dxa"/>
            <w:vAlign w:val="bottom"/>
            <w:tcBorders>
              <w:bottom w:val="single" w:sz="8" w:color="auto"/>
            </w:tcBorders>
            <w:gridSpan w:val="10"/>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Gram-Negative Infections</w:t>
            </w:r>
          </w:p>
        </w:tc>
        <w:tc>
          <w:tcPr>
            <w:tcW w:w="300" w:type="dxa"/>
            <w:vAlign w:val="bottom"/>
            <w:gridSpan w:val="2"/>
          </w:tcPr>
          <w:p>
            <w:pPr>
              <w:spacing w:after="0"/>
              <w:rPr>
                <w:sz w:val="10"/>
                <w:szCs w:val="10"/>
                <w:color w:val="auto"/>
              </w:rPr>
            </w:pPr>
          </w:p>
        </w:tc>
        <w:tc>
          <w:tcPr>
            <w:tcW w:w="420" w:type="dxa"/>
            <w:vAlign w:val="bottom"/>
            <w:tcBorders>
              <w:bottom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tcBorders>
              <w:bottom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2/21/23</w:t>
            </w:r>
          </w:p>
        </w:tc>
        <w:tc>
          <w:tcPr>
            <w:tcW w:w="5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rPr>
              <w:t>2/21/23</w:t>
            </w:r>
          </w:p>
        </w:tc>
        <w:tc>
          <w:tcPr>
            <w:tcW w:w="60" w:type="dxa"/>
            <w:vAlign w:val="bottom"/>
            <w:tcBorders>
              <w:bottom w:val="single" w:sz="8" w:color="CCEEFF"/>
            </w:tcBorders>
            <w:shd w:val="clear" w:color="auto" w:fill="CCEEFF"/>
          </w:tcPr>
          <w:p>
            <w:pPr>
              <w:spacing w:after="0"/>
              <w:rPr>
                <w:sz w:val="10"/>
                <w:szCs w:val="10"/>
                <w:color w:val="auto"/>
              </w:rPr>
            </w:pPr>
          </w:p>
        </w:tc>
        <w:tc>
          <w:tcPr>
            <w:tcW w:w="2140" w:type="dxa"/>
            <w:vAlign w:val="bottom"/>
            <w:tcBorders>
              <w:bottom w:val="single" w:sz="8" w:color="CCEEFF"/>
            </w:tcBorders>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Kinnjiu Biopharma Inc</w:t>
            </w:r>
          </w:p>
        </w:tc>
        <w:tc>
          <w:tcPr>
            <w:tcW w:w="2140" w:type="dxa"/>
            <w:vAlign w:val="bottom"/>
            <w:tcBorders>
              <w:bottom w:val="single" w:sz="8" w:color="CCEEFF"/>
            </w:tcBorders>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Kinnate Biopharma Inc</w:t>
            </w:r>
          </w:p>
        </w:tc>
        <w:tc>
          <w:tcPr>
            <w:tcW w:w="14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24.0</w:t>
            </w:r>
          </w:p>
        </w:tc>
        <w:tc>
          <w:tcPr>
            <w:tcW w:w="1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24.0</w:t>
            </w:r>
          </w:p>
        </w:tc>
        <w:tc>
          <w:tcPr>
            <w:tcW w:w="80" w:type="dxa"/>
            <w:vAlign w:val="bottom"/>
            <w:tcBorders>
              <w:bottom w:val="single" w:sz="8" w:color="CCEEFF"/>
            </w:tcBorders>
            <w:shd w:val="clear" w:color="auto" w:fill="CCEEFF"/>
          </w:tcPr>
          <w:p>
            <w:pPr>
              <w:spacing w:after="0"/>
              <w:rPr>
                <w:sz w:val="10"/>
                <w:szCs w:val="10"/>
                <w:color w:val="auto"/>
              </w:rPr>
            </w:pPr>
          </w:p>
        </w:tc>
        <w:tc>
          <w:tcPr>
            <w:tcW w:w="1440" w:type="dxa"/>
            <w:vAlign w:val="bottom"/>
            <w:tcBorders>
              <w:bottom w:val="single" w:sz="8" w:color="auto"/>
            </w:tcBorders>
            <w:gridSpan w:val="8"/>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Solid Tumors, Melanoma</w:t>
            </w:r>
          </w:p>
        </w:tc>
        <w:tc>
          <w:tcPr>
            <w:tcW w:w="340" w:type="dxa"/>
            <w:vAlign w:val="bottom"/>
            <w:tcBorders>
              <w:bottom w:val="single" w:sz="8" w:color="CCEEFF"/>
              <w:right w:val="single" w:sz="8" w:color="CCEEFF"/>
            </w:tcBorders>
            <w:gridSpan w:val="4"/>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11/7/22</w:t>
            </w:r>
          </w:p>
        </w:tc>
        <w:tc>
          <w:tcPr>
            <w:tcW w:w="5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11/7/22</w:t>
            </w:r>
          </w:p>
        </w:tc>
        <w:tc>
          <w:tcPr>
            <w:tcW w:w="60" w:type="dxa"/>
            <w:vAlign w:val="bottom"/>
          </w:tcPr>
          <w:p>
            <w:pPr>
              <w:spacing w:after="0"/>
              <w:rPr>
                <w:sz w:val="10"/>
                <w:szCs w:val="10"/>
                <w:color w:val="auto"/>
              </w:rPr>
            </w:pPr>
          </w:p>
        </w:tc>
        <w:tc>
          <w:tcPr>
            <w:tcW w:w="21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Fulgent Pharma LLC</w:t>
            </w:r>
          </w:p>
        </w:tc>
        <w:tc>
          <w:tcPr>
            <w:tcW w:w="2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Fulgent Genetics Inc</w:t>
            </w:r>
          </w:p>
        </w:tc>
        <w:tc>
          <w:tcPr>
            <w:tcW w:w="1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100.0</w:t>
            </w:r>
          </w:p>
        </w:tc>
        <w:tc>
          <w:tcPr>
            <w:tcW w:w="1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0"/>
                <w:szCs w:val="10"/>
                <w:color w:val="auto"/>
              </w:rPr>
            </w:pPr>
          </w:p>
        </w:tc>
        <w:tc>
          <w:tcPr>
            <w:tcW w:w="420" w:type="dxa"/>
            <w:vAlign w:val="bottom"/>
            <w:tcBorders>
              <w:bottom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8"/>
              </w:rPr>
              <w:t>Cancer</w:t>
            </w:r>
          </w:p>
        </w:tc>
        <w:tc>
          <w:tcPr>
            <w:tcW w:w="1360" w:type="dxa"/>
            <w:vAlign w:val="bottom"/>
            <w:gridSpan w:val="11"/>
          </w:tcPr>
          <w:p>
            <w:pPr>
              <w:spacing w:after="0"/>
              <w:rPr>
                <w:sz w:val="10"/>
                <w:szCs w:val="10"/>
                <w:color w:val="auto"/>
              </w:rPr>
            </w:pPr>
          </w:p>
        </w:tc>
        <w:tc>
          <w:tcPr>
            <w:tcW w:w="420" w:type="dxa"/>
            <w:vAlign w:val="bottom"/>
            <w:tcBorders>
              <w:bottom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9/19/22</w:t>
            </w:r>
          </w:p>
        </w:tc>
        <w:tc>
          <w:tcPr>
            <w:tcW w:w="5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rPr>
              <w:t>9/29/22</w:t>
            </w: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Versantis AG</w:t>
            </w:r>
          </w:p>
        </w:tc>
        <w:tc>
          <w:tcPr>
            <w:tcW w:w="2140" w:type="dxa"/>
            <w:vAlign w:val="bottom"/>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Genfit SA</w:t>
            </w:r>
          </w:p>
        </w:tc>
        <w:tc>
          <w:tcPr>
            <w:tcW w:w="14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41.4</w:t>
            </w:r>
          </w:p>
        </w:tc>
        <w:tc>
          <w:tcPr>
            <w:tcW w:w="1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67.3</w:t>
            </w:r>
          </w:p>
        </w:tc>
        <w:tc>
          <w:tcPr>
            <w:tcW w:w="1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108.8</w:t>
            </w:r>
          </w:p>
        </w:tc>
        <w:tc>
          <w:tcPr>
            <w:tcW w:w="80" w:type="dxa"/>
            <w:vAlign w:val="bottom"/>
            <w:shd w:val="clear" w:color="auto" w:fill="CCEEFF"/>
          </w:tcPr>
          <w:p>
            <w:pPr>
              <w:spacing w:after="0"/>
              <w:rPr>
                <w:sz w:val="10"/>
                <w:szCs w:val="10"/>
                <w:color w:val="auto"/>
              </w:rPr>
            </w:pPr>
          </w:p>
        </w:tc>
        <w:tc>
          <w:tcPr>
            <w:tcW w:w="1780" w:type="dxa"/>
            <w:vAlign w:val="bottom"/>
            <w:tcBorders>
              <w:right w:val="single" w:sz="8" w:color="CCEEFF"/>
            </w:tcBorders>
            <w:gridSpan w:val="1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Liver Disease</w:t>
            </w:r>
          </w:p>
        </w:tc>
        <w:tc>
          <w:tcPr>
            <w:tcW w:w="76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7/20/22</w:t>
            </w:r>
          </w:p>
        </w:tc>
        <w:tc>
          <w:tcPr>
            <w:tcW w:w="5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9"/>
              </w:rPr>
              <w:t>12/12/22</w:t>
            </w:r>
          </w:p>
        </w:tc>
        <w:tc>
          <w:tcPr>
            <w:tcW w:w="60" w:type="dxa"/>
            <w:vAlign w:val="bottom"/>
          </w:tcPr>
          <w:p>
            <w:pPr>
              <w:spacing w:after="0"/>
              <w:rPr>
                <w:sz w:val="10"/>
                <w:szCs w:val="10"/>
                <w:color w:val="auto"/>
              </w:rPr>
            </w:pPr>
          </w:p>
        </w:tc>
        <w:tc>
          <w:tcPr>
            <w:tcW w:w="21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Larkspur Health Acquisition Corp.</w:t>
            </w:r>
          </w:p>
        </w:tc>
        <w:tc>
          <w:tcPr>
            <w:tcW w:w="2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Zyversa Therapeutics Inc</w:t>
            </w:r>
          </w:p>
        </w:tc>
        <w:tc>
          <w:tcPr>
            <w:tcW w:w="1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193.6</w:t>
            </w:r>
          </w:p>
        </w:tc>
        <w:tc>
          <w:tcPr>
            <w:tcW w:w="1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193.6</w:t>
            </w:r>
          </w:p>
        </w:tc>
        <w:tc>
          <w:tcPr>
            <w:tcW w:w="80" w:type="dxa"/>
            <w:vAlign w:val="bottom"/>
          </w:tcPr>
          <w:p>
            <w:pPr>
              <w:spacing w:after="0"/>
              <w:rPr>
                <w:sz w:val="10"/>
                <w:szCs w:val="10"/>
                <w:color w:val="auto"/>
              </w:rPr>
            </w:pPr>
          </w:p>
        </w:tc>
        <w:tc>
          <w:tcPr>
            <w:tcW w:w="1300" w:type="dxa"/>
            <w:vAlign w:val="bottom"/>
            <w:tcBorders>
              <w:bottom w:val="single" w:sz="8" w:color="auto"/>
            </w:tcBorders>
            <w:gridSpan w:val="6"/>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Diabetic Nephropathy</w:t>
            </w:r>
          </w:p>
        </w:tc>
        <w:tc>
          <w:tcPr>
            <w:tcW w:w="480" w:type="dxa"/>
            <w:vAlign w:val="bottom"/>
            <w:gridSpan w:val="6"/>
          </w:tcPr>
          <w:p>
            <w:pPr>
              <w:spacing w:after="0"/>
              <w:rPr>
                <w:sz w:val="10"/>
                <w:szCs w:val="10"/>
                <w:color w:val="auto"/>
              </w:rPr>
            </w:pPr>
          </w:p>
        </w:tc>
        <w:tc>
          <w:tcPr>
            <w:tcW w:w="420" w:type="dxa"/>
            <w:vAlign w:val="bottom"/>
            <w:tcBorders>
              <w:bottom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7/5/22</w:t>
            </w:r>
          </w:p>
        </w:tc>
        <w:tc>
          <w:tcPr>
            <w:tcW w:w="2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rPr>
              <w:t>8/11/22</w:t>
            </w: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TeneoTwo Inc</w:t>
            </w:r>
          </w:p>
        </w:tc>
        <w:tc>
          <w:tcPr>
            <w:tcW w:w="2140" w:type="dxa"/>
            <w:vAlign w:val="bottom"/>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AstraZeneca Plc</w:t>
            </w:r>
          </w:p>
        </w:tc>
        <w:tc>
          <w:tcPr>
            <w:tcW w:w="14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100.0</w:t>
            </w:r>
          </w:p>
        </w:tc>
        <w:tc>
          <w:tcPr>
            <w:tcW w:w="1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1,165.0</w:t>
            </w:r>
          </w:p>
        </w:tc>
        <w:tc>
          <w:tcPr>
            <w:tcW w:w="1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1,265.0</w:t>
            </w:r>
          </w:p>
        </w:tc>
        <w:tc>
          <w:tcPr>
            <w:tcW w:w="80" w:type="dxa"/>
            <w:vAlign w:val="bottom"/>
            <w:shd w:val="clear" w:color="auto" w:fill="CCEEFF"/>
          </w:tcPr>
          <w:p>
            <w:pPr>
              <w:spacing w:after="0"/>
              <w:rPr>
                <w:sz w:val="10"/>
                <w:szCs w:val="10"/>
                <w:color w:val="auto"/>
              </w:rPr>
            </w:pPr>
          </w:p>
        </w:tc>
        <w:tc>
          <w:tcPr>
            <w:tcW w:w="1780" w:type="dxa"/>
            <w:vAlign w:val="bottom"/>
            <w:tcBorders>
              <w:right w:val="single" w:sz="8" w:color="CCEEFF"/>
            </w:tcBorders>
            <w:gridSpan w:val="1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Lymphoma</w:t>
            </w:r>
          </w:p>
        </w:tc>
        <w:tc>
          <w:tcPr>
            <w:tcW w:w="76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5/31/22</w:t>
            </w:r>
          </w:p>
        </w:tc>
        <w:tc>
          <w:tcPr>
            <w:tcW w:w="5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8/16/22</w:t>
            </w:r>
          </w:p>
        </w:tc>
        <w:tc>
          <w:tcPr>
            <w:tcW w:w="60" w:type="dxa"/>
            <w:vAlign w:val="bottom"/>
          </w:tcPr>
          <w:p>
            <w:pPr>
              <w:spacing w:after="0"/>
              <w:rPr>
                <w:sz w:val="10"/>
                <w:szCs w:val="10"/>
                <w:color w:val="auto"/>
              </w:rPr>
            </w:pPr>
          </w:p>
        </w:tc>
        <w:tc>
          <w:tcPr>
            <w:tcW w:w="21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Affinivax Inc</w:t>
            </w:r>
          </w:p>
        </w:tc>
        <w:tc>
          <w:tcPr>
            <w:tcW w:w="2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GSK Plc</w:t>
            </w:r>
          </w:p>
        </w:tc>
        <w:tc>
          <w:tcPr>
            <w:tcW w:w="1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2,100.0</w:t>
            </w:r>
          </w:p>
        </w:tc>
        <w:tc>
          <w:tcPr>
            <w:tcW w:w="1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1,200.0</w:t>
            </w:r>
          </w:p>
        </w:tc>
        <w:tc>
          <w:tcPr>
            <w:tcW w:w="1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3,300.0</w:t>
            </w:r>
          </w:p>
        </w:tc>
        <w:tc>
          <w:tcPr>
            <w:tcW w:w="80" w:type="dxa"/>
            <w:vAlign w:val="bottom"/>
          </w:tcPr>
          <w:p>
            <w:pPr>
              <w:spacing w:after="0"/>
              <w:rPr>
                <w:sz w:val="10"/>
                <w:szCs w:val="10"/>
                <w:color w:val="auto"/>
              </w:rPr>
            </w:pPr>
          </w:p>
        </w:tc>
        <w:tc>
          <w:tcPr>
            <w:tcW w:w="1780" w:type="dxa"/>
            <w:vAlign w:val="bottom"/>
            <w:gridSpan w:val="1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Streptococcal Pneumonia</w:t>
            </w: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3/1/22</w:t>
            </w:r>
          </w:p>
        </w:tc>
        <w:tc>
          <w:tcPr>
            <w:tcW w:w="2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rPr>
              <w:t>3/1/22</w:t>
            </w: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Syndesi Therapeutics SA</w:t>
            </w:r>
          </w:p>
        </w:tc>
        <w:tc>
          <w:tcPr>
            <w:tcW w:w="2140" w:type="dxa"/>
            <w:vAlign w:val="bottom"/>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AbbVie Inc</w:t>
            </w:r>
          </w:p>
        </w:tc>
        <w:tc>
          <w:tcPr>
            <w:tcW w:w="14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130.0</w:t>
            </w:r>
          </w:p>
        </w:tc>
        <w:tc>
          <w:tcPr>
            <w:tcW w:w="1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870.0</w:t>
            </w:r>
          </w:p>
        </w:tc>
        <w:tc>
          <w:tcPr>
            <w:tcW w:w="1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1,000.0</w:t>
            </w:r>
          </w:p>
        </w:tc>
        <w:tc>
          <w:tcPr>
            <w:tcW w:w="80" w:type="dxa"/>
            <w:vAlign w:val="bottom"/>
            <w:shd w:val="clear" w:color="auto" w:fill="CCEEFF"/>
          </w:tcPr>
          <w:p>
            <w:pPr>
              <w:spacing w:after="0"/>
              <w:rPr>
                <w:sz w:val="10"/>
                <w:szCs w:val="10"/>
                <w:color w:val="auto"/>
              </w:rPr>
            </w:pPr>
          </w:p>
        </w:tc>
        <w:tc>
          <w:tcPr>
            <w:tcW w:w="1440" w:type="dxa"/>
            <w:vAlign w:val="bottom"/>
            <w:tcBorders>
              <w:top w:val="single" w:sz="8" w:color="auto"/>
            </w:tcBorders>
            <w:gridSpan w:val="8"/>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Alzheimer’s Disease</w:t>
            </w:r>
          </w:p>
        </w:tc>
        <w:tc>
          <w:tcPr>
            <w:tcW w:w="340" w:type="dxa"/>
            <w:vAlign w:val="bottom"/>
            <w:tcBorders>
              <w:right w:val="single" w:sz="8" w:color="CCEEFF"/>
            </w:tcBorders>
            <w:gridSpan w:val="4"/>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tcBorders>
              <w:top w:val="single" w:sz="8" w:color="CCEEFF"/>
            </w:tcBorders>
            <w:gridSpan w:val="2"/>
          </w:tcPr>
          <w:p>
            <w:pPr>
              <w:spacing w:after="0" w:line="118" w:lineRule="exact"/>
              <w:rPr>
                <w:sz w:val="20"/>
                <w:szCs w:val="20"/>
                <w:color w:val="auto"/>
              </w:rPr>
            </w:pPr>
            <w:r>
              <w:rPr>
                <w:rFonts w:ascii="Times New Roman" w:cs="Times New Roman" w:eastAsia="Times New Roman" w:hAnsi="Times New Roman"/>
                <w:sz w:val="13"/>
                <w:szCs w:val="13"/>
                <w:color w:val="auto"/>
              </w:rPr>
              <w:t>12/14/21</w:t>
            </w:r>
          </w:p>
        </w:tc>
        <w:tc>
          <w:tcPr>
            <w:tcW w:w="540" w:type="dxa"/>
            <w:vAlign w:val="bottom"/>
            <w:tcBorders>
              <w:top w:val="single" w:sz="8" w:color="CCEEFF"/>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3/11/22</w:t>
            </w:r>
          </w:p>
        </w:tc>
        <w:tc>
          <w:tcPr>
            <w:tcW w:w="60" w:type="dxa"/>
            <w:vAlign w:val="bottom"/>
            <w:tcBorders>
              <w:top w:val="single" w:sz="8" w:color="CCEEFF"/>
            </w:tcBorders>
          </w:tcPr>
          <w:p>
            <w:pPr>
              <w:spacing w:after="0"/>
              <w:rPr>
                <w:sz w:val="10"/>
                <w:szCs w:val="10"/>
                <w:color w:val="auto"/>
              </w:rPr>
            </w:pPr>
          </w:p>
        </w:tc>
        <w:tc>
          <w:tcPr>
            <w:tcW w:w="2140" w:type="dxa"/>
            <w:vAlign w:val="bottom"/>
            <w:tcBorders>
              <w:top w:val="single" w:sz="8" w:color="CCEEFF"/>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VCN Biosciences SL</w:t>
            </w:r>
          </w:p>
        </w:tc>
        <w:tc>
          <w:tcPr>
            <w:tcW w:w="2140" w:type="dxa"/>
            <w:vAlign w:val="bottom"/>
            <w:tcBorders>
              <w:top w:val="single" w:sz="8" w:color="CCEEFF"/>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Theriva Biologics Inc</w:t>
            </w:r>
          </w:p>
        </w:tc>
        <w:tc>
          <w:tcPr>
            <w:tcW w:w="140" w:type="dxa"/>
            <w:vAlign w:val="bottom"/>
            <w:tcBorders>
              <w:top w:val="single" w:sz="8" w:color="CCEEFF"/>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4.7</w:t>
            </w:r>
          </w:p>
        </w:tc>
        <w:tc>
          <w:tcPr>
            <w:tcW w:w="140" w:type="dxa"/>
            <w:vAlign w:val="bottom"/>
            <w:tcBorders>
              <w:top w:val="single" w:sz="8" w:color="CCEEFF"/>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70.3</w:t>
            </w:r>
          </w:p>
        </w:tc>
        <w:tc>
          <w:tcPr>
            <w:tcW w:w="180" w:type="dxa"/>
            <w:vAlign w:val="bottom"/>
            <w:tcBorders>
              <w:top w:val="single" w:sz="8" w:color="CCEEFF"/>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75.0</w:t>
            </w:r>
          </w:p>
        </w:tc>
        <w:tc>
          <w:tcPr>
            <w:tcW w:w="80" w:type="dxa"/>
            <w:vAlign w:val="bottom"/>
            <w:tcBorders>
              <w:top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8"/>
              </w:rPr>
              <w:t>Cancer</w:t>
            </w:r>
          </w:p>
        </w:tc>
        <w:tc>
          <w:tcPr>
            <w:tcW w:w="720" w:type="dxa"/>
            <w:vAlign w:val="bottom"/>
            <w:tcBorders>
              <w:top w:val="single" w:sz="8" w:color="auto"/>
            </w:tcBorders>
            <w:gridSpan w:val="4"/>
          </w:tcPr>
          <w:p>
            <w:pPr>
              <w:spacing w:after="0"/>
              <w:rPr>
                <w:sz w:val="10"/>
                <w:szCs w:val="10"/>
                <w:color w:val="auto"/>
              </w:rPr>
            </w:pPr>
          </w:p>
        </w:tc>
        <w:tc>
          <w:tcPr>
            <w:tcW w:w="640" w:type="dxa"/>
            <w:vAlign w:val="bottom"/>
            <w:tcBorders>
              <w:top w:val="single" w:sz="8" w:color="CCEEFF"/>
            </w:tcBorders>
            <w:gridSpan w:val="7"/>
          </w:tcPr>
          <w:p>
            <w:pPr>
              <w:spacing w:after="0"/>
              <w:rPr>
                <w:sz w:val="10"/>
                <w:szCs w:val="10"/>
                <w:color w:val="auto"/>
              </w:rPr>
            </w:pPr>
          </w:p>
        </w:tc>
        <w:tc>
          <w:tcPr>
            <w:tcW w:w="42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tcBorders>
              <w:bottom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11/11/21</w:t>
            </w:r>
          </w:p>
        </w:tc>
        <w:tc>
          <w:tcPr>
            <w:tcW w:w="5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9"/>
              </w:rPr>
              <w:t>12/13/21</w:t>
            </w:r>
          </w:p>
        </w:tc>
        <w:tc>
          <w:tcPr>
            <w:tcW w:w="60" w:type="dxa"/>
            <w:vAlign w:val="bottom"/>
            <w:tcBorders>
              <w:bottom w:val="single" w:sz="8" w:color="CCEEFF"/>
            </w:tcBorders>
            <w:shd w:val="clear" w:color="auto" w:fill="CCEEFF"/>
          </w:tcPr>
          <w:p>
            <w:pPr>
              <w:spacing w:after="0"/>
              <w:rPr>
                <w:sz w:val="10"/>
                <w:szCs w:val="10"/>
                <w:color w:val="auto"/>
              </w:rPr>
            </w:pPr>
          </w:p>
        </w:tc>
        <w:tc>
          <w:tcPr>
            <w:tcW w:w="2140" w:type="dxa"/>
            <w:vAlign w:val="bottom"/>
            <w:tcBorders>
              <w:bottom w:val="single" w:sz="8" w:color="CCEEFF"/>
            </w:tcBorders>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Forendo Pharma Ltd</w:t>
            </w:r>
          </w:p>
        </w:tc>
        <w:tc>
          <w:tcPr>
            <w:tcW w:w="2140" w:type="dxa"/>
            <w:vAlign w:val="bottom"/>
            <w:tcBorders>
              <w:bottom w:val="single" w:sz="8" w:color="CCEEFF"/>
            </w:tcBorders>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Organon &amp; Co</w:t>
            </w:r>
          </w:p>
        </w:tc>
        <w:tc>
          <w:tcPr>
            <w:tcW w:w="14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75.0</w:t>
            </w:r>
          </w:p>
        </w:tc>
        <w:tc>
          <w:tcPr>
            <w:tcW w:w="1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870.0</w:t>
            </w:r>
          </w:p>
        </w:tc>
        <w:tc>
          <w:tcPr>
            <w:tcW w:w="1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945.0</w:t>
            </w:r>
          </w:p>
        </w:tc>
        <w:tc>
          <w:tcPr>
            <w:tcW w:w="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auto"/>
              <w:right w:val="single" w:sz="8" w:color="CCEEFF"/>
            </w:tcBorders>
            <w:gridSpan w:val="3"/>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4"/>
              </w:rPr>
              <w:t>Endometriosis</w:t>
            </w:r>
          </w:p>
        </w:tc>
        <w:tc>
          <w:tcPr>
            <w:tcW w:w="980" w:type="dxa"/>
            <w:vAlign w:val="bottom"/>
            <w:tcBorders>
              <w:left w:val="single" w:sz="8" w:color="CCEEFF"/>
              <w:bottom w:val="single" w:sz="8" w:color="CCEEFF"/>
              <w:right w:val="single" w:sz="8" w:color="CCEEFF"/>
            </w:tcBorders>
            <w:gridSpan w:val="9"/>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11/11/21</w:t>
            </w:r>
          </w:p>
        </w:tc>
        <w:tc>
          <w:tcPr>
            <w:tcW w:w="5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9"/>
              </w:rPr>
              <w:t>11/11/21</w:t>
            </w:r>
          </w:p>
        </w:tc>
        <w:tc>
          <w:tcPr>
            <w:tcW w:w="60" w:type="dxa"/>
            <w:vAlign w:val="bottom"/>
          </w:tcPr>
          <w:p>
            <w:pPr>
              <w:spacing w:after="0"/>
              <w:rPr>
                <w:sz w:val="10"/>
                <w:szCs w:val="10"/>
                <w:color w:val="auto"/>
              </w:rPr>
            </w:pPr>
          </w:p>
        </w:tc>
        <w:tc>
          <w:tcPr>
            <w:tcW w:w="21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Abfero Pharmaceuticals Inc</w:t>
            </w:r>
          </w:p>
        </w:tc>
        <w:tc>
          <w:tcPr>
            <w:tcW w:w="2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Pharmacosmos AS</w:t>
            </w:r>
          </w:p>
        </w:tc>
        <w:tc>
          <w:tcPr>
            <w:tcW w:w="1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225.0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Undisclosed</w:t>
            </w:r>
          </w:p>
        </w:tc>
        <w:tc>
          <w:tcPr>
            <w:tcW w:w="1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225.0</w:t>
            </w:r>
          </w:p>
        </w:tc>
        <w:tc>
          <w:tcPr>
            <w:tcW w:w="80" w:type="dxa"/>
            <w:vAlign w:val="bottom"/>
          </w:tcPr>
          <w:p>
            <w:pPr>
              <w:spacing w:after="0"/>
              <w:rPr>
                <w:sz w:val="10"/>
                <w:szCs w:val="10"/>
                <w:color w:val="auto"/>
              </w:rPr>
            </w:pPr>
          </w:p>
        </w:tc>
        <w:tc>
          <w:tcPr>
            <w:tcW w:w="1780" w:type="dxa"/>
            <w:vAlign w:val="bottom"/>
            <w:gridSpan w:val="1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Diseases of Iron Overload</w:t>
            </w: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10/26/21</w:t>
            </w:r>
          </w:p>
        </w:tc>
        <w:tc>
          <w:tcPr>
            <w:tcW w:w="5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9"/>
              </w:rPr>
              <w:t>10/26/21</w:t>
            </w:r>
          </w:p>
        </w:tc>
        <w:tc>
          <w:tcPr>
            <w:tcW w:w="60" w:type="dxa"/>
            <w:vAlign w:val="bottom"/>
            <w:shd w:val="clear" w:color="auto" w:fill="CCEEFF"/>
          </w:tcPr>
          <w:p>
            <w:pPr>
              <w:spacing w:after="0"/>
              <w:rPr>
                <w:sz w:val="10"/>
                <w:szCs w:val="10"/>
                <w:color w:val="auto"/>
              </w:rPr>
            </w:pPr>
          </w:p>
        </w:tc>
        <w:tc>
          <w:tcPr>
            <w:tcW w:w="4420" w:type="dxa"/>
            <w:vAlign w:val="bottom"/>
            <w:gridSpan w:val="6"/>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Chengdu Antkin Biotechnology Co Ltd Shanghai Fosun Pharmaceutical Group $</w:t>
            </w: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627.3</w:t>
            </w:r>
          </w:p>
        </w:tc>
        <w:tc>
          <w:tcPr>
            <w:tcW w:w="1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627.3</w:t>
            </w:r>
          </w:p>
        </w:tc>
        <w:tc>
          <w:tcPr>
            <w:tcW w:w="80" w:type="dxa"/>
            <w:vAlign w:val="bottom"/>
            <w:shd w:val="clear" w:color="auto" w:fill="CCEEFF"/>
          </w:tcPr>
          <w:p>
            <w:pPr>
              <w:spacing w:after="0"/>
              <w:rPr>
                <w:sz w:val="10"/>
                <w:szCs w:val="10"/>
                <w:color w:val="auto"/>
              </w:rPr>
            </w:pPr>
          </w:p>
        </w:tc>
        <w:tc>
          <w:tcPr>
            <w:tcW w:w="1460" w:type="dxa"/>
            <w:vAlign w:val="bottom"/>
            <w:tcBorders>
              <w:top w:val="single" w:sz="8" w:color="auto"/>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Streptococcal Pneumonia</w:t>
            </w:r>
          </w:p>
        </w:tc>
        <w:tc>
          <w:tcPr>
            <w:tcW w:w="320" w:type="dxa"/>
            <w:vAlign w:val="bottom"/>
            <w:tcBorders>
              <w:right w:val="single" w:sz="8" w:color="CCEEFF"/>
            </w:tcBorders>
            <w:gridSpan w:val="3"/>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tcBorders>
              <w:top w:val="single" w:sz="8" w:color="CCEEFF"/>
            </w:tcBorders>
            <w:gridSpan w:val="2"/>
          </w:tcPr>
          <w:p>
            <w:pPr>
              <w:spacing w:after="0" w:line="118" w:lineRule="exact"/>
              <w:rPr>
                <w:sz w:val="20"/>
                <w:szCs w:val="20"/>
                <w:color w:val="auto"/>
              </w:rPr>
            </w:pPr>
            <w:r>
              <w:rPr>
                <w:rFonts w:ascii="Times New Roman" w:cs="Times New Roman" w:eastAsia="Times New Roman" w:hAnsi="Times New Roman"/>
                <w:sz w:val="13"/>
                <w:szCs w:val="13"/>
                <w:color w:val="auto"/>
              </w:rPr>
              <w:t>7/27/21</w:t>
            </w:r>
          </w:p>
        </w:tc>
        <w:tc>
          <w:tcPr>
            <w:tcW w:w="540" w:type="dxa"/>
            <w:vAlign w:val="bottom"/>
            <w:tcBorders>
              <w:top w:val="single" w:sz="8" w:color="CCEEFF"/>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9"/>
              </w:rPr>
              <w:t>10/19/21</w:t>
            </w:r>
          </w:p>
        </w:tc>
        <w:tc>
          <w:tcPr>
            <w:tcW w:w="60" w:type="dxa"/>
            <w:vAlign w:val="bottom"/>
            <w:tcBorders>
              <w:top w:val="single" w:sz="8" w:color="CCEEFF"/>
            </w:tcBorders>
          </w:tcPr>
          <w:p>
            <w:pPr>
              <w:spacing w:after="0"/>
              <w:rPr>
                <w:sz w:val="10"/>
                <w:szCs w:val="10"/>
                <w:color w:val="auto"/>
              </w:rPr>
            </w:pPr>
          </w:p>
        </w:tc>
        <w:tc>
          <w:tcPr>
            <w:tcW w:w="2140" w:type="dxa"/>
            <w:vAlign w:val="bottom"/>
            <w:tcBorders>
              <w:top w:val="single" w:sz="8" w:color="CCEEFF"/>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TeneoBio Inc</w:t>
            </w:r>
          </w:p>
        </w:tc>
        <w:tc>
          <w:tcPr>
            <w:tcW w:w="2140" w:type="dxa"/>
            <w:vAlign w:val="bottom"/>
            <w:tcBorders>
              <w:top w:val="single" w:sz="8" w:color="CCEEFF"/>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Amgen Inc</w:t>
            </w:r>
          </w:p>
        </w:tc>
        <w:tc>
          <w:tcPr>
            <w:tcW w:w="140" w:type="dxa"/>
            <w:vAlign w:val="bottom"/>
            <w:tcBorders>
              <w:top w:val="single" w:sz="8" w:color="CCEEFF"/>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900.0</w:t>
            </w:r>
          </w:p>
        </w:tc>
        <w:tc>
          <w:tcPr>
            <w:tcW w:w="140" w:type="dxa"/>
            <w:vAlign w:val="bottom"/>
            <w:tcBorders>
              <w:top w:val="single" w:sz="8" w:color="CCEEFF"/>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1,600.0</w:t>
            </w:r>
          </w:p>
        </w:tc>
        <w:tc>
          <w:tcPr>
            <w:tcW w:w="180" w:type="dxa"/>
            <w:vAlign w:val="bottom"/>
            <w:tcBorders>
              <w:top w:val="single" w:sz="8" w:color="CCEEFF"/>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2,500.0</w:t>
            </w:r>
          </w:p>
        </w:tc>
        <w:tc>
          <w:tcPr>
            <w:tcW w:w="80" w:type="dxa"/>
            <w:vAlign w:val="bottom"/>
            <w:tcBorders>
              <w:top w:val="single" w:sz="8" w:color="CCEEFF"/>
            </w:tcBorders>
          </w:tcPr>
          <w:p>
            <w:pPr>
              <w:spacing w:after="0"/>
              <w:rPr>
                <w:sz w:val="10"/>
                <w:szCs w:val="10"/>
                <w:color w:val="auto"/>
              </w:rPr>
            </w:pPr>
          </w:p>
        </w:tc>
        <w:tc>
          <w:tcPr>
            <w:tcW w:w="1300" w:type="dxa"/>
            <w:vAlign w:val="bottom"/>
            <w:tcBorders>
              <w:top w:val="single" w:sz="8" w:color="auto"/>
              <w:bottom w:val="single" w:sz="8" w:color="auto"/>
            </w:tcBorders>
            <w:gridSpan w:val="6"/>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Myeloma, Lymphoma</w:t>
            </w:r>
          </w:p>
        </w:tc>
        <w:tc>
          <w:tcPr>
            <w:tcW w:w="140" w:type="dxa"/>
            <w:vAlign w:val="bottom"/>
            <w:tcBorders>
              <w:top w:val="single" w:sz="8" w:color="auto"/>
            </w:tcBorders>
            <w:gridSpan w:val="2"/>
          </w:tcPr>
          <w:p>
            <w:pPr>
              <w:spacing w:after="0"/>
              <w:rPr>
                <w:sz w:val="10"/>
                <w:szCs w:val="10"/>
                <w:color w:val="auto"/>
              </w:rPr>
            </w:pPr>
          </w:p>
        </w:tc>
        <w:tc>
          <w:tcPr>
            <w:tcW w:w="340" w:type="dxa"/>
            <w:vAlign w:val="bottom"/>
            <w:tcBorders>
              <w:top w:val="single" w:sz="8" w:color="CCEEFF"/>
            </w:tcBorders>
            <w:gridSpan w:val="4"/>
          </w:tcPr>
          <w:p>
            <w:pPr>
              <w:spacing w:after="0"/>
              <w:rPr>
                <w:sz w:val="10"/>
                <w:szCs w:val="10"/>
                <w:color w:val="auto"/>
              </w:rPr>
            </w:pPr>
          </w:p>
        </w:tc>
        <w:tc>
          <w:tcPr>
            <w:tcW w:w="42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tcBorders>
              <w:bottom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2/26/21</w:t>
            </w:r>
          </w:p>
        </w:tc>
        <w:tc>
          <w:tcPr>
            <w:tcW w:w="5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rPr>
              <w:t>3/31/21</w:t>
            </w:r>
          </w:p>
        </w:tc>
        <w:tc>
          <w:tcPr>
            <w:tcW w:w="60" w:type="dxa"/>
            <w:vAlign w:val="bottom"/>
            <w:tcBorders>
              <w:bottom w:val="single" w:sz="8" w:color="CCEEFF"/>
            </w:tcBorders>
            <w:shd w:val="clear" w:color="auto" w:fill="CCEEFF"/>
          </w:tcPr>
          <w:p>
            <w:pPr>
              <w:spacing w:after="0"/>
              <w:rPr>
                <w:sz w:val="10"/>
                <w:szCs w:val="10"/>
                <w:color w:val="auto"/>
              </w:rPr>
            </w:pPr>
          </w:p>
        </w:tc>
        <w:tc>
          <w:tcPr>
            <w:tcW w:w="2140" w:type="dxa"/>
            <w:vAlign w:val="bottom"/>
            <w:tcBorders>
              <w:bottom w:val="single" w:sz="8" w:color="CCEEFF"/>
            </w:tcBorders>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Silicon Therapeutics LLC</w:t>
            </w:r>
          </w:p>
        </w:tc>
        <w:tc>
          <w:tcPr>
            <w:tcW w:w="2140" w:type="dxa"/>
            <w:vAlign w:val="bottom"/>
            <w:tcBorders>
              <w:bottom w:val="single" w:sz="8" w:color="CCEEFF"/>
            </w:tcBorders>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Roivant Sciences Ltd</w:t>
            </w:r>
          </w:p>
        </w:tc>
        <w:tc>
          <w:tcPr>
            <w:tcW w:w="14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450.0</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Undisclosed</w:t>
            </w:r>
          </w:p>
        </w:tc>
        <w:tc>
          <w:tcPr>
            <w:tcW w:w="1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450.0</w:t>
            </w:r>
          </w:p>
        </w:tc>
        <w:tc>
          <w:tcPr>
            <w:tcW w:w="8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8"/>
              </w:rPr>
              <w:t>Cancer</w:t>
            </w:r>
          </w:p>
        </w:tc>
        <w:tc>
          <w:tcPr>
            <w:tcW w:w="1360" w:type="dxa"/>
            <w:vAlign w:val="bottom"/>
            <w:tcBorders>
              <w:bottom w:val="single" w:sz="8" w:color="CCEEFF"/>
              <w:right w:val="single" w:sz="8" w:color="CCEEFF"/>
            </w:tcBorders>
            <w:gridSpan w:val="11"/>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2/1/21</w:t>
            </w:r>
          </w:p>
        </w:tc>
        <w:tc>
          <w:tcPr>
            <w:tcW w:w="260" w:type="dxa"/>
            <w:vAlign w:val="bottom"/>
          </w:tcPr>
          <w:p>
            <w:pPr>
              <w:spacing w:after="0"/>
              <w:rPr>
                <w:sz w:val="10"/>
                <w:szCs w:val="10"/>
                <w:color w:val="auto"/>
              </w:rPr>
            </w:pPr>
          </w:p>
        </w:tc>
        <w:tc>
          <w:tcPr>
            <w:tcW w:w="5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6/30/21</w:t>
            </w:r>
          </w:p>
        </w:tc>
        <w:tc>
          <w:tcPr>
            <w:tcW w:w="60" w:type="dxa"/>
            <w:vAlign w:val="bottom"/>
          </w:tcPr>
          <w:p>
            <w:pPr>
              <w:spacing w:after="0"/>
              <w:rPr>
                <w:sz w:val="10"/>
                <w:szCs w:val="10"/>
                <w:color w:val="auto"/>
              </w:rPr>
            </w:pPr>
          </w:p>
        </w:tc>
        <w:tc>
          <w:tcPr>
            <w:tcW w:w="21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Leisure Acquisition Corp.</w:t>
            </w:r>
          </w:p>
        </w:tc>
        <w:tc>
          <w:tcPr>
            <w:tcW w:w="2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Ensysce Biosciences Inc</w:t>
            </w:r>
          </w:p>
        </w:tc>
        <w:tc>
          <w:tcPr>
            <w:tcW w:w="1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207.0</w:t>
            </w:r>
          </w:p>
        </w:tc>
        <w:tc>
          <w:tcPr>
            <w:tcW w:w="1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207.0</w:t>
            </w:r>
          </w:p>
        </w:tc>
        <w:tc>
          <w:tcPr>
            <w:tcW w:w="80" w:type="dxa"/>
            <w:vAlign w:val="bottom"/>
          </w:tcPr>
          <w:p>
            <w:pPr>
              <w:spacing w:after="0"/>
              <w:rPr>
                <w:sz w:val="10"/>
                <w:szCs w:val="10"/>
                <w:color w:val="auto"/>
              </w:rPr>
            </w:pPr>
          </w:p>
        </w:tc>
        <w:tc>
          <w:tcPr>
            <w:tcW w:w="1300" w:type="dxa"/>
            <w:vAlign w:val="bottom"/>
            <w:tcBorders>
              <w:bottom w:val="single" w:sz="8" w:color="auto"/>
            </w:tcBorders>
            <w:gridSpan w:val="6"/>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9"/>
              </w:rPr>
              <w:t>Pain, Substance Abuse</w:t>
            </w:r>
          </w:p>
        </w:tc>
        <w:tc>
          <w:tcPr>
            <w:tcW w:w="480" w:type="dxa"/>
            <w:vAlign w:val="bottom"/>
            <w:gridSpan w:val="6"/>
          </w:tcPr>
          <w:p>
            <w:pPr>
              <w:spacing w:after="0"/>
              <w:rPr>
                <w:sz w:val="10"/>
                <w:szCs w:val="10"/>
                <w:color w:val="auto"/>
              </w:rPr>
            </w:pPr>
          </w:p>
        </w:tc>
        <w:tc>
          <w:tcPr>
            <w:tcW w:w="420" w:type="dxa"/>
            <w:vAlign w:val="bottom"/>
            <w:tcBorders>
              <w:bottom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tcBorders>
              <w:bottom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9/29/20</w:t>
            </w:r>
          </w:p>
        </w:tc>
        <w:tc>
          <w:tcPr>
            <w:tcW w:w="5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9"/>
              </w:rPr>
              <w:t>12/23/20</w:t>
            </w:r>
          </w:p>
        </w:tc>
        <w:tc>
          <w:tcPr>
            <w:tcW w:w="60" w:type="dxa"/>
            <w:vAlign w:val="bottom"/>
            <w:tcBorders>
              <w:bottom w:val="single" w:sz="8" w:color="CCEEFF"/>
            </w:tcBorders>
            <w:shd w:val="clear" w:color="auto" w:fill="CCEEFF"/>
          </w:tcPr>
          <w:p>
            <w:pPr>
              <w:spacing w:after="0"/>
              <w:rPr>
                <w:sz w:val="10"/>
                <w:szCs w:val="10"/>
                <w:color w:val="auto"/>
              </w:rPr>
            </w:pPr>
          </w:p>
        </w:tc>
        <w:tc>
          <w:tcPr>
            <w:tcW w:w="2140" w:type="dxa"/>
            <w:vAlign w:val="bottom"/>
            <w:tcBorders>
              <w:bottom w:val="single" w:sz="8" w:color="CCEEFF"/>
            </w:tcBorders>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LifeSci Acquisition Corp.</w:t>
            </w:r>
          </w:p>
        </w:tc>
        <w:tc>
          <w:tcPr>
            <w:tcW w:w="2140" w:type="dxa"/>
            <w:vAlign w:val="bottom"/>
            <w:tcBorders>
              <w:bottom w:val="single" w:sz="8" w:color="CCEEFF"/>
            </w:tcBorders>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Vincerx Pharma Inc</w:t>
            </w:r>
          </w:p>
        </w:tc>
        <w:tc>
          <w:tcPr>
            <w:tcW w:w="14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55.0</w:t>
            </w:r>
          </w:p>
        </w:tc>
        <w:tc>
          <w:tcPr>
            <w:tcW w:w="1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55.0</w:t>
            </w:r>
          </w:p>
        </w:tc>
        <w:tc>
          <w:tcPr>
            <w:tcW w:w="8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auto"/>
            </w:tcBorders>
            <w:gridSpan w:val="5"/>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Lymphoma, Cancer</w:t>
            </w:r>
          </w:p>
        </w:tc>
        <w:tc>
          <w:tcPr>
            <w:tcW w:w="640" w:type="dxa"/>
            <w:vAlign w:val="bottom"/>
            <w:tcBorders>
              <w:bottom w:val="single" w:sz="8" w:color="CCEEFF"/>
              <w:right w:val="single" w:sz="8" w:color="CCEEFF"/>
            </w:tcBorders>
            <w:gridSpan w:val="7"/>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9/21/20</w:t>
            </w:r>
          </w:p>
        </w:tc>
        <w:tc>
          <w:tcPr>
            <w:tcW w:w="5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9/21/20</w:t>
            </w:r>
          </w:p>
        </w:tc>
        <w:tc>
          <w:tcPr>
            <w:tcW w:w="60" w:type="dxa"/>
            <w:vAlign w:val="bottom"/>
          </w:tcPr>
          <w:p>
            <w:pPr>
              <w:spacing w:after="0"/>
              <w:rPr>
                <w:sz w:val="10"/>
                <w:szCs w:val="10"/>
                <w:color w:val="auto"/>
              </w:rPr>
            </w:pPr>
          </w:p>
        </w:tc>
        <w:tc>
          <w:tcPr>
            <w:tcW w:w="21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Inflazome Ltd</w:t>
            </w:r>
          </w:p>
        </w:tc>
        <w:tc>
          <w:tcPr>
            <w:tcW w:w="2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F. Hoffmann-La Roche Ltd</w:t>
            </w:r>
          </w:p>
        </w:tc>
        <w:tc>
          <w:tcPr>
            <w:tcW w:w="1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445.9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Undisclosed</w:t>
            </w:r>
          </w:p>
        </w:tc>
        <w:tc>
          <w:tcPr>
            <w:tcW w:w="1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445.9</w:t>
            </w:r>
          </w:p>
        </w:tc>
        <w:tc>
          <w:tcPr>
            <w:tcW w:w="80" w:type="dxa"/>
            <w:vAlign w:val="bottom"/>
          </w:tcPr>
          <w:p>
            <w:pPr>
              <w:spacing w:after="0"/>
              <w:rPr>
                <w:sz w:val="10"/>
                <w:szCs w:val="10"/>
                <w:color w:val="auto"/>
              </w:rPr>
            </w:pPr>
          </w:p>
        </w:tc>
        <w:tc>
          <w:tcPr>
            <w:tcW w:w="1780" w:type="dxa"/>
            <w:vAlign w:val="bottom"/>
            <w:gridSpan w:val="1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Inflammatory Diseases</w:t>
            </w: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8/24/20</w:t>
            </w:r>
          </w:p>
        </w:tc>
        <w:tc>
          <w:tcPr>
            <w:tcW w:w="5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rPr>
              <w:t>8/24/20</w:t>
            </w: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CerSci Therapeutics Inc</w:t>
            </w:r>
          </w:p>
        </w:tc>
        <w:tc>
          <w:tcPr>
            <w:tcW w:w="2140" w:type="dxa"/>
            <w:vAlign w:val="bottom"/>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Acadia Pharmaceuticals Inc</w:t>
            </w:r>
          </w:p>
        </w:tc>
        <w:tc>
          <w:tcPr>
            <w:tcW w:w="14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52.5</w:t>
            </w:r>
          </w:p>
        </w:tc>
        <w:tc>
          <w:tcPr>
            <w:tcW w:w="1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887.0</w:t>
            </w:r>
          </w:p>
        </w:tc>
        <w:tc>
          <w:tcPr>
            <w:tcW w:w="1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939.5</w:t>
            </w:r>
          </w:p>
        </w:tc>
        <w:tc>
          <w:tcPr>
            <w:tcW w:w="80" w:type="dxa"/>
            <w:vAlign w:val="bottom"/>
            <w:shd w:val="clear" w:color="auto" w:fill="CCEEFF"/>
          </w:tcPr>
          <w:p>
            <w:pPr>
              <w:spacing w:after="0"/>
              <w:rPr>
                <w:sz w:val="10"/>
                <w:szCs w:val="10"/>
                <w:color w:val="auto"/>
              </w:rPr>
            </w:pPr>
          </w:p>
        </w:tc>
        <w:tc>
          <w:tcPr>
            <w:tcW w:w="2540" w:type="dxa"/>
            <w:vAlign w:val="bottom"/>
            <w:gridSpan w:val="1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Amyotrophic Lateral Sclerosis Phase I</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tcBorders>
              <w:top w:val="single" w:sz="8" w:color="CCEEFF"/>
            </w:tcBorders>
            <w:gridSpan w:val="2"/>
          </w:tcPr>
          <w:p>
            <w:pPr>
              <w:spacing w:after="0" w:line="118" w:lineRule="exact"/>
              <w:rPr>
                <w:sz w:val="20"/>
                <w:szCs w:val="20"/>
                <w:color w:val="auto"/>
              </w:rPr>
            </w:pPr>
            <w:r>
              <w:rPr>
                <w:rFonts w:ascii="Times New Roman" w:cs="Times New Roman" w:eastAsia="Times New Roman" w:hAnsi="Times New Roman"/>
                <w:sz w:val="13"/>
                <w:szCs w:val="13"/>
                <w:color w:val="auto"/>
              </w:rPr>
              <w:t>2/26/20</w:t>
            </w:r>
          </w:p>
        </w:tc>
        <w:tc>
          <w:tcPr>
            <w:tcW w:w="540" w:type="dxa"/>
            <w:vAlign w:val="bottom"/>
            <w:tcBorders>
              <w:top w:val="single" w:sz="8" w:color="CCEEFF"/>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2/26/20</w:t>
            </w:r>
          </w:p>
        </w:tc>
        <w:tc>
          <w:tcPr>
            <w:tcW w:w="60" w:type="dxa"/>
            <w:vAlign w:val="bottom"/>
            <w:tcBorders>
              <w:top w:val="single" w:sz="8" w:color="CCEEFF"/>
            </w:tcBorders>
          </w:tcPr>
          <w:p>
            <w:pPr>
              <w:spacing w:after="0"/>
              <w:rPr>
                <w:sz w:val="10"/>
                <w:szCs w:val="10"/>
                <w:color w:val="auto"/>
              </w:rPr>
            </w:pPr>
          </w:p>
        </w:tc>
        <w:tc>
          <w:tcPr>
            <w:tcW w:w="2140" w:type="dxa"/>
            <w:vAlign w:val="bottom"/>
            <w:tcBorders>
              <w:top w:val="single" w:sz="8" w:color="CCEEFF"/>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PVP Biologics Inc (Inactive)</w:t>
            </w:r>
          </w:p>
        </w:tc>
        <w:tc>
          <w:tcPr>
            <w:tcW w:w="2140" w:type="dxa"/>
            <w:vAlign w:val="bottom"/>
            <w:tcBorders>
              <w:top w:val="single" w:sz="8" w:color="CCEEFF"/>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Takeda Pharmaceutical Co Ltd</w:t>
            </w:r>
          </w:p>
        </w:tc>
        <w:tc>
          <w:tcPr>
            <w:tcW w:w="140" w:type="dxa"/>
            <w:vAlign w:val="bottom"/>
            <w:tcBorders>
              <w:top w:val="single" w:sz="8" w:color="CCEEFF"/>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330.0</w:t>
            </w: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Undisclosed</w:t>
            </w:r>
          </w:p>
        </w:tc>
        <w:tc>
          <w:tcPr>
            <w:tcW w:w="180" w:type="dxa"/>
            <w:vAlign w:val="bottom"/>
            <w:tcBorders>
              <w:top w:val="single" w:sz="8" w:color="CCEEFF"/>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330.0</w:t>
            </w:r>
          </w:p>
        </w:tc>
        <w:tc>
          <w:tcPr>
            <w:tcW w:w="80" w:type="dxa"/>
            <w:vAlign w:val="bottom"/>
            <w:tcBorders>
              <w:top w:val="single" w:sz="8" w:color="CCEEFF"/>
            </w:tcBorders>
          </w:tcPr>
          <w:p>
            <w:pPr>
              <w:spacing w:after="0"/>
              <w:rPr>
                <w:sz w:val="10"/>
                <w:szCs w:val="10"/>
                <w:color w:val="auto"/>
              </w:rPr>
            </w:pPr>
          </w:p>
        </w:tc>
        <w:tc>
          <w:tcPr>
            <w:tcW w:w="1780" w:type="dxa"/>
            <w:vAlign w:val="bottom"/>
            <w:tcBorders>
              <w:top w:val="single" w:sz="8" w:color="auto"/>
            </w:tcBorders>
            <w:gridSpan w:val="1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Celiac Disease</w:t>
            </w:r>
          </w:p>
        </w:tc>
        <w:tc>
          <w:tcPr>
            <w:tcW w:w="42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tcBorders>
              <w:bottom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1/16/20</w:t>
            </w:r>
          </w:p>
        </w:tc>
        <w:tc>
          <w:tcPr>
            <w:tcW w:w="5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rPr>
              <w:t>5/6/20</w:t>
            </w:r>
          </w:p>
        </w:tc>
        <w:tc>
          <w:tcPr>
            <w:tcW w:w="60" w:type="dxa"/>
            <w:vAlign w:val="bottom"/>
            <w:tcBorders>
              <w:bottom w:val="single" w:sz="8" w:color="CCEEFF"/>
            </w:tcBorders>
            <w:shd w:val="clear" w:color="auto" w:fill="CCEEFF"/>
          </w:tcPr>
          <w:p>
            <w:pPr>
              <w:spacing w:after="0"/>
              <w:rPr>
                <w:sz w:val="10"/>
                <w:szCs w:val="10"/>
                <w:color w:val="auto"/>
              </w:rPr>
            </w:pPr>
          </w:p>
        </w:tc>
        <w:tc>
          <w:tcPr>
            <w:tcW w:w="2140" w:type="dxa"/>
            <w:vAlign w:val="bottom"/>
            <w:tcBorders>
              <w:bottom w:val="single" w:sz="8" w:color="CCEEFF"/>
            </w:tcBorders>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Neon Therapeutics, Inc.</w:t>
            </w:r>
          </w:p>
        </w:tc>
        <w:tc>
          <w:tcPr>
            <w:tcW w:w="2140" w:type="dxa"/>
            <w:vAlign w:val="bottom"/>
            <w:tcBorders>
              <w:bottom w:val="single" w:sz="8" w:color="CCEEFF"/>
            </w:tcBorders>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BioNTech US Inc</w:t>
            </w:r>
          </w:p>
        </w:tc>
        <w:tc>
          <w:tcPr>
            <w:tcW w:w="14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67.0</w:t>
            </w:r>
          </w:p>
        </w:tc>
        <w:tc>
          <w:tcPr>
            <w:tcW w:w="1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67.0</w:t>
            </w:r>
          </w:p>
        </w:tc>
        <w:tc>
          <w:tcPr>
            <w:tcW w:w="8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8"/>
              </w:rPr>
              <w:t>Cancer</w:t>
            </w:r>
          </w:p>
        </w:tc>
        <w:tc>
          <w:tcPr>
            <w:tcW w:w="380" w:type="dxa"/>
            <w:vAlign w:val="bottom"/>
            <w:tcBorders>
              <w:top w:val="single" w:sz="8" w:color="auto"/>
              <w:bottom w:val="single" w:sz="8" w:color="CCEEFF"/>
              <w:right w:val="single" w:sz="8" w:color="CCEEFF"/>
            </w:tcBorders>
            <w:gridSpan w:val="2"/>
            <w:shd w:val="clear" w:color="auto" w:fill="CCEEFF"/>
          </w:tcPr>
          <w:p>
            <w:pPr>
              <w:spacing w:after="0"/>
              <w:rPr>
                <w:sz w:val="10"/>
                <w:szCs w:val="10"/>
                <w:color w:val="auto"/>
              </w:rPr>
            </w:pPr>
          </w:p>
        </w:tc>
        <w:tc>
          <w:tcPr>
            <w:tcW w:w="980" w:type="dxa"/>
            <w:vAlign w:val="bottom"/>
            <w:tcBorders>
              <w:left w:val="single" w:sz="8" w:color="CCEEFF"/>
              <w:bottom w:val="single" w:sz="8" w:color="CCEEFF"/>
              <w:right w:val="single" w:sz="8" w:color="CCEEFF"/>
            </w:tcBorders>
            <w:gridSpan w:val="9"/>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11/18/19</w:t>
            </w:r>
          </w:p>
        </w:tc>
        <w:tc>
          <w:tcPr>
            <w:tcW w:w="5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9"/>
              </w:rPr>
              <w:t>11/25/19</w:t>
            </w:r>
          </w:p>
        </w:tc>
        <w:tc>
          <w:tcPr>
            <w:tcW w:w="60" w:type="dxa"/>
            <w:vAlign w:val="bottom"/>
          </w:tcPr>
          <w:p>
            <w:pPr>
              <w:spacing w:after="0"/>
              <w:rPr>
                <w:sz w:val="10"/>
                <w:szCs w:val="10"/>
                <w:color w:val="auto"/>
              </w:rPr>
            </w:pPr>
          </w:p>
        </w:tc>
        <w:tc>
          <w:tcPr>
            <w:tcW w:w="21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Rodin Therapeutics Inc</w:t>
            </w:r>
          </w:p>
        </w:tc>
        <w:tc>
          <w:tcPr>
            <w:tcW w:w="2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Alkermes Plc</w:t>
            </w:r>
          </w:p>
        </w:tc>
        <w:tc>
          <w:tcPr>
            <w:tcW w:w="1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100.0</w:t>
            </w:r>
          </w:p>
        </w:tc>
        <w:tc>
          <w:tcPr>
            <w:tcW w:w="1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850.0</w:t>
            </w:r>
          </w:p>
        </w:tc>
        <w:tc>
          <w:tcPr>
            <w:tcW w:w="1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950.0</w:t>
            </w:r>
          </w:p>
        </w:tc>
        <w:tc>
          <w:tcPr>
            <w:tcW w:w="80" w:type="dxa"/>
            <w:vAlign w:val="bottom"/>
          </w:tcPr>
          <w:p>
            <w:pPr>
              <w:spacing w:after="0"/>
              <w:rPr>
                <w:sz w:val="10"/>
                <w:szCs w:val="10"/>
                <w:color w:val="auto"/>
              </w:rPr>
            </w:pPr>
          </w:p>
        </w:tc>
        <w:tc>
          <w:tcPr>
            <w:tcW w:w="1780" w:type="dxa"/>
            <w:vAlign w:val="bottom"/>
            <w:gridSpan w:val="1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Neurodegenerative Diseases</w:t>
            </w: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5/8/19</w:t>
            </w:r>
          </w:p>
        </w:tc>
        <w:tc>
          <w:tcPr>
            <w:tcW w:w="2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rPr>
              <w:t>7/1/19</w:t>
            </w:r>
          </w:p>
        </w:tc>
        <w:tc>
          <w:tcPr>
            <w:tcW w:w="60" w:type="dxa"/>
            <w:vAlign w:val="bottom"/>
            <w:tcBorders>
              <w:bottom w:val="single" w:sz="8" w:color="CCEEFF"/>
            </w:tcBorders>
            <w:shd w:val="clear" w:color="auto" w:fill="CCEEFF"/>
          </w:tcPr>
          <w:p>
            <w:pPr>
              <w:spacing w:after="0"/>
              <w:rPr>
                <w:sz w:val="10"/>
                <w:szCs w:val="10"/>
                <w:color w:val="auto"/>
              </w:rPr>
            </w:pPr>
          </w:p>
        </w:tc>
        <w:tc>
          <w:tcPr>
            <w:tcW w:w="2140" w:type="dxa"/>
            <w:vAlign w:val="bottom"/>
            <w:tcBorders>
              <w:bottom w:val="single" w:sz="8" w:color="CCEEFF"/>
            </w:tcBorders>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Therachon AG</w:t>
            </w:r>
          </w:p>
        </w:tc>
        <w:tc>
          <w:tcPr>
            <w:tcW w:w="2140" w:type="dxa"/>
            <w:vAlign w:val="bottom"/>
            <w:tcBorders>
              <w:bottom w:val="single" w:sz="8" w:color="CCEEFF"/>
            </w:tcBorders>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Pfizer Inc</w:t>
            </w:r>
          </w:p>
        </w:tc>
        <w:tc>
          <w:tcPr>
            <w:tcW w:w="14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340.0</w:t>
            </w:r>
          </w:p>
        </w:tc>
        <w:tc>
          <w:tcPr>
            <w:tcW w:w="1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470.0</w:t>
            </w:r>
          </w:p>
        </w:tc>
        <w:tc>
          <w:tcPr>
            <w:tcW w:w="1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810.0</w:t>
            </w:r>
          </w:p>
        </w:tc>
        <w:tc>
          <w:tcPr>
            <w:tcW w:w="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9"/>
              </w:rPr>
              <w:t>Achondroplasia</w:t>
            </w:r>
          </w:p>
        </w:tc>
        <w:tc>
          <w:tcPr>
            <w:tcW w:w="680" w:type="dxa"/>
            <w:vAlign w:val="bottom"/>
            <w:tcBorders>
              <w:top w:val="single" w:sz="8" w:color="auto"/>
              <w:bottom w:val="single" w:sz="8" w:color="CCEEFF"/>
            </w:tcBorders>
            <w:gridSpan w:val="7"/>
            <w:shd w:val="clear" w:color="auto" w:fill="CCEEFF"/>
          </w:tcPr>
          <w:p>
            <w:pPr>
              <w:spacing w:after="0"/>
              <w:rPr>
                <w:sz w:val="10"/>
                <w:szCs w:val="10"/>
                <w:color w:val="auto"/>
              </w:rPr>
            </w:pPr>
          </w:p>
        </w:tc>
        <w:tc>
          <w:tcPr>
            <w:tcW w:w="200" w:type="dxa"/>
            <w:vAlign w:val="bottom"/>
            <w:tcBorders>
              <w:bottom w:val="single" w:sz="8" w:color="CCEEFF"/>
              <w:right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4/1/19</w:t>
            </w:r>
          </w:p>
        </w:tc>
        <w:tc>
          <w:tcPr>
            <w:tcW w:w="260" w:type="dxa"/>
            <w:vAlign w:val="bottom"/>
          </w:tcPr>
          <w:p>
            <w:pPr>
              <w:spacing w:after="0"/>
              <w:rPr>
                <w:sz w:val="10"/>
                <w:szCs w:val="10"/>
                <w:color w:val="auto"/>
              </w:rPr>
            </w:pPr>
          </w:p>
        </w:tc>
        <w:tc>
          <w:tcPr>
            <w:tcW w:w="5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5/8/19</w:t>
            </w:r>
          </w:p>
        </w:tc>
        <w:tc>
          <w:tcPr>
            <w:tcW w:w="60" w:type="dxa"/>
            <w:vAlign w:val="bottom"/>
          </w:tcPr>
          <w:p>
            <w:pPr>
              <w:spacing w:after="0"/>
              <w:rPr>
                <w:sz w:val="10"/>
                <w:szCs w:val="10"/>
                <w:color w:val="auto"/>
              </w:rPr>
            </w:pPr>
          </w:p>
        </w:tc>
        <w:tc>
          <w:tcPr>
            <w:tcW w:w="21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Novartis AG</w:t>
            </w:r>
          </w:p>
        </w:tc>
        <w:tc>
          <w:tcPr>
            <w:tcW w:w="2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IFM Tre Inc</w:t>
            </w:r>
          </w:p>
        </w:tc>
        <w:tc>
          <w:tcPr>
            <w:tcW w:w="1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310.0</w:t>
            </w:r>
          </w:p>
        </w:tc>
        <w:tc>
          <w:tcPr>
            <w:tcW w:w="1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1,265.0</w:t>
            </w:r>
          </w:p>
        </w:tc>
        <w:tc>
          <w:tcPr>
            <w:tcW w:w="1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1,575.0</w:t>
            </w:r>
          </w:p>
        </w:tc>
        <w:tc>
          <w:tcPr>
            <w:tcW w:w="80" w:type="dxa"/>
            <w:vAlign w:val="bottom"/>
          </w:tcPr>
          <w:p>
            <w:pPr>
              <w:spacing w:after="0"/>
              <w:rPr>
                <w:sz w:val="10"/>
                <w:szCs w:val="10"/>
                <w:color w:val="auto"/>
              </w:rPr>
            </w:pPr>
          </w:p>
        </w:tc>
        <w:tc>
          <w:tcPr>
            <w:tcW w:w="1780" w:type="dxa"/>
            <w:vAlign w:val="bottom"/>
            <w:gridSpan w:val="1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Inflammatory Disorders</w:t>
            </w: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1/4/19</w:t>
            </w:r>
          </w:p>
        </w:tc>
        <w:tc>
          <w:tcPr>
            <w:tcW w:w="2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rPr>
              <w:t>1/11/19</w:t>
            </w:r>
          </w:p>
        </w:tc>
        <w:tc>
          <w:tcPr>
            <w:tcW w:w="60" w:type="dxa"/>
            <w:vAlign w:val="bottom"/>
            <w:tcBorders>
              <w:bottom w:val="single" w:sz="8" w:color="CCEEFF"/>
            </w:tcBorders>
            <w:shd w:val="clear" w:color="auto" w:fill="CCEEFF"/>
          </w:tcPr>
          <w:p>
            <w:pPr>
              <w:spacing w:after="0"/>
              <w:rPr>
                <w:sz w:val="10"/>
                <w:szCs w:val="10"/>
                <w:color w:val="auto"/>
              </w:rPr>
            </w:pPr>
          </w:p>
        </w:tc>
        <w:tc>
          <w:tcPr>
            <w:tcW w:w="2140" w:type="dxa"/>
            <w:vAlign w:val="bottom"/>
            <w:tcBorders>
              <w:bottom w:val="single" w:sz="8" w:color="CCEEFF"/>
            </w:tcBorders>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Yong Shun Technology Development</w:t>
            </w:r>
          </w:p>
        </w:tc>
        <w:tc>
          <w:tcPr>
            <w:tcW w:w="2140" w:type="dxa"/>
            <w:vAlign w:val="bottom"/>
            <w:tcBorders>
              <w:bottom w:val="single" w:sz="8" w:color="CCEEFF"/>
            </w:tcBorders>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Dragon Merit</w:t>
            </w:r>
          </w:p>
        </w:tc>
        <w:tc>
          <w:tcPr>
            <w:tcW w:w="14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36.8</w:t>
            </w:r>
          </w:p>
        </w:tc>
        <w:tc>
          <w:tcPr>
            <w:tcW w:w="1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36.8</w:t>
            </w:r>
          </w:p>
        </w:tc>
        <w:tc>
          <w:tcPr>
            <w:tcW w:w="8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8"/>
              </w:rPr>
              <w:t>Cancer</w:t>
            </w:r>
          </w:p>
        </w:tc>
        <w:tc>
          <w:tcPr>
            <w:tcW w:w="960" w:type="dxa"/>
            <w:vAlign w:val="bottom"/>
            <w:tcBorders>
              <w:top w:val="single" w:sz="8" w:color="auto"/>
              <w:bottom w:val="single" w:sz="8" w:color="CCEEFF"/>
            </w:tcBorders>
            <w:gridSpan w:val="6"/>
            <w:shd w:val="clear" w:color="auto" w:fill="CCEEFF"/>
          </w:tcPr>
          <w:p>
            <w:pPr>
              <w:spacing w:after="0"/>
              <w:rPr>
                <w:sz w:val="10"/>
                <w:szCs w:val="10"/>
                <w:color w:val="auto"/>
              </w:rPr>
            </w:pPr>
          </w:p>
        </w:tc>
        <w:tc>
          <w:tcPr>
            <w:tcW w:w="400" w:type="dxa"/>
            <w:vAlign w:val="bottom"/>
            <w:tcBorders>
              <w:bottom w:val="single" w:sz="8" w:color="CCEEFF"/>
              <w:right w:val="single" w:sz="8" w:color="CCEEFF"/>
            </w:tcBorders>
            <w:gridSpan w:val="5"/>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Low</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High</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2,100.0</w:t>
            </w:r>
          </w:p>
        </w:tc>
        <w:tc>
          <w:tcPr>
            <w:tcW w:w="1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1,600.0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3,300.0</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Media</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100.0</w:t>
            </w:r>
          </w:p>
        </w:tc>
        <w:tc>
          <w:tcPr>
            <w:tcW w:w="14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68.8</w:t>
            </w:r>
          </w:p>
        </w:tc>
        <w:tc>
          <w:tcPr>
            <w:tcW w:w="1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277.5</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Mean</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271.9</w:t>
            </w:r>
          </w:p>
        </w:tc>
        <w:tc>
          <w:tcPr>
            <w:tcW w:w="1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429.3</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635.1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12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color w:val="auto"/>
              </w:rPr>
              <w:t>All M&amp;A Transactions</w:t>
            </w:r>
          </w:p>
        </w:tc>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2"/>
                <w:szCs w:val="12"/>
                <w:color w:val="auto"/>
              </w:rPr>
            </w:pPr>
          </w:p>
        </w:tc>
        <w:tc>
          <w:tcPr>
            <w:tcW w:w="6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Low</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0.1</w:t>
            </w:r>
          </w:p>
        </w:tc>
        <w:tc>
          <w:tcPr>
            <w:tcW w:w="1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20.0</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High</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2,100.0</w:t>
            </w:r>
          </w:p>
        </w:tc>
        <w:tc>
          <w:tcPr>
            <w:tcW w:w="14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1,600.0</w:t>
            </w:r>
          </w:p>
        </w:tc>
        <w:tc>
          <w:tcPr>
            <w:tcW w:w="1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3,300.0</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Media</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100.0</w:t>
            </w:r>
          </w:p>
        </w:tc>
        <w:tc>
          <w:tcPr>
            <w:tcW w:w="1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80.1</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200.3</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Mean</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238.6</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820" w:top="279" w:right="619" w:bottom="1440" w:gutter="0" w:footer="0" w:header="0"/>
        </w:sectPr>
      </w:pPr>
    </w:p>
    <w:bookmarkStart w:id="5" w:name="page6"/>
    <w:bookmarkEnd w:id="5"/>
    <w:p>
      <w:pPr>
        <w:ind w:right="600"/>
        <w:spacing w:after="0" w:line="27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The disclosure under the heading “Opinion of Houlihan Lokey to the AVROBIO Board” is hereby amended and supplemented by replacing the chart on page 216 through 218 of the Registration Statement in its entirety with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(Dollars in millions, except per share data)</w:t>
            </w: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color w:val="auto"/>
              </w:rPr>
              <w:t>Post-</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Current Statistics [1]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Pre-</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Post-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gridSpan w:val="3"/>
          </w:tcPr>
          <w:p>
            <w:pPr>
              <w:jc w:val="center"/>
              <w:ind w:right="120"/>
              <w:spacing w:after="0" w:line="107" w:lineRule="exact"/>
              <w:rPr>
                <w:sz w:val="20"/>
                <w:szCs w:val="20"/>
                <w:color w:val="auto"/>
              </w:rPr>
            </w:pPr>
            <w:r>
              <w:rPr>
                <w:rFonts w:ascii="Times New Roman" w:cs="Times New Roman" w:eastAsia="Times New Roman" w:hAnsi="Times New Roman"/>
                <w:sz w:val="12"/>
                <w:szCs w:val="12"/>
                <w:b w:val="1"/>
                <w:bCs w:val="1"/>
                <w:color w:val="auto"/>
              </w:rPr>
              <w:t>Change in</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GPCR</w:t>
            </w:r>
          </w:p>
        </w:tc>
        <w:tc>
          <w:tcPr>
            <w:tcW w:w="80" w:type="dxa"/>
            <w:vAlign w:val="bottom"/>
          </w:tcPr>
          <w:p>
            <w:pPr>
              <w:spacing w:after="0"/>
              <w:rPr>
                <w:sz w:val="12"/>
                <w:szCs w:val="12"/>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Lead Asset</w:t>
            </w:r>
          </w:p>
        </w:tc>
        <w:tc>
          <w:tcPr>
            <w:tcW w:w="680" w:type="dxa"/>
            <w:vAlign w:val="bottom"/>
            <w:gridSpan w:val="2"/>
            <w:vMerge w:val="restart"/>
          </w:tcPr>
          <w:p>
            <w:pPr>
              <w:jc w:val="center"/>
              <w:ind w:left="13"/>
              <w:spacing w:after="0"/>
              <w:rPr>
                <w:sz w:val="20"/>
                <w:szCs w:val="20"/>
                <w:color w:val="auto"/>
              </w:rPr>
            </w:pPr>
            <w:r>
              <w:rPr>
                <w:rFonts w:ascii="Times New Roman" w:cs="Times New Roman" w:eastAsia="Times New Roman" w:hAnsi="Times New Roman"/>
                <w:sz w:val="13"/>
                <w:szCs w:val="13"/>
                <w:color w:val="auto"/>
              </w:rPr>
              <w:t>Lead Asset</w:t>
            </w:r>
          </w:p>
        </w:tc>
        <w:tc>
          <w:tcPr>
            <w:tcW w:w="80" w:type="dxa"/>
            <w:vAlign w:val="bottom"/>
          </w:tcPr>
          <w:p>
            <w:pPr>
              <w:spacing w:after="0"/>
              <w:rPr>
                <w:sz w:val="12"/>
                <w:szCs w:val="12"/>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Offer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Gross</w:t>
            </w:r>
          </w:p>
        </w:tc>
        <w:tc>
          <w:tcPr>
            <w:tcW w:w="1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right="33"/>
              <w:spacing w:after="0" w:line="138" w:lineRule="exact"/>
              <w:rPr>
                <w:sz w:val="20"/>
                <w:szCs w:val="20"/>
                <w:color w:val="auto"/>
              </w:rPr>
            </w:pPr>
            <w:r>
              <w:rPr>
                <w:rFonts w:ascii="Times New Roman" w:cs="Times New Roman" w:eastAsia="Times New Roman" w:hAnsi="Times New Roman"/>
                <w:sz w:val="13"/>
                <w:szCs w:val="13"/>
                <w:color w:val="auto"/>
              </w:rPr>
              <w:t>Money</w:t>
            </w:r>
          </w:p>
        </w:tc>
        <w:tc>
          <w:tcPr>
            <w:tcW w:w="100" w:type="dxa"/>
            <w:vAlign w:val="bottom"/>
          </w:tcPr>
          <w:p>
            <w:pPr>
              <w:spacing w:after="0"/>
              <w:rPr>
                <w:sz w:val="12"/>
                <w:szCs w:val="12"/>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Share</w:t>
            </w:r>
          </w:p>
        </w:tc>
        <w:tc>
          <w:tcPr>
            <w:tcW w:w="120" w:type="dxa"/>
            <w:vAlign w:val="bottom"/>
          </w:tcPr>
          <w:p>
            <w:pPr>
              <w:spacing w:after="0"/>
              <w:rPr>
                <w:sz w:val="12"/>
                <w:szCs w:val="12"/>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b w:val="1"/>
                <w:bCs w:val="1"/>
                <w:color w:val="auto"/>
              </w:rPr>
              <w:t>Market</w:t>
            </w:r>
          </w:p>
        </w:tc>
        <w:tc>
          <w:tcPr>
            <w:tcW w:w="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Enterp</w:t>
            </w:r>
          </w:p>
        </w:tc>
        <w:tc>
          <w:tcPr>
            <w:tcW w:w="0" w:type="dxa"/>
            <w:vAlign w:val="bottom"/>
          </w:tcPr>
          <w:p>
            <w:pPr>
              <w:spacing w:after="0"/>
              <w:rPr>
                <w:sz w:val="1"/>
                <w:szCs w:val="1"/>
                <w:color w:val="auto"/>
              </w:rPr>
            </w:pPr>
          </w:p>
        </w:tc>
      </w:tr>
      <w:tr>
        <w:trPr>
          <w:trHeight w:val="137"/>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w w:val="98"/>
              </w:rPr>
              <w:t>IPO Date</w:t>
            </w:r>
          </w:p>
        </w:tc>
        <w:tc>
          <w:tcPr>
            <w:tcW w:w="80" w:type="dxa"/>
            <w:vAlign w:val="bottom"/>
          </w:tcPr>
          <w:p>
            <w:pPr>
              <w:spacing w:after="0"/>
              <w:rPr>
                <w:sz w:val="11"/>
                <w:szCs w:val="11"/>
                <w:color w:val="auto"/>
              </w:rPr>
            </w:pPr>
          </w:p>
        </w:tc>
        <w:tc>
          <w:tcPr>
            <w:tcW w:w="15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auto"/>
              </w:rPr>
              <w:t>Selected Company</w:t>
            </w: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00" w:type="dxa"/>
            <w:vAlign w:val="bottom"/>
            <w:gridSpan w:val="3"/>
          </w:tcPr>
          <w:p>
            <w:pPr>
              <w:ind w:left="120"/>
              <w:spacing w:after="0" w:line="138" w:lineRule="exact"/>
              <w:rPr>
                <w:sz w:val="20"/>
                <w:szCs w:val="20"/>
                <w:color w:val="auto"/>
              </w:rPr>
            </w:pPr>
            <w:r>
              <w:rPr>
                <w:rFonts w:ascii="Times New Roman" w:cs="Times New Roman" w:eastAsia="Times New Roman" w:hAnsi="Times New Roman"/>
                <w:sz w:val="13"/>
                <w:szCs w:val="13"/>
                <w:color w:val="auto"/>
                <w:w w:val="97"/>
              </w:rPr>
              <w:t>Money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500" w:type="dxa"/>
            <w:vAlign w:val="bottom"/>
            <w:gridSpan w:val="3"/>
          </w:tcPr>
          <w:p>
            <w:pPr>
              <w:ind w:left="120"/>
              <w:spacing w:after="0" w:line="138" w:lineRule="exact"/>
              <w:rPr>
                <w:sz w:val="20"/>
                <w:szCs w:val="20"/>
                <w:color w:val="auto"/>
              </w:rPr>
            </w:pPr>
            <w:r>
              <w:rPr>
                <w:rFonts w:ascii="Times New Roman" w:cs="Times New Roman" w:eastAsia="Times New Roman" w:hAnsi="Times New Roman"/>
                <w:sz w:val="13"/>
                <w:szCs w:val="13"/>
                <w:color w:val="auto"/>
                <w:w w:val="97"/>
              </w:rPr>
              <w:t>Money</w:t>
            </w:r>
          </w:p>
        </w:tc>
        <w:tc>
          <w:tcPr>
            <w:tcW w:w="680" w:type="dxa"/>
            <w:vAlign w:val="bottom"/>
            <w:gridSpan w:val="3"/>
          </w:tcPr>
          <w:p>
            <w:pPr>
              <w:ind w:left="120"/>
              <w:spacing w:after="0" w:line="138" w:lineRule="exact"/>
              <w:rPr>
                <w:sz w:val="20"/>
                <w:szCs w:val="20"/>
                <w:color w:val="auto"/>
              </w:rPr>
            </w:pPr>
            <w:r>
              <w:rPr>
                <w:rFonts w:ascii="Times New Roman" w:cs="Times New Roman" w:eastAsia="Times New Roman" w:hAnsi="Times New Roman"/>
                <w:sz w:val="13"/>
                <w:szCs w:val="13"/>
                <w:color w:val="auto"/>
              </w:rPr>
              <w:t>Enterprise</w:t>
            </w:r>
          </w:p>
        </w:tc>
        <w:tc>
          <w:tcPr>
            <w:tcW w:w="1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b w:val="1"/>
                <w:bCs w:val="1"/>
                <w:color w:val="auto"/>
              </w:rPr>
              <w:t>Cap since</w:t>
            </w:r>
          </w:p>
        </w:tc>
        <w:tc>
          <w:tcPr>
            <w:tcW w:w="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Platform</w:t>
            </w:r>
          </w:p>
        </w:tc>
        <w:tc>
          <w:tcPr>
            <w:tcW w:w="8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Indication</w:t>
            </w:r>
          </w:p>
        </w:tc>
        <w:tc>
          <w:tcPr>
            <w:tcW w:w="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Phase</w:t>
            </w:r>
          </w:p>
        </w:tc>
        <w:tc>
          <w:tcPr>
            <w:tcW w:w="8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Price</w:t>
            </w:r>
          </w:p>
        </w:tc>
        <w:tc>
          <w:tcPr>
            <w:tcW w:w="12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Value</w:t>
            </w:r>
          </w:p>
        </w:tc>
        <w:tc>
          <w:tcPr>
            <w:tcW w:w="6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w w:val="97"/>
              </w:rPr>
              <w:t>Proceeds</w:t>
            </w:r>
          </w:p>
        </w:tc>
        <w:tc>
          <w:tcPr>
            <w:tcW w:w="12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Value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w w:val="96"/>
              </w:rPr>
              <w:t>Value</w:t>
            </w:r>
          </w:p>
        </w:tc>
        <w:tc>
          <w:tcPr>
            <w:tcW w:w="10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Cap</w:t>
            </w: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IPO</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82"/>
              </w:rPr>
              <w:t>Valu</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00" w:type="dxa"/>
            <w:vAlign w:val="bottom"/>
            <w:tcBorders>
              <w:top w:val="single" w:sz="8" w:color="auto"/>
            </w:tcBorders>
            <w:gridSpan w:val="3"/>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Cardiovascular</w:t>
            </w: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11/2/23</w:t>
            </w: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Lexeo Therapeutics, Inc.</w:t>
            </w: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Cardiomyopathy and Alzheimer’s</w:t>
            </w:r>
          </w:p>
        </w:tc>
        <w:tc>
          <w:tcPr>
            <w:tcW w:w="8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172.4</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272.4</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329.7</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16.51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459.4</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68.7%</w:t>
            </w:r>
          </w:p>
        </w:tc>
        <w:tc>
          <w:tcPr>
            <w:tcW w:w="16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2/9/23</w:t>
            </w:r>
          </w:p>
        </w:tc>
        <w:tc>
          <w:tcPr>
            <w:tcW w:w="16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Mineralys Therapeutics, Inc.</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Hypertension</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16.00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432.9</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220.8</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653.7</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357.4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5"/>
              </w:rPr>
              <w:t>10.30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436.1</w:t>
            </w:r>
          </w:p>
        </w:tc>
        <w:tc>
          <w:tcPr>
            <w:tcW w:w="920" w:type="dxa"/>
            <w:vAlign w:val="bottom"/>
            <w:gridSpan w:val="3"/>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b w:val="1"/>
                <w:bCs w:val="1"/>
                <w:color w:val="auto"/>
              </w:rPr>
              <w:t>(33.3%)</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148"/>
        </w:trPr>
        <w:tc>
          <w:tcPr>
            <w:tcW w:w="5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1/6/22</w:t>
            </w:r>
          </w:p>
        </w:tc>
        <w:tc>
          <w:tcPr>
            <w:tcW w:w="162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auto"/>
              </w:rPr>
              <w:t>CinCor Pharma, Inc.</w:t>
            </w:r>
          </w:p>
        </w:tc>
        <w:tc>
          <w:tcPr>
            <w:tcW w:w="8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auto"/>
              </w:rPr>
              <w:t>Hypertension</w:t>
            </w:r>
          </w:p>
        </w:tc>
        <w:tc>
          <w:tcPr>
            <w:tcW w:w="8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Phase II</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16.00</w:t>
            </w:r>
          </w:p>
        </w:tc>
        <w:tc>
          <w:tcPr>
            <w:tcW w:w="1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390.7</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212.7</w:t>
            </w:r>
          </w:p>
        </w:tc>
        <w:tc>
          <w:tcPr>
            <w:tcW w:w="20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5"/>
              </w:rPr>
              <w:t>603.4</w:t>
            </w:r>
          </w:p>
        </w:tc>
        <w:tc>
          <w:tcPr>
            <w:tcW w:w="20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284.6</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NA</w:t>
            </w: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NA</w:t>
            </w: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400"/>
              <w:spacing w:after="0" w:line="144" w:lineRule="exact"/>
              <w:rPr>
                <w:sz w:val="20"/>
                <w:szCs w:val="20"/>
                <w:color w:val="auto"/>
              </w:rPr>
            </w:pPr>
            <w:r>
              <w:rPr>
                <w:rFonts w:ascii="Times New Roman" w:cs="Times New Roman" w:eastAsia="Times New Roman" w:hAnsi="Times New Roman"/>
                <w:sz w:val="13"/>
                <w:szCs w:val="13"/>
                <w:b w:val="1"/>
                <w:bCs w:val="1"/>
                <w:color w:val="auto"/>
                <w:w w:val="95"/>
              </w:rPr>
              <w:t>NA</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7/29/21</w:t>
            </w:r>
          </w:p>
        </w:tc>
        <w:tc>
          <w:tcPr>
            <w:tcW w:w="16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Tenaya Therapeutics, Inc.</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gHCM and HFpEF</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Preclinical</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15.00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409.9</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207.0</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616.9</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324.7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4.19</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285.4</w:t>
            </w:r>
          </w:p>
        </w:tc>
        <w:tc>
          <w:tcPr>
            <w:tcW w:w="920" w:type="dxa"/>
            <w:vAlign w:val="bottom"/>
            <w:gridSpan w:val="3"/>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b w:val="1"/>
                <w:bCs w:val="1"/>
                <w:color w:val="auto"/>
              </w:rPr>
              <w:t>(53.7%)</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6/29/21</w:t>
            </w: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Aerovate Therapeutics, Inc.</w:t>
            </w:r>
          </w:p>
        </w:tc>
        <w:tc>
          <w:tcPr>
            <w:tcW w:w="80" w:type="dxa"/>
            <w:vAlign w:val="bottom"/>
            <w:vMerge w:val="restart"/>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PAH</w:t>
            </w:r>
          </w:p>
        </w:tc>
        <w:tc>
          <w:tcPr>
            <w:tcW w:w="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139.8</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5"/>
              </w:rPr>
              <w:t>341.7</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247.5</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5"/>
              </w:rPr>
              <w:t>17.68</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511.0</w:t>
            </w:r>
          </w:p>
        </w:tc>
        <w:tc>
          <w:tcPr>
            <w:tcW w:w="100" w:type="dxa"/>
            <w:vAlign w:val="bottom"/>
            <w:vMerge w:val="continue"/>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49.5%</w:t>
            </w:r>
          </w:p>
        </w:tc>
        <w:tc>
          <w:tcPr>
            <w:tcW w:w="40" w:type="dxa"/>
            <w:vAlign w:val="bottom"/>
            <w:vMerge w:val="continue"/>
          </w:tcPr>
          <w:p>
            <w:pPr>
              <w:spacing w:after="0"/>
              <w:rPr>
                <w:sz w:val="12"/>
                <w:szCs w:val="12"/>
                <w:color w:val="auto"/>
              </w:rPr>
            </w:pP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6/17/21</w:t>
            </w:r>
          </w:p>
        </w:tc>
        <w:tc>
          <w:tcPr>
            <w:tcW w:w="16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Verve Therapeutics, Inc.</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Hypercholesterolemia and ASCVD</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Preclinical</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19.00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609.4</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306.7</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916.1</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571.9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5"/>
              </w:rPr>
              <w:t>11.54</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928.1</w:t>
            </w:r>
          </w:p>
        </w:tc>
        <w:tc>
          <w:tcPr>
            <w:tcW w:w="920" w:type="dxa"/>
            <w:vAlign w:val="bottom"/>
            <w:gridSpan w:val="3"/>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1.3%</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4</w:t>
            </w: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10/28/20</w:t>
            </w: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Galecto, Inc.</w:t>
            </w:r>
          </w:p>
        </w:tc>
        <w:tc>
          <w:tcPr>
            <w:tcW w:w="80" w:type="dxa"/>
            <w:vAlign w:val="bottom"/>
            <w:vMerge w:val="restart"/>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Pulmonary Fibrosis</w:t>
            </w:r>
          </w:p>
        </w:tc>
        <w:tc>
          <w:tcPr>
            <w:tcW w:w="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Phase II</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283.8</w:t>
            </w:r>
          </w:p>
        </w:tc>
        <w:tc>
          <w:tcPr>
            <w:tcW w:w="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5"/>
              </w:rPr>
              <w:t>378.9</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205.2</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0.67</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18.2</w:t>
            </w:r>
          </w:p>
        </w:tc>
        <w:tc>
          <w:tcPr>
            <w:tcW w:w="100" w:type="dxa"/>
            <w:vAlign w:val="bottom"/>
            <w:vMerge w:val="continue"/>
          </w:tcPr>
          <w:p>
            <w:pPr>
              <w:spacing w:after="0"/>
              <w:rPr>
                <w:sz w:val="12"/>
                <w:szCs w:val="12"/>
                <w:color w:val="auto"/>
              </w:rPr>
            </w:pPr>
          </w:p>
        </w:tc>
        <w:tc>
          <w:tcPr>
            <w:tcW w:w="82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b w:val="1"/>
                <w:bCs w:val="1"/>
                <w:color w:val="auto"/>
              </w:rPr>
              <w:t>(95.2%)</w:t>
            </w:r>
          </w:p>
        </w:tc>
        <w:tc>
          <w:tcPr>
            <w:tcW w:w="40" w:type="dxa"/>
            <w:vAlign w:val="bottom"/>
            <w:vMerge w:val="continue"/>
          </w:tcPr>
          <w:p>
            <w:pPr>
              <w:spacing w:after="0"/>
              <w:rPr>
                <w:sz w:val="12"/>
                <w:szCs w:val="12"/>
                <w:color w:val="auto"/>
              </w:rPr>
            </w:pPr>
          </w:p>
        </w:tc>
        <w:tc>
          <w:tcPr>
            <w:tcW w:w="1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73"/>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5/13/19</w:t>
            </w:r>
          </w:p>
        </w:tc>
        <w:tc>
          <w:tcPr>
            <w:tcW w:w="16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Applied Therapeutics, Inc.</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Diabetic Cardiomyopathy</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10.00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130.5</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40.0</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170.5</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2.91</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229.0</w:t>
            </w:r>
          </w:p>
        </w:tc>
        <w:tc>
          <w:tcPr>
            <w:tcW w:w="920" w:type="dxa"/>
            <w:vAlign w:val="bottom"/>
            <w:gridSpan w:val="3"/>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34.3%</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Low</w:t>
            </w: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130.5</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170.5</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w:t>
            </w: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0.67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18.2</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(95.2%)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High</w:t>
            </w: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19.00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609.4</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306.7</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916.1</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571.9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5"/>
              </w:rPr>
              <w:t>17.68</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928.1</w:t>
            </w:r>
          </w:p>
        </w:tc>
        <w:tc>
          <w:tcPr>
            <w:tcW w:w="920" w:type="dxa"/>
            <w:vAlign w:val="bottom"/>
            <w:gridSpan w:val="3"/>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68.7%</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6</w:t>
            </w: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Median</w:t>
            </w: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337.2</w:t>
            </w:r>
          </w:p>
        </w:tc>
        <w:tc>
          <w:tcPr>
            <w:tcW w:w="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173.4</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5"/>
              </w:rPr>
              <w:t>491.1</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304.6</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5"/>
              </w:rPr>
              <w:t>10.30</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436.1</w:t>
            </w:r>
          </w:p>
        </w:tc>
        <w:tc>
          <w:tcPr>
            <w:tcW w:w="100" w:type="dxa"/>
            <w:vAlign w:val="bottom"/>
            <w:vMerge w:val="continue"/>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1.3%</w:t>
            </w:r>
          </w:p>
        </w:tc>
        <w:tc>
          <w:tcPr>
            <w:tcW w:w="40" w:type="dxa"/>
            <w:vAlign w:val="bottom"/>
            <w:vMerge w:val="continue"/>
          </w:tcPr>
          <w:p>
            <w:pPr>
              <w:spacing w:after="0"/>
              <w:rPr>
                <w:sz w:val="12"/>
                <w:szCs w:val="12"/>
                <w:color w:val="auto"/>
              </w:rPr>
            </w:pP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Mean</w:t>
            </w: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14.50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328.9</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165.3</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494.2</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304.4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9.11</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409.6</w:t>
            </w:r>
          </w:p>
        </w:tc>
        <w:tc>
          <w:tcPr>
            <w:tcW w:w="920" w:type="dxa"/>
            <w:vAlign w:val="bottom"/>
            <w:gridSpan w:val="3"/>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b w:val="1"/>
                <w:bCs w:val="1"/>
                <w:color w:val="auto"/>
              </w:rPr>
              <w:t>(4.1%)</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w:t>
            </w:r>
          </w:p>
        </w:tc>
        <w:tc>
          <w:tcPr>
            <w:tcW w:w="0" w:type="dxa"/>
            <w:vAlign w:val="bottom"/>
          </w:tcPr>
          <w:p>
            <w:pPr>
              <w:spacing w:after="0"/>
              <w:rPr>
                <w:sz w:val="1"/>
                <w:szCs w:val="1"/>
                <w:color w:val="auto"/>
              </w:rPr>
            </w:pPr>
          </w:p>
        </w:tc>
      </w:tr>
      <w:tr>
        <w:trPr>
          <w:trHeight w:val="259"/>
        </w:trPr>
        <w:tc>
          <w:tcPr>
            <w:tcW w:w="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Phase I</w:t>
            </w: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3/30/23</w:t>
            </w:r>
          </w:p>
        </w:tc>
        <w:tc>
          <w:tcPr>
            <w:tcW w:w="16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Gubra A/S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Yes</w:t>
            </w:r>
          </w:p>
        </w:tc>
        <w:tc>
          <w:tcPr>
            <w:tcW w:w="23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Obesity</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16.10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232.4</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30.8</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263.2</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5"/>
              </w:rPr>
              <w:t>17.64</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287.3</w:t>
            </w:r>
          </w:p>
        </w:tc>
        <w:tc>
          <w:tcPr>
            <w:tcW w:w="920" w:type="dxa"/>
            <w:vAlign w:val="bottom"/>
            <w:gridSpan w:val="3"/>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9.2%</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w:t>
            </w: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2/2/23</w:t>
            </w: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Structure Therapeutics Inc.</w:t>
            </w:r>
          </w:p>
        </w:tc>
        <w:tc>
          <w:tcPr>
            <w:tcW w:w="80" w:type="dxa"/>
            <w:vAlign w:val="bottom"/>
            <w:vMerge w:val="restart"/>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Yes</w:t>
            </w:r>
          </w:p>
        </w:tc>
        <w:tc>
          <w:tcPr>
            <w:tcW w:w="2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T2DM / Obesity and PAH</w:t>
            </w:r>
          </w:p>
        </w:tc>
        <w:tc>
          <w:tcPr>
            <w:tcW w:w="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370.5</w:t>
            </w:r>
          </w:p>
        </w:tc>
        <w:tc>
          <w:tcPr>
            <w:tcW w:w="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185.3</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5"/>
              </w:rPr>
              <w:t>555.8</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306.0</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5"/>
              </w:rPr>
              <w:t>42.50</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7"/>
              </w:rPr>
              <w:t>2,205.3</w:t>
            </w:r>
          </w:p>
        </w:tc>
        <w:tc>
          <w:tcPr>
            <w:tcW w:w="100" w:type="dxa"/>
            <w:vAlign w:val="bottom"/>
            <w:vMerge w:val="continue"/>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296.8%</w:t>
            </w:r>
          </w:p>
        </w:tc>
        <w:tc>
          <w:tcPr>
            <w:tcW w:w="40" w:type="dxa"/>
            <w:vAlign w:val="bottom"/>
            <w:vMerge w:val="continue"/>
          </w:tcPr>
          <w:p>
            <w:pPr>
              <w:spacing w:after="0"/>
              <w:rPr>
                <w:sz w:val="12"/>
                <w:szCs w:val="12"/>
                <w:color w:val="auto"/>
              </w:rPr>
            </w:pP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9/14/22</w:t>
            </w:r>
          </w:p>
        </w:tc>
        <w:tc>
          <w:tcPr>
            <w:tcW w:w="16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Third Harmonic Bio, Inc.</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Chronic Urticaria and Asthma</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17.00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472.5</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213.1</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685.6</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403.8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9.01</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387.7</w:t>
            </w:r>
          </w:p>
        </w:tc>
        <w:tc>
          <w:tcPr>
            <w:tcW w:w="920" w:type="dxa"/>
            <w:vAlign w:val="bottom"/>
            <w:gridSpan w:val="3"/>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b w:val="1"/>
                <w:bCs w:val="1"/>
                <w:color w:val="auto"/>
              </w:rPr>
              <w:t>(43.5%)</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7/27/22</w:t>
            </w: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MAIA Biotechnology, Inc.</w:t>
            </w:r>
          </w:p>
        </w:tc>
        <w:tc>
          <w:tcPr>
            <w:tcW w:w="80" w:type="dxa"/>
            <w:vAlign w:val="bottom"/>
            <w:vMerge w:val="restart"/>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Cancer</w:t>
            </w:r>
          </w:p>
        </w:tc>
        <w:tc>
          <w:tcPr>
            <w:tcW w:w="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1.35</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22.9</w:t>
            </w:r>
          </w:p>
        </w:tc>
        <w:tc>
          <w:tcPr>
            <w:tcW w:w="100" w:type="dxa"/>
            <w:vAlign w:val="bottom"/>
            <w:vMerge w:val="continue"/>
          </w:tcPr>
          <w:p>
            <w:pPr>
              <w:spacing w:after="0"/>
              <w:rPr>
                <w:sz w:val="12"/>
                <w:szCs w:val="12"/>
                <w:color w:val="auto"/>
              </w:rPr>
            </w:pPr>
          </w:p>
        </w:tc>
        <w:tc>
          <w:tcPr>
            <w:tcW w:w="82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b w:val="1"/>
                <w:bCs w:val="1"/>
                <w:color w:val="auto"/>
              </w:rPr>
              <w:t>(57.0%)</w:t>
            </w:r>
          </w:p>
        </w:tc>
        <w:tc>
          <w:tcPr>
            <w:tcW w:w="40" w:type="dxa"/>
            <w:vAlign w:val="bottom"/>
            <w:vMerge w:val="continue"/>
          </w:tcPr>
          <w:p>
            <w:pPr>
              <w:spacing w:after="0"/>
              <w:rPr>
                <w:sz w:val="12"/>
                <w:szCs w:val="12"/>
                <w:color w:val="auto"/>
              </w:rPr>
            </w:pP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5/5/22</w:t>
            </w:r>
          </w:p>
        </w:tc>
        <w:tc>
          <w:tcPr>
            <w:tcW w:w="16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PepGen Inc.</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Duchenne Muscular Dystrophy</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12.00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160.7</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122.9</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283.6</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6.86</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163.4</w:t>
            </w:r>
          </w:p>
        </w:tc>
        <w:tc>
          <w:tcPr>
            <w:tcW w:w="920" w:type="dxa"/>
            <w:vAlign w:val="bottom"/>
            <w:gridSpan w:val="3"/>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b w:val="1"/>
                <w:bCs w:val="1"/>
                <w:color w:val="auto"/>
              </w:rPr>
              <w:t>(42.4%)</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3/24/22</w:t>
            </w: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AN2 Therapeutics, Inc.</w:t>
            </w:r>
          </w:p>
        </w:tc>
        <w:tc>
          <w:tcPr>
            <w:tcW w:w="80" w:type="dxa"/>
            <w:vAlign w:val="bottom"/>
            <w:vMerge w:val="restart"/>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Infectious Diseases</w:t>
            </w:r>
          </w:p>
        </w:tc>
        <w:tc>
          <w:tcPr>
            <w:tcW w:w="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212.1</w:t>
            </w:r>
          </w:p>
        </w:tc>
        <w:tc>
          <w:tcPr>
            <w:tcW w:w="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79.4</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5"/>
              </w:rPr>
              <w:t>291.4</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167.3</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5"/>
              </w:rPr>
              <w:t>19.50</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613.2</w:t>
            </w:r>
          </w:p>
        </w:tc>
        <w:tc>
          <w:tcPr>
            <w:tcW w:w="100" w:type="dxa"/>
            <w:vAlign w:val="bottom"/>
            <w:vMerge w:val="continue"/>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110.4%</w:t>
            </w:r>
          </w:p>
        </w:tc>
        <w:tc>
          <w:tcPr>
            <w:tcW w:w="40" w:type="dxa"/>
            <w:vAlign w:val="bottom"/>
            <w:vMerge w:val="continue"/>
          </w:tcPr>
          <w:p>
            <w:pPr>
              <w:spacing w:after="0"/>
              <w:rPr>
                <w:sz w:val="12"/>
                <w:szCs w:val="12"/>
                <w:color w:val="auto"/>
              </w:rPr>
            </w:pP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2/3/22</w:t>
            </w:r>
          </w:p>
        </w:tc>
        <w:tc>
          <w:tcPr>
            <w:tcW w:w="16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Arcellx, Inc.</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Myeloma</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15.00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379.4</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142.3</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521.7</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339.5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5"/>
              </w:rPr>
              <w:t>62.82</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7"/>
              </w:rPr>
              <w:t>3,673.5</w:t>
            </w:r>
          </w:p>
        </w:tc>
        <w:tc>
          <w:tcPr>
            <w:tcW w:w="920" w:type="dxa"/>
            <w:vAlign w:val="bottom"/>
            <w:gridSpan w:val="3"/>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604.1%</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3,2</w:t>
            </w: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10/20/21</w:t>
            </w: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Ventyx Biosciences, Inc.</w:t>
            </w:r>
          </w:p>
        </w:tc>
        <w:tc>
          <w:tcPr>
            <w:tcW w:w="80" w:type="dxa"/>
            <w:vAlign w:val="bottom"/>
            <w:vMerge w:val="restart"/>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Yes</w:t>
            </w:r>
          </w:p>
        </w:tc>
        <w:tc>
          <w:tcPr>
            <w:tcW w:w="2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Ulcerative Colitis and Crohn’s Disease</w:t>
            </w:r>
          </w:p>
        </w:tc>
        <w:tc>
          <w:tcPr>
            <w:tcW w:w="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16.00</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631.3</w:t>
            </w:r>
          </w:p>
        </w:tc>
        <w:tc>
          <w:tcPr>
            <w:tcW w:w="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174.3</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5"/>
              </w:rPr>
              <w:t>805.6</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513.4</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2.04</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120.4</w:t>
            </w:r>
          </w:p>
        </w:tc>
        <w:tc>
          <w:tcPr>
            <w:tcW w:w="100" w:type="dxa"/>
            <w:vAlign w:val="bottom"/>
            <w:vMerge w:val="continue"/>
          </w:tcPr>
          <w:p>
            <w:pPr>
              <w:spacing w:after="0"/>
              <w:rPr>
                <w:sz w:val="12"/>
                <w:szCs w:val="12"/>
                <w:color w:val="auto"/>
              </w:rPr>
            </w:pPr>
          </w:p>
        </w:tc>
        <w:tc>
          <w:tcPr>
            <w:tcW w:w="82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b w:val="1"/>
                <w:bCs w:val="1"/>
                <w:color w:val="auto"/>
              </w:rPr>
              <w:t>(85.1%)</w:t>
            </w:r>
          </w:p>
        </w:tc>
        <w:tc>
          <w:tcPr>
            <w:tcW w:w="40" w:type="dxa"/>
            <w:vAlign w:val="bottom"/>
            <w:vMerge w:val="continue"/>
          </w:tcPr>
          <w:p>
            <w:pPr>
              <w:spacing w:after="0"/>
              <w:rPr>
                <w:sz w:val="12"/>
                <w:szCs w:val="12"/>
                <w:color w:val="auto"/>
              </w:rPr>
            </w:pPr>
          </w:p>
        </w:tc>
        <w:tc>
          <w:tcPr>
            <w:tcW w:w="1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u w:val="single" w:color="auto"/>
                <w:color w:val="auto"/>
                <w:w w:val="73"/>
              </w:rPr>
              <w:t>(</w:t>
            </w:r>
            <w:r>
              <w:rPr>
                <w:rFonts w:ascii="Times New Roman" w:cs="Times New Roman" w:eastAsia="Times New Roman" w:hAnsi="Times New Roman"/>
                <w:sz w:val="13"/>
                <w:szCs w:val="13"/>
                <w:b w:val="1"/>
                <w:bCs w:val="1"/>
                <w:color w:val="auto"/>
                <w:w w:val="73"/>
              </w:rPr>
              <w:t>$</w:t>
            </w:r>
          </w:p>
        </w:tc>
        <w:tc>
          <w:tcPr>
            <w:tcW w:w="2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w w:val="99"/>
              </w:rPr>
              <w:t>10/14/21</w:t>
            </w:r>
          </w:p>
        </w:tc>
        <w:tc>
          <w:tcPr>
            <w:tcW w:w="16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MiNK Therapeutics, Inc.</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Respiratory Distress Syndrome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12.00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351.0</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40.0</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391.0</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355.1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0.84</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29.1</w:t>
            </w:r>
          </w:p>
        </w:tc>
        <w:tc>
          <w:tcPr>
            <w:tcW w:w="920" w:type="dxa"/>
            <w:vAlign w:val="bottom"/>
            <w:gridSpan w:val="3"/>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b w:val="1"/>
                <w:bCs w:val="1"/>
                <w:color w:val="auto"/>
              </w:rPr>
              <w:t>(92.6%)</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7/30/21</w:t>
            </w: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IN8bio, Inc.</w:t>
            </w:r>
          </w:p>
        </w:tc>
        <w:tc>
          <w:tcPr>
            <w:tcW w:w="80" w:type="dxa"/>
            <w:vAlign w:val="bottom"/>
            <w:vMerge w:val="restart"/>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Leukemia</w:t>
            </w:r>
          </w:p>
        </w:tc>
        <w:tc>
          <w:tcPr>
            <w:tcW w:w="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5"/>
              </w:rPr>
              <w:t>187.5</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1.30</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56.3</w:t>
            </w:r>
          </w:p>
        </w:tc>
        <w:tc>
          <w:tcPr>
            <w:tcW w:w="100" w:type="dxa"/>
            <w:vAlign w:val="bottom"/>
            <w:vMerge w:val="continue"/>
          </w:tcPr>
          <w:p>
            <w:pPr>
              <w:spacing w:after="0"/>
              <w:rPr>
                <w:sz w:val="12"/>
                <w:szCs w:val="12"/>
                <w:color w:val="auto"/>
              </w:rPr>
            </w:pPr>
          </w:p>
        </w:tc>
        <w:tc>
          <w:tcPr>
            <w:tcW w:w="82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b w:val="1"/>
                <w:bCs w:val="1"/>
                <w:color w:val="auto"/>
              </w:rPr>
              <w:t>(70.0%)</w:t>
            </w:r>
          </w:p>
        </w:tc>
        <w:tc>
          <w:tcPr>
            <w:tcW w:w="40" w:type="dxa"/>
            <w:vAlign w:val="bottom"/>
            <w:vMerge w:val="continue"/>
          </w:tcPr>
          <w:p>
            <w:pPr>
              <w:spacing w:after="0"/>
              <w:rPr>
                <w:sz w:val="12"/>
                <w:szCs w:val="12"/>
                <w:color w:val="auto"/>
              </w:rPr>
            </w:pP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3/25/21</w:t>
            </w:r>
          </w:p>
        </w:tc>
        <w:tc>
          <w:tcPr>
            <w:tcW w:w="16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Edgewise Therapeutics, Inc.</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Muscular Dystrophy and Cardiomyopathy</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16.00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585.1</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202.4</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787.5</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521.4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5"/>
              </w:rPr>
              <w:t>16.52</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7"/>
              </w:rPr>
              <w:t>1,433.9</w:t>
            </w:r>
          </w:p>
        </w:tc>
        <w:tc>
          <w:tcPr>
            <w:tcW w:w="920" w:type="dxa"/>
            <w:vAlign w:val="bottom"/>
            <w:gridSpan w:val="3"/>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82.1%</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40"/>
          </w:cols>
          <w:pgMar w:left="820" w:top="282"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120" cy="527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24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(Dollars in millions, except per share data)</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color w:val="auto"/>
                <w:w w:val="97"/>
              </w:rPr>
              <w:t>Post-</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Current Statistics [1]</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color w:val="auto"/>
              </w:rPr>
              <w:t>Pre-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color w:val="auto"/>
              </w:rPr>
              <w:t>Post-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gridSpan w:val="3"/>
          </w:tcPr>
          <w:p>
            <w:pPr>
              <w:jc w:val="right"/>
              <w:ind w:right="260"/>
              <w:spacing w:after="0" w:line="107" w:lineRule="exact"/>
              <w:rPr>
                <w:sz w:val="20"/>
                <w:szCs w:val="20"/>
                <w:color w:val="auto"/>
              </w:rPr>
            </w:pPr>
            <w:r>
              <w:rPr>
                <w:rFonts w:ascii="Times New Roman" w:cs="Times New Roman" w:eastAsia="Times New Roman" w:hAnsi="Times New Roman"/>
                <w:sz w:val="12"/>
                <w:szCs w:val="12"/>
                <w:b w:val="1"/>
                <w:bCs w:val="1"/>
                <w:color w:val="auto"/>
              </w:rPr>
              <w:t>Change in</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GPCR</w:t>
            </w:r>
          </w:p>
        </w:tc>
        <w:tc>
          <w:tcPr>
            <w:tcW w:w="80" w:type="dxa"/>
            <w:vAlign w:val="bottom"/>
          </w:tcPr>
          <w:p>
            <w:pPr>
              <w:spacing w:after="0"/>
              <w:rPr>
                <w:sz w:val="12"/>
                <w:szCs w:val="12"/>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Lead Asset</w:t>
            </w:r>
          </w:p>
        </w:tc>
        <w:tc>
          <w:tcPr>
            <w:tcW w:w="680" w:type="dxa"/>
            <w:vAlign w:val="bottom"/>
            <w:gridSpan w:val="2"/>
            <w:vMerge w:val="restart"/>
          </w:tcPr>
          <w:p>
            <w:pPr>
              <w:jc w:val="center"/>
              <w:ind w:left="13"/>
              <w:spacing w:after="0"/>
              <w:rPr>
                <w:sz w:val="20"/>
                <w:szCs w:val="20"/>
                <w:color w:val="auto"/>
              </w:rPr>
            </w:pPr>
            <w:r>
              <w:rPr>
                <w:rFonts w:ascii="Times New Roman" w:cs="Times New Roman" w:eastAsia="Times New Roman" w:hAnsi="Times New Roman"/>
                <w:sz w:val="13"/>
                <w:szCs w:val="13"/>
                <w:color w:val="auto"/>
              </w:rPr>
              <w:t>Lead Asset</w:t>
            </w:r>
          </w:p>
        </w:tc>
        <w:tc>
          <w:tcPr>
            <w:tcW w:w="80" w:type="dxa"/>
            <w:vAlign w:val="bottom"/>
          </w:tcPr>
          <w:p>
            <w:pPr>
              <w:spacing w:after="0"/>
              <w:rPr>
                <w:sz w:val="12"/>
                <w:szCs w:val="12"/>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Offer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w w:val="98"/>
              </w:rPr>
              <w:t>Gross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center"/>
              <w:ind w:right="13"/>
              <w:spacing w:after="0" w:line="138" w:lineRule="exact"/>
              <w:rPr>
                <w:sz w:val="20"/>
                <w:szCs w:val="20"/>
                <w:color w:val="auto"/>
              </w:rPr>
            </w:pPr>
            <w:r>
              <w:rPr>
                <w:rFonts w:ascii="Times New Roman" w:cs="Times New Roman" w:eastAsia="Times New Roman" w:hAnsi="Times New Roman"/>
                <w:sz w:val="13"/>
                <w:szCs w:val="13"/>
                <w:color w:val="auto"/>
              </w:rPr>
              <w:t>Money</w:t>
            </w:r>
          </w:p>
        </w:tc>
        <w:tc>
          <w:tcPr>
            <w:tcW w:w="100" w:type="dxa"/>
            <w:vAlign w:val="bottom"/>
          </w:tcPr>
          <w:p>
            <w:pPr>
              <w:spacing w:after="0"/>
              <w:rPr>
                <w:sz w:val="12"/>
                <w:szCs w:val="12"/>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Share</w:t>
            </w:r>
          </w:p>
        </w:tc>
        <w:tc>
          <w:tcPr>
            <w:tcW w:w="120" w:type="dxa"/>
            <w:vAlign w:val="bottom"/>
          </w:tcPr>
          <w:p>
            <w:pPr>
              <w:spacing w:after="0"/>
              <w:rPr>
                <w:sz w:val="12"/>
                <w:szCs w:val="12"/>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00" w:type="dxa"/>
            <w:vAlign w:val="bottom"/>
          </w:tcPr>
          <w:p>
            <w:pPr>
              <w:spacing w:after="0"/>
              <w:rPr>
                <w:sz w:val="12"/>
                <w:szCs w:val="12"/>
                <w:color w:val="auto"/>
              </w:rPr>
            </w:pPr>
          </w:p>
        </w:tc>
        <w:tc>
          <w:tcPr>
            <w:tcW w:w="840" w:type="dxa"/>
            <w:vAlign w:val="bottom"/>
            <w:gridSpan w:val="2"/>
          </w:tcPr>
          <w:p>
            <w:pPr>
              <w:jc w:val="right"/>
              <w:ind w:right="340"/>
              <w:spacing w:after="0" w:line="138" w:lineRule="exact"/>
              <w:rPr>
                <w:sz w:val="20"/>
                <w:szCs w:val="20"/>
                <w:color w:val="auto"/>
              </w:rPr>
            </w:pPr>
            <w:r>
              <w:rPr>
                <w:rFonts w:ascii="Times New Roman" w:cs="Times New Roman" w:eastAsia="Times New Roman" w:hAnsi="Times New Roman"/>
                <w:sz w:val="13"/>
                <w:szCs w:val="13"/>
                <w:b w:val="1"/>
                <w:bCs w:val="1"/>
                <w:color w:val="auto"/>
              </w:rPr>
              <w:t>Market</w:t>
            </w: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Ente</w:t>
            </w:r>
          </w:p>
        </w:tc>
        <w:tc>
          <w:tcPr>
            <w:tcW w:w="0" w:type="dxa"/>
            <w:vAlign w:val="bottom"/>
          </w:tcPr>
          <w:p>
            <w:pPr>
              <w:spacing w:after="0"/>
              <w:rPr>
                <w:sz w:val="1"/>
                <w:szCs w:val="1"/>
                <w:color w:val="auto"/>
              </w:rPr>
            </w:pPr>
          </w:p>
        </w:tc>
      </w:tr>
      <w:tr>
        <w:trPr>
          <w:trHeight w:val="137"/>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w w:val="98"/>
              </w:rPr>
              <w:t>IPO Date</w:t>
            </w:r>
          </w:p>
        </w:tc>
        <w:tc>
          <w:tcPr>
            <w:tcW w:w="80" w:type="dxa"/>
            <w:vAlign w:val="bottom"/>
          </w:tcPr>
          <w:p>
            <w:pPr>
              <w:spacing w:after="0"/>
              <w:rPr>
                <w:sz w:val="11"/>
                <w:szCs w:val="11"/>
                <w:color w:val="auto"/>
              </w:rPr>
            </w:pP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Selected Company</w:t>
            </w:r>
          </w:p>
        </w:tc>
        <w:tc>
          <w:tcPr>
            <w:tcW w:w="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auto"/>
              </w:rPr>
              <w:t>Money</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auto"/>
                <w:w w:val="97"/>
              </w:rPr>
              <w:t>Money</w:t>
            </w:r>
          </w:p>
        </w:tc>
        <w:tc>
          <w:tcPr>
            <w:tcW w:w="680" w:type="dxa"/>
            <w:vAlign w:val="bottom"/>
            <w:gridSpan w:val="3"/>
          </w:tcPr>
          <w:p>
            <w:pPr>
              <w:jc w:val="center"/>
              <w:ind w:left="33"/>
              <w:spacing w:after="0" w:line="138" w:lineRule="exact"/>
              <w:rPr>
                <w:sz w:val="20"/>
                <w:szCs w:val="20"/>
                <w:color w:val="auto"/>
              </w:rPr>
            </w:pPr>
            <w:r>
              <w:rPr>
                <w:rFonts w:ascii="Times New Roman" w:cs="Times New Roman" w:eastAsia="Times New Roman" w:hAnsi="Times New Roman"/>
                <w:sz w:val="13"/>
                <w:szCs w:val="13"/>
                <w:color w:val="auto"/>
              </w:rPr>
              <w:t>Enterprise</w:t>
            </w:r>
          </w:p>
        </w:tc>
        <w:tc>
          <w:tcPr>
            <w:tcW w:w="1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60"/>
              <w:spacing w:after="0" w:line="138" w:lineRule="exact"/>
              <w:rPr>
                <w:sz w:val="20"/>
                <w:szCs w:val="20"/>
                <w:color w:val="auto"/>
              </w:rPr>
            </w:pPr>
            <w:r>
              <w:rPr>
                <w:rFonts w:ascii="Times New Roman" w:cs="Times New Roman" w:eastAsia="Times New Roman" w:hAnsi="Times New Roman"/>
                <w:sz w:val="13"/>
                <w:szCs w:val="13"/>
                <w:b w:val="1"/>
                <w:bCs w:val="1"/>
                <w:color w:val="auto"/>
              </w:rPr>
              <w:t>Cap since</w:t>
            </w:r>
          </w:p>
        </w:tc>
        <w:tc>
          <w:tcPr>
            <w:tcW w:w="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Platform</w:t>
            </w:r>
          </w:p>
        </w:tc>
        <w:tc>
          <w:tcPr>
            <w:tcW w:w="8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Indication</w:t>
            </w:r>
          </w:p>
        </w:tc>
        <w:tc>
          <w:tcPr>
            <w:tcW w:w="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Phase</w:t>
            </w:r>
          </w:p>
        </w:tc>
        <w:tc>
          <w:tcPr>
            <w:tcW w:w="8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Price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w w:val="96"/>
              </w:rPr>
              <w:t>Value</w:t>
            </w: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Proceeds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Value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w w:val="96"/>
              </w:rPr>
              <w:t>Value</w:t>
            </w:r>
          </w:p>
        </w:tc>
        <w:tc>
          <w:tcPr>
            <w:tcW w:w="10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Cap</w:t>
            </w:r>
          </w:p>
        </w:tc>
        <w:tc>
          <w:tcPr>
            <w:tcW w:w="10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IPO</w:t>
            </w:r>
          </w:p>
        </w:tc>
        <w:tc>
          <w:tcPr>
            <w:tcW w:w="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Va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vMerge w:val="restart"/>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3/18/21</w:t>
            </w:r>
          </w:p>
        </w:tc>
        <w:tc>
          <w:tcPr>
            <w:tcW w:w="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6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1880" w:type="dxa"/>
            <w:vAlign w:val="bottom"/>
            <w:tcBorders>
              <w:right w:val="single" w:sz="8" w:color="CCEEFF"/>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Instil Bio, Inc.</w:t>
            </w:r>
          </w:p>
        </w:tc>
        <w:tc>
          <w:tcPr>
            <w:tcW w:w="4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No</w:t>
            </w:r>
          </w:p>
        </w:tc>
        <w:tc>
          <w:tcPr>
            <w:tcW w:w="80" w:type="dxa"/>
            <w:vAlign w:val="bottom"/>
            <w:vMerge w:val="continue"/>
            <w:shd w:val="clear" w:color="auto" w:fill="CCEEFF"/>
          </w:tcPr>
          <w:p>
            <w:pPr>
              <w:spacing w:after="0"/>
              <w:rPr>
                <w:sz w:val="10"/>
                <w:szCs w:val="10"/>
                <w:color w:val="auto"/>
              </w:rPr>
            </w:pPr>
          </w:p>
        </w:tc>
        <w:tc>
          <w:tcPr>
            <w:tcW w:w="19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Cancer</w:t>
            </w:r>
          </w:p>
        </w:tc>
        <w:tc>
          <w:tcPr>
            <w:tcW w:w="80" w:type="dxa"/>
            <w:vAlign w:val="bottom"/>
            <w:vMerge w:val="continue"/>
            <w:shd w:val="clear" w:color="auto" w:fill="CCEEFF"/>
          </w:tcPr>
          <w:p>
            <w:pPr>
              <w:spacing w:after="0"/>
              <w:rPr>
                <w:sz w:val="10"/>
                <w:szCs w:val="10"/>
                <w:color w:val="auto"/>
              </w:rPr>
            </w:pPr>
          </w:p>
        </w:tc>
        <w:tc>
          <w:tcPr>
            <w:tcW w:w="600" w:type="dxa"/>
            <w:vAlign w:val="bottom"/>
            <w:shd w:val="clear" w:color="auto" w:fill="CCEEFF"/>
          </w:tcPr>
          <w:p>
            <w:pPr>
              <w:jc w:val="center"/>
              <w:spacing w:after="0" w:line="124" w:lineRule="exact"/>
              <w:rPr>
                <w:sz w:val="20"/>
                <w:szCs w:val="20"/>
                <w:color w:val="auto"/>
              </w:rPr>
            </w:pPr>
            <w:r>
              <w:rPr>
                <w:rFonts w:ascii="Times New Roman" w:cs="Times New Roman" w:eastAsia="Times New Roman" w:hAnsi="Times New Roman"/>
                <w:sz w:val="13"/>
                <w:szCs w:val="13"/>
                <w:color w:val="auto"/>
              </w:rPr>
              <w:t>Phase I</w:t>
            </w:r>
          </w:p>
        </w:tc>
        <w:tc>
          <w:tcPr>
            <w:tcW w:w="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20.00</w:t>
            </w:r>
          </w:p>
        </w:tc>
        <w:tc>
          <w:tcPr>
            <w:tcW w:w="1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w w:val="97"/>
              </w:rPr>
              <w:t>2,196.2</w:t>
            </w:r>
          </w:p>
        </w:tc>
        <w:tc>
          <w:tcPr>
            <w:tcW w:w="1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368.0</w:t>
            </w:r>
          </w:p>
        </w:tc>
        <w:tc>
          <w:tcPr>
            <w:tcW w:w="1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w w:val="97"/>
              </w:rPr>
              <w:t>2,564.2</w:t>
            </w:r>
          </w:p>
        </w:tc>
        <w:tc>
          <w:tcPr>
            <w:tcW w:w="1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1,975.4</w:t>
            </w:r>
          </w:p>
        </w:tc>
        <w:tc>
          <w:tcPr>
            <w:tcW w:w="1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11.94</w:t>
            </w:r>
          </w:p>
        </w:tc>
        <w:tc>
          <w:tcPr>
            <w:tcW w:w="1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77.7</w:t>
            </w:r>
          </w:p>
        </w:tc>
        <w:tc>
          <w:tcPr>
            <w:tcW w:w="100" w:type="dxa"/>
            <w:vAlign w:val="bottom"/>
            <w:vMerge w:val="continue"/>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3"/>
                <w:szCs w:val="13"/>
                <w:b w:val="1"/>
                <w:bCs w:val="1"/>
                <w:color w:val="auto"/>
              </w:rPr>
              <w:t>(97.0%)</w:t>
            </w:r>
          </w:p>
        </w:tc>
        <w:tc>
          <w:tcPr>
            <w:tcW w:w="1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3/11/21</w:t>
            </w:r>
          </w:p>
        </w:tc>
        <w:tc>
          <w:tcPr>
            <w:tcW w:w="1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auto"/>
              </w:rPr>
              <w:t>Longboard Pharmaceuticals, Inc.</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Yes</w:t>
            </w:r>
          </w:p>
        </w:tc>
        <w:tc>
          <w:tcPr>
            <w:tcW w:w="1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DEEs</w:t>
            </w:r>
          </w:p>
        </w:tc>
        <w:tc>
          <w:tcPr>
            <w:tcW w:w="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132.6</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217.4</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0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23.27</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914.5</w:t>
            </w:r>
          </w:p>
        </w:tc>
        <w:tc>
          <w:tcPr>
            <w:tcW w:w="100" w:type="dxa"/>
            <w:vAlign w:val="bottom"/>
            <w:vMerge w:val="continue"/>
          </w:tcPr>
          <w:p>
            <w:pPr>
              <w:spacing w:after="0"/>
              <w:rPr>
                <w:sz w:val="12"/>
                <w:szCs w:val="12"/>
                <w:color w:val="auto"/>
              </w:rPr>
            </w:pPr>
          </w:p>
        </w:tc>
        <w:tc>
          <w:tcPr>
            <w:tcW w:w="8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320.7%</w:t>
            </w:r>
          </w:p>
        </w:tc>
        <w:tc>
          <w:tcPr>
            <w:tcW w:w="12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2/11/21</w:t>
            </w:r>
          </w:p>
        </w:tc>
        <w:tc>
          <w:tcPr>
            <w:tcW w:w="1960" w:type="dxa"/>
            <w:vAlign w:val="bottom"/>
            <w:tcBorders>
              <w:right w:val="single" w:sz="8" w:color="CCEEFF"/>
            </w:tcBorders>
            <w:gridSpan w:val="3"/>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Decibel Therapeutics, Inc.</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19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Hearing Disorders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18.00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310.3</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137.9</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448.2</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246.1</w:t>
            </w:r>
          </w:p>
        </w:tc>
        <w:tc>
          <w:tcPr>
            <w:tcW w:w="10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NA</w:t>
            </w: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NA</w:t>
            </w:r>
          </w:p>
        </w:tc>
        <w:tc>
          <w:tcPr>
            <w:tcW w:w="100" w:type="dxa"/>
            <w:vAlign w:val="bottom"/>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NA</w:t>
            </w: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12/4/20</w:t>
            </w:r>
          </w:p>
        </w:tc>
        <w:tc>
          <w:tcPr>
            <w:tcW w:w="1960" w:type="dxa"/>
            <w:vAlign w:val="bottom"/>
            <w:gridSpan w:val="3"/>
          </w:tcPr>
          <w:p>
            <w:pPr>
              <w:ind w:left="80"/>
              <w:spacing w:after="0" w:line="144" w:lineRule="exact"/>
              <w:rPr>
                <w:sz w:val="20"/>
                <w:szCs w:val="20"/>
                <w:color w:val="auto"/>
              </w:rPr>
            </w:pPr>
            <w:r>
              <w:rPr>
                <w:rFonts w:ascii="Times New Roman" w:cs="Times New Roman" w:eastAsia="Times New Roman" w:hAnsi="Times New Roman"/>
                <w:sz w:val="13"/>
                <w:szCs w:val="13"/>
                <w:color w:val="auto"/>
              </w:rPr>
              <w:t>Silverback Therapeutics, Inc.</w:t>
            </w: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No</w:t>
            </w:r>
          </w:p>
        </w:tc>
        <w:tc>
          <w:tcPr>
            <w:tcW w:w="198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auto"/>
              </w:rPr>
              <w:t>Cancer</w:t>
            </w:r>
          </w:p>
        </w:tc>
        <w:tc>
          <w:tcPr>
            <w:tcW w:w="8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21.00</w:t>
            </w:r>
          </w:p>
        </w:tc>
        <w:tc>
          <w:tcPr>
            <w:tcW w:w="1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452.9</w:t>
            </w:r>
          </w:p>
        </w:tc>
        <w:tc>
          <w:tcPr>
            <w:tcW w:w="1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277.7</w:t>
            </w:r>
          </w:p>
        </w:tc>
        <w:tc>
          <w:tcPr>
            <w:tcW w:w="1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730.6</w:t>
            </w:r>
          </w:p>
        </w:tc>
        <w:tc>
          <w:tcPr>
            <w:tcW w:w="1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367.9</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NA</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NA</w:t>
            </w: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NA</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w w:val="99"/>
              </w:rPr>
              <w:t>10/15/20</w:t>
            </w:r>
          </w:p>
        </w:tc>
        <w:tc>
          <w:tcPr>
            <w:tcW w:w="1960" w:type="dxa"/>
            <w:vAlign w:val="bottom"/>
            <w:tcBorders>
              <w:right w:val="single" w:sz="8" w:color="CCEEFF"/>
            </w:tcBorders>
            <w:gridSpan w:val="3"/>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Aligos Therapeutics, Inc.</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19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Hepatitis B</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334.5</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172.5</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507.0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242.8</w:t>
            </w:r>
          </w:p>
        </w:tc>
        <w:tc>
          <w:tcPr>
            <w:tcW w:w="16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0.69</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51.8</w:t>
            </w:r>
          </w:p>
        </w:tc>
        <w:tc>
          <w:tcPr>
            <w:tcW w:w="940" w:type="dxa"/>
            <w:vAlign w:val="bottom"/>
            <w:tcBorders>
              <w:right w:val="single" w:sz="8" w:color="CCEEFF"/>
            </w:tcBorders>
            <w:gridSpan w:val="3"/>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(89.8%)</w:t>
            </w:r>
          </w:p>
        </w:tc>
        <w:tc>
          <w:tcPr>
            <w:tcW w:w="1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10/1/20</w:t>
            </w:r>
          </w:p>
        </w:tc>
        <w:tc>
          <w:tcPr>
            <w:tcW w:w="1960" w:type="dxa"/>
            <w:vAlign w:val="bottom"/>
            <w:gridSpan w:val="3"/>
          </w:tcPr>
          <w:p>
            <w:pPr>
              <w:ind w:left="80"/>
              <w:spacing w:after="0" w:line="144" w:lineRule="exact"/>
              <w:rPr>
                <w:sz w:val="20"/>
                <w:szCs w:val="20"/>
                <w:color w:val="auto"/>
              </w:rPr>
            </w:pPr>
            <w:r>
              <w:rPr>
                <w:rFonts w:ascii="Times New Roman" w:cs="Times New Roman" w:eastAsia="Times New Roman" w:hAnsi="Times New Roman"/>
                <w:sz w:val="13"/>
                <w:szCs w:val="13"/>
                <w:color w:val="auto"/>
              </w:rPr>
              <w:t>Oncorus, Inc.</w:t>
            </w: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No</w:t>
            </w:r>
          </w:p>
        </w:tc>
        <w:tc>
          <w:tcPr>
            <w:tcW w:w="198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auto"/>
              </w:rPr>
              <w:t>Cancer</w:t>
            </w:r>
          </w:p>
        </w:tc>
        <w:tc>
          <w:tcPr>
            <w:tcW w:w="8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15.00</w:t>
            </w:r>
          </w:p>
        </w:tc>
        <w:tc>
          <w:tcPr>
            <w:tcW w:w="1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240.7</w:t>
            </w:r>
          </w:p>
        </w:tc>
        <w:tc>
          <w:tcPr>
            <w:tcW w:w="1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98.4</w:t>
            </w:r>
          </w:p>
        </w:tc>
        <w:tc>
          <w:tcPr>
            <w:tcW w:w="1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339.1</w:t>
            </w:r>
          </w:p>
        </w:tc>
        <w:tc>
          <w:tcPr>
            <w:tcW w:w="1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196.6</w:t>
            </w: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NA</w:t>
            </w: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NA</w:t>
            </w: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NA</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9/24/20</w:t>
            </w:r>
          </w:p>
        </w:tc>
        <w:tc>
          <w:tcPr>
            <w:tcW w:w="1960" w:type="dxa"/>
            <w:vAlign w:val="bottom"/>
            <w:tcBorders>
              <w:right w:val="single" w:sz="8" w:color="CCEEFF"/>
            </w:tcBorders>
            <w:gridSpan w:val="3"/>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Prelude Therapeutics, Inc.</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19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Cancer</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19.00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648.5</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181.9</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830.4</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606.6</w:t>
            </w:r>
          </w:p>
        </w:tc>
        <w:tc>
          <w:tcPr>
            <w:tcW w:w="16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3.58</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226.9</w:t>
            </w:r>
          </w:p>
        </w:tc>
        <w:tc>
          <w:tcPr>
            <w:tcW w:w="940" w:type="dxa"/>
            <w:vAlign w:val="bottom"/>
            <w:tcBorders>
              <w:right w:val="single" w:sz="8" w:color="CCEEFF"/>
            </w:tcBorders>
            <w:gridSpan w:val="3"/>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(72.7%)</w:t>
            </w:r>
          </w:p>
        </w:tc>
        <w:tc>
          <w:tcPr>
            <w:tcW w:w="1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9/17/20</w:t>
            </w:r>
          </w:p>
        </w:tc>
        <w:tc>
          <w:tcPr>
            <w:tcW w:w="1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auto"/>
              </w:rPr>
              <w:t>Athira Pharma, Inc.</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No</w:t>
            </w:r>
          </w:p>
        </w:tc>
        <w:tc>
          <w:tcPr>
            <w:tcW w:w="1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Alzheimer’s Disease, Dementia</w:t>
            </w:r>
          </w:p>
        </w:tc>
        <w:tc>
          <w:tcPr>
            <w:tcW w:w="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319.9</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227.8</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547.7</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277.4</w:t>
            </w: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3.09</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117.6</w:t>
            </w:r>
          </w:p>
        </w:tc>
        <w:tc>
          <w:tcPr>
            <w:tcW w:w="100" w:type="dxa"/>
            <w:vAlign w:val="bottom"/>
            <w:vMerge w:val="continue"/>
          </w:tcPr>
          <w:p>
            <w:pPr>
              <w:spacing w:after="0"/>
              <w:rPr>
                <w:sz w:val="12"/>
                <w:szCs w:val="12"/>
                <w:color w:val="auto"/>
              </w:rPr>
            </w:pPr>
          </w:p>
        </w:tc>
        <w:tc>
          <w:tcPr>
            <w:tcW w:w="84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b w:val="1"/>
                <w:bCs w:val="1"/>
                <w:color w:val="auto"/>
              </w:rPr>
              <w:t>(78.5%)</w:t>
            </w:r>
          </w:p>
        </w:tc>
        <w:tc>
          <w:tcPr>
            <w:tcW w:w="12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7/15/20</w:t>
            </w:r>
          </w:p>
        </w:tc>
        <w:tc>
          <w:tcPr>
            <w:tcW w:w="1960" w:type="dxa"/>
            <w:vAlign w:val="bottom"/>
            <w:tcBorders>
              <w:right w:val="single" w:sz="8" w:color="CCEEFF"/>
            </w:tcBorders>
            <w:gridSpan w:val="3"/>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Relay Therapeutics, Inc.</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19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Cancer</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7"/>
              </w:rPr>
              <w:t>1,337.5</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460.0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7"/>
              </w:rPr>
              <w:t>1,797.5</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1,093.1</w:t>
            </w:r>
          </w:p>
        </w:tc>
        <w:tc>
          <w:tcPr>
            <w:tcW w:w="16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9.72</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7"/>
              </w:rPr>
              <w:t>1,238.9</w:t>
            </w:r>
          </w:p>
        </w:tc>
        <w:tc>
          <w:tcPr>
            <w:tcW w:w="940" w:type="dxa"/>
            <w:vAlign w:val="bottom"/>
            <w:tcBorders>
              <w:right w:val="single" w:sz="8" w:color="CCEEFF"/>
            </w:tcBorders>
            <w:gridSpan w:val="3"/>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(31.1%)</w:t>
            </w:r>
          </w:p>
        </w:tc>
        <w:tc>
          <w:tcPr>
            <w:tcW w:w="1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6/25/20</w:t>
            </w:r>
          </w:p>
        </w:tc>
        <w:tc>
          <w:tcPr>
            <w:tcW w:w="1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auto"/>
              </w:rPr>
              <w:t>Fusion Pharmaceuticals Inc.</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No</w:t>
            </w:r>
          </w:p>
        </w:tc>
        <w:tc>
          <w:tcPr>
            <w:tcW w:w="1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Cancer</w:t>
            </w:r>
          </w:p>
        </w:tc>
        <w:tc>
          <w:tcPr>
            <w:tcW w:w="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495.8</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708.3</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385.3</w:t>
            </w: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0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10.89</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858.6</w:t>
            </w:r>
          </w:p>
        </w:tc>
        <w:tc>
          <w:tcPr>
            <w:tcW w:w="100" w:type="dxa"/>
            <w:vAlign w:val="bottom"/>
            <w:vMerge w:val="continue"/>
          </w:tcPr>
          <w:p>
            <w:pPr>
              <w:spacing w:after="0"/>
              <w:rPr>
                <w:sz w:val="12"/>
                <w:szCs w:val="12"/>
                <w:color w:val="auto"/>
              </w:rPr>
            </w:pPr>
          </w:p>
        </w:tc>
        <w:tc>
          <w:tcPr>
            <w:tcW w:w="8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21.2%</w:t>
            </w:r>
          </w:p>
        </w:tc>
        <w:tc>
          <w:tcPr>
            <w:tcW w:w="12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6/4/20</w:t>
            </w:r>
          </w:p>
        </w:tc>
        <w:tc>
          <w:tcPr>
            <w:tcW w:w="1960" w:type="dxa"/>
            <w:vAlign w:val="bottom"/>
            <w:tcBorders>
              <w:right w:val="single" w:sz="8" w:color="CCEEFF"/>
            </w:tcBorders>
            <w:gridSpan w:val="3"/>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Applied Molecular Transport Inc.</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19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Pouchitis and Rheumatoid Arthritis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299.6</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177.1</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476.7</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319.1</w:t>
            </w:r>
          </w:p>
        </w:tc>
        <w:tc>
          <w:tcPr>
            <w:tcW w:w="10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NA</w:t>
            </w: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NA</w:t>
            </w:r>
          </w:p>
        </w:tc>
        <w:tc>
          <w:tcPr>
            <w:tcW w:w="100" w:type="dxa"/>
            <w:vAlign w:val="bottom"/>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NA</w:t>
            </w: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7/17/19</w:t>
            </w:r>
          </w:p>
        </w:tc>
        <w:tc>
          <w:tcPr>
            <w:tcW w:w="1960" w:type="dxa"/>
            <w:vAlign w:val="bottom"/>
            <w:gridSpan w:val="3"/>
          </w:tcPr>
          <w:p>
            <w:pPr>
              <w:ind w:left="80"/>
              <w:spacing w:after="0" w:line="144" w:lineRule="exact"/>
              <w:rPr>
                <w:sz w:val="20"/>
                <w:szCs w:val="20"/>
                <w:color w:val="auto"/>
              </w:rPr>
            </w:pPr>
            <w:r>
              <w:rPr>
                <w:rFonts w:ascii="Times New Roman" w:cs="Times New Roman" w:eastAsia="Times New Roman" w:hAnsi="Times New Roman"/>
                <w:sz w:val="13"/>
                <w:szCs w:val="13"/>
                <w:color w:val="auto"/>
              </w:rPr>
              <w:t>Fulcrum Therapeutics, Inc.</w:t>
            </w: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No</w:t>
            </w:r>
          </w:p>
        </w:tc>
        <w:tc>
          <w:tcPr>
            <w:tcW w:w="198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auto"/>
              </w:rPr>
              <w:t>Muscular Dystrophy</w:t>
            </w:r>
          </w:p>
        </w:tc>
        <w:tc>
          <w:tcPr>
            <w:tcW w:w="8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16.00</w:t>
            </w:r>
          </w:p>
        </w:tc>
        <w:tc>
          <w:tcPr>
            <w:tcW w:w="1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301.4</w:t>
            </w:r>
          </w:p>
        </w:tc>
        <w:tc>
          <w:tcPr>
            <w:tcW w:w="1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72.0</w:t>
            </w:r>
          </w:p>
        </w:tc>
        <w:tc>
          <w:tcPr>
            <w:tcW w:w="1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373.4</w:t>
            </w:r>
          </w:p>
        </w:tc>
        <w:tc>
          <w:tcPr>
            <w:tcW w:w="1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247.2</w:t>
            </w: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6.95</w:t>
            </w:r>
          </w:p>
        </w:tc>
        <w:tc>
          <w:tcPr>
            <w:tcW w:w="1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429.7</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15.1%</w:t>
            </w:r>
          </w:p>
        </w:tc>
        <w:tc>
          <w:tcPr>
            <w:tcW w:w="12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Low</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41.7</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11.5</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53.2</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34.4</w:t>
            </w:r>
          </w:p>
        </w:tc>
        <w:tc>
          <w:tcPr>
            <w:tcW w:w="16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0.69</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22.9</w:t>
            </w:r>
          </w:p>
        </w:tc>
        <w:tc>
          <w:tcPr>
            <w:tcW w:w="940" w:type="dxa"/>
            <w:vAlign w:val="bottom"/>
            <w:tcBorders>
              <w:right w:val="single" w:sz="8" w:color="CCEEFF"/>
            </w:tcBorders>
            <w:gridSpan w:val="3"/>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(97.0%)</w:t>
            </w:r>
          </w:p>
        </w:tc>
        <w:tc>
          <w:tcPr>
            <w:tcW w:w="1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High</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7"/>
              </w:rPr>
              <w:t>2,196.2</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7"/>
              </w:rPr>
              <w:t>2,564.2</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1,975.4</w:t>
            </w: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62.82</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7"/>
              </w:rPr>
              <w:t>3,673.5</w:t>
            </w:r>
          </w:p>
        </w:tc>
        <w:tc>
          <w:tcPr>
            <w:tcW w:w="100" w:type="dxa"/>
            <w:vAlign w:val="bottom"/>
            <w:vMerge w:val="continue"/>
          </w:tcPr>
          <w:p>
            <w:pPr>
              <w:spacing w:after="0"/>
              <w:rPr>
                <w:sz w:val="12"/>
                <w:szCs w:val="12"/>
                <w:color w:val="auto"/>
              </w:rPr>
            </w:pPr>
          </w:p>
        </w:tc>
        <w:tc>
          <w:tcPr>
            <w:tcW w:w="8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604.1%</w:t>
            </w:r>
          </w:p>
        </w:tc>
        <w:tc>
          <w:tcPr>
            <w:tcW w:w="12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Median</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334.5</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172.5</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507.0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306.0</w:t>
            </w:r>
          </w:p>
        </w:tc>
        <w:tc>
          <w:tcPr>
            <w:tcW w:w="16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9.01</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287.3</w:t>
            </w:r>
          </w:p>
        </w:tc>
        <w:tc>
          <w:tcPr>
            <w:tcW w:w="940" w:type="dxa"/>
            <w:vAlign w:val="bottom"/>
            <w:tcBorders>
              <w:right w:val="single" w:sz="8" w:color="CCEEFF"/>
            </w:tcBorders>
            <w:gridSpan w:val="3"/>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(42.4%)</w:t>
            </w:r>
          </w:p>
        </w:tc>
        <w:tc>
          <w:tcPr>
            <w:tcW w:w="1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Mean</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15.53</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463.2</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624.6</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395.0</w:t>
            </w: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13.18</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679.4</w:t>
            </w:r>
          </w:p>
        </w:tc>
        <w:tc>
          <w:tcPr>
            <w:tcW w:w="100" w:type="dxa"/>
            <w:vAlign w:val="bottom"/>
            <w:vMerge w:val="continue"/>
          </w:tcPr>
          <w:p>
            <w:pPr>
              <w:spacing w:after="0"/>
              <w:rPr>
                <w:sz w:val="12"/>
                <w:szCs w:val="12"/>
                <w:color w:val="auto"/>
              </w:rPr>
            </w:pPr>
          </w:p>
        </w:tc>
        <w:tc>
          <w:tcPr>
            <w:tcW w:w="8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36.8%</w:t>
            </w:r>
          </w:p>
        </w:tc>
        <w:tc>
          <w:tcPr>
            <w:tcW w:w="12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440" w:type="dxa"/>
            <w:vAlign w:val="bottom"/>
            <w:tcBorders>
              <w:right w:val="single" w:sz="8" w:color="CCEEFF"/>
            </w:tcBorders>
            <w:gridSpan w:val="4"/>
            <w:shd w:val="clear" w:color="auto" w:fill="CCEEFF"/>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All Selected IPOs</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Low</w:t>
            </w: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6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9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0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80" w:type="dxa"/>
            <w:vAlign w:val="bottom"/>
            <w:tcBorders>
              <w:top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0.67</w:t>
            </w: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w:t>
            </w:r>
            <w:r>
              <w:rPr>
                <w:rFonts w:ascii="Times New Roman" w:cs="Times New Roman" w:eastAsia="Times New Roman" w:hAnsi="Times New Roman"/>
                <w:sz w:val="13"/>
                <w:szCs w:val="13"/>
                <w:b w:val="1"/>
                <w:bCs w:val="1"/>
                <w:u w:val="single" w:color="auto"/>
                <w:color w:val="auto"/>
              </w:rPr>
              <w:t>2</w:t>
            </w:r>
          </w:p>
        </w:tc>
        <w:tc>
          <w:tcPr>
            <w:tcW w:w="940" w:type="dxa"/>
            <w:vAlign w:val="bottom"/>
            <w:tcBorders>
              <w:top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(97.0%)</w:t>
            </w:r>
          </w:p>
        </w:tc>
        <w:tc>
          <w:tcPr>
            <w:tcW w:w="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High</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21.00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7"/>
              </w:rPr>
              <w:t>2,196.2</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460.0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7"/>
              </w:rPr>
              <w:t>2,564.2</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1,975.4</w:t>
            </w:r>
          </w:p>
        </w:tc>
        <w:tc>
          <w:tcPr>
            <w:tcW w:w="16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62.82</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7"/>
              </w:rPr>
              <w:t>3,673.5</w:t>
            </w:r>
          </w:p>
        </w:tc>
        <w:tc>
          <w:tcPr>
            <w:tcW w:w="940" w:type="dxa"/>
            <w:vAlign w:val="bottom"/>
            <w:tcBorders>
              <w:right w:val="single" w:sz="8" w:color="CCEEFF"/>
            </w:tcBorders>
            <w:gridSpan w:val="3"/>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b w:val="1"/>
                <w:bCs w:val="1"/>
                <w:color w:val="auto"/>
              </w:rPr>
              <w:t>604.1%</w:t>
            </w:r>
          </w:p>
        </w:tc>
        <w:tc>
          <w:tcPr>
            <w:tcW w:w="1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3,</w:t>
            </w: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Median</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334.5</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172.5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507.0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306.0</w:t>
            </w: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9.37</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337.5</w:t>
            </w:r>
          </w:p>
        </w:tc>
        <w:tc>
          <w:tcPr>
            <w:tcW w:w="100" w:type="dxa"/>
            <w:vAlign w:val="bottom"/>
            <w:vMerge w:val="continue"/>
          </w:tcPr>
          <w:p>
            <w:pPr>
              <w:spacing w:after="0"/>
              <w:rPr>
                <w:sz w:val="12"/>
                <w:szCs w:val="12"/>
                <w:color w:val="auto"/>
              </w:rPr>
            </w:pPr>
          </w:p>
        </w:tc>
        <w:tc>
          <w:tcPr>
            <w:tcW w:w="84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b w:val="1"/>
                <w:bCs w:val="1"/>
                <w:color w:val="auto"/>
              </w:rPr>
              <w:t>(32.2%)</w:t>
            </w:r>
          </w:p>
        </w:tc>
        <w:tc>
          <w:tcPr>
            <w:tcW w:w="12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Mean</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15.26</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428.6</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162.4</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591.0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371.6</w:t>
            </w:r>
          </w:p>
        </w:tc>
        <w:tc>
          <w:tcPr>
            <w:tcW w:w="16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12.09</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606.8</w:t>
            </w:r>
          </w:p>
        </w:tc>
        <w:tc>
          <w:tcPr>
            <w:tcW w:w="940" w:type="dxa"/>
            <w:vAlign w:val="bottom"/>
            <w:tcBorders>
              <w:right w:val="single" w:sz="8" w:color="CCEEFF"/>
            </w:tcBorders>
            <w:gridSpan w:val="3"/>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b w:val="1"/>
                <w:bCs w:val="1"/>
                <w:color w:val="auto"/>
              </w:rPr>
              <w:t>25.8%</w:t>
            </w:r>
          </w:p>
        </w:tc>
        <w:tc>
          <w:tcPr>
            <w:tcW w:w="1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u w:val="single" w:color="auto"/>
          <w:color w:val="auto"/>
        </w:rPr>
        <w:t>[1] As of January 26, 2024</w:t>
      </w:r>
    </w:p>
    <w:p>
      <w:pPr>
        <w:spacing w:after="0" w:line="307"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17"/>
          <w:szCs w:val="17"/>
          <w:b w:val="1"/>
          <w:bCs w:val="1"/>
          <w:color w:val="auto"/>
        </w:rPr>
        <w:t>The disclosure under the heading “Opinion of Houlihan Lokey to the AVROBIO Board” is hereby amended and supplemented by replacing the chart on page 218 and 219 of the Registration Statement in its entirety with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40" w:type="dxa"/>
            <w:vAlign w:val="bottom"/>
            <w:gridSpan w:val="5"/>
          </w:tcPr>
          <w:p>
            <w:pPr>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Post-</w:t>
            </w:r>
          </w:p>
        </w:tc>
        <w:tc>
          <w:tcPr>
            <w:tcW w:w="240" w:type="dxa"/>
            <w:vAlign w:val="bottom"/>
          </w:tcPr>
          <w:p>
            <w:pPr>
              <w:spacing w:after="0"/>
              <w:rPr>
                <w:sz w:val="15"/>
                <w:szCs w:val="15"/>
                <w:color w:val="auto"/>
              </w:rPr>
            </w:pPr>
          </w:p>
        </w:tc>
        <w:tc>
          <w:tcPr>
            <w:tcW w:w="194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3"/>
                <w:szCs w:val="13"/>
                <w:b w:val="1"/>
                <w:bCs w:val="1"/>
                <w:color w:val="auto"/>
              </w:rPr>
              <w:t>Lead Product</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Financing</w:t>
            </w:r>
          </w:p>
        </w:tc>
        <w:tc>
          <w:tcPr>
            <w:tcW w:w="6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3"/>
                <w:szCs w:val="13"/>
                <w:color w:val="auto"/>
                <w:w w:val="98"/>
              </w:rPr>
              <w:t>Amount</w:t>
            </w:r>
          </w:p>
        </w:tc>
        <w:tc>
          <w:tcPr>
            <w:tcW w:w="24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color w:val="auto"/>
              </w:rPr>
              <w:t>Pre-Money</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Therapeutic</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Announced Date</w:t>
            </w:r>
          </w:p>
        </w:tc>
        <w:tc>
          <w:tcPr>
            <w:tcW w:w="200" w:type="dxa"/>
            <w:vAlign w:val="bottom"/>
          </w:tcPr>
          <w:p>
            <w:pPr>
              <w:spacing w:after="0"/>
              <w:rPr>
                <w:sz w:val="11"/>
                <w:szCs w:val="11"/>
                <w:color w:val="auto"/>
              </w:rPr>
            </w:pPr>
          </w:p>
        </w:tc>
        <w:tc>
          <w:tcPr>
            <w:tcW w:w="3540" w:type="dxa"/>
            <w:vAlign w:val="bottom"/>
            <w:vMerge w:val="restart"/>
          </w:tcPr>
          <w:p>
            <w:pPr>
              <w:ind w:left="1500"/>
              <w:spacing w:after="0"/>
              <w:rPr>
                <w:sz w:val="20"/>
                <w:szCs w:val="20"/>
                <w:color w:val="auto"/>
              </w:rPr>
            </w:pPr>
            <w:r>
              <w:rPr>
                <w:rFonts w:ascii="Times New Roman" w:cs="Times New Roman" w:eastAsia="Times New Roman" w:hAnsi="Times New Roman"/>
                <w:sz w:val="13"/>
                <w:szCs w:val="13"/>
                <w:color w:val="auto"/>
              </w:rPr>
              <w:t>Company</w:t>
            </w: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40" w:type="dxa"/>
            <w:vAlign w:val="bottom"/>
            <w:gridSpan w:val="3"/>
          </w:tcPr>
          <w:p>
            <w:pPr>
              <w:ind w:left="240"/>
              <w:spacing w:after="0" w:line="134" w:lineRule="exact"/>
              <w:rPr>
                <w:sz w:val="20"/>
                <w:szCs w:val="20"/>
                <w:color w:val="auto"/>
              </w:rPr>
            </w:pPr>
            <w:r>
              <w:rPr>
                <w:rFonts w:ascii="Times New Roman" w:cs="Times New Roman" w:eastAsia="Times New Roman" w:hAnsi="Times New Roman"/>
                <w:sz w:val="13"/>
                <w:szCs w:val="13"/>
                <w:color w:val="auto"/>
              </w:rPr>
              <w:t>Capital</w:t>
            </w:r>
          </w:p>
        </w:tc>
        <w:tc>
          <w:tcPr>
            <w:tcW w:w="840" w:type="dxa"/>
            <w:vAlign w:val="bottom"/>
            <w:gridSpan w:val="3"/>
            <w:vMerge w:val="continue"/>
          </w:tcPr>
          <w:p>
            <w:pPr>
              <w:spacing w:after="0"/>
              <w:rPr>
                <w:sz w:val="11"/>
                <w:szCs w:val="11"/>
                <w:color w:val="auto"/>
              </w:rPr>
            </w:pPr>
          </w:p>
        </w:tc>
        <w:tc>
          <w:tcPr>
            <w:tcW w:w="620" w:type="dxa"/>
            <w:vAlign w:val="bottom"/>
            <w:gridSpan w:val="3"/>
          </w:tcPr>
          <w:p>
            <w:pPr>
              <w:ind w:left="240"/>
              <w:spacing w:after="0" w:line="134" w:lineRule="exact"/>
              <w:rPr>
                <w:sz w:val="20"/>
                <w:szCs w:val="20"/>
                <w:color w:val="auto"/>
              </w:rPr>
            </w:pPr>
            <w:r>
              <w:rPr>
                <w:rFonts w:ascii="Times New Roman" w:cs="Times New Roman" w:eastAsia="Times New Roman" w:hAnsi="Times New Roman"/>
                <w:sz w:val="13"/>
                <w:szCs w:val="13"/>
                <w:color w:val="auto"/>
                <w:w w:val="97"/>
              </w:rPr>
              <w:t>Money</w:t>
            </w:r>
          </w:p>
        </w:tc>
        <w:tc>
          <w:tcPr>
            <w:tcW w:w="2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4"/>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Phase</w:t>
            </w:r>
          </w:p>
        </w:tc>
        <w:tc>
          <w:tcPr>
            <w:tcW w:w="0" w:type="dxa"/>
            <w:vAlign w:val="bottom"/>
          </w:tcPr>
          <w:p>
            <w:pPr>
              <w:spacing w:after="0"/>
              <w:rPr>
                <w:sz w:val="1"/>
                <w:szCs w:val="1"/>
                <w:color w:val="auto"/>
              </w:rPr>
            </w:pPr>
          </w:p>
        </w:tc>
      </w:tr>
      <w:tr>
        <w:trPr>
          <w:trHeight w:val="171"/>
        </w:trPr>
        <w:tc>
          <w:tcPr>
            <w:tcW w:w="9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Round</w:t>
            </w:r>
          </w:p>
        </w:tc>
        <w:tc>
          <w:tcPr>
            <w:tcW w:w="2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Raised</w:t>
            </w:r>
          </w:p>
        </w:tc>
        <w:tc>
          <w:tcPr>
            <w:tcW w:w="24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Raised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Value</w:t>
            </w:r>
          </w:p>
        </w:tc>
        <w:tc>
          <w:tcPr>
            <w:tcW w:w="2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Value</w:t>
            </w:r>
          </w:p>
        </w:tc>
        <w:tc>
          <w:tcPr>
            <w:tcW w:w="240" w:type="dxa"/>
            <w:vAlign w:val="bottom"/>
          </w:tcPr>
          <w:p>
            <w:pPr>
              <w:spacing w:after="0"/>
              <w:rPr>
                <w:sz w:val="14"/>
                <w:szCs w:val="14"/>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Category</w:t>
            </w:r>
          </w:p>
        </w:tc>
        <w:tc>
          <w:tcPr>
            <w:tcW w:w="20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80" w:type="dxa"/>
            <w:vAlign w:val="bottom"/>
            <w:tcBorders>
              <w:top w:val="single" w:sz="8" w:color="auto"/>
            </w:tcBorders>
            <w:gridSpan w:val="2"/>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Cardiovascular</w:t>
            </w:r>
          </w:p>
        </w:tc>
        <w:tc>
          <w:tcPr>
            <w:tcW w:w="200" w:type="dxa"/>
            <w:vAlign w:val="bottom"/>
            <w:tcBorders>
              <w:top w:val="single" w:sz="8" w:color="CCEEFF"/>
            </w:tcBorders>
            <w:shd w:val="clear" w:color="auto" w:fill="CCEEFF"/>
          </w:tcPr>
          <w:p>
            <w:pPr>
              <w:spacing w:after="0"/>
              <w:rPr>
                <w:sz w:val="8"/>
                <w:szCs w:val="8"/>
                <w:color w:val="auto"/>
              </w:rPr>
            </w:pPr>
          </w:p>
        </w:tc>
        <w:tc>
          <w:tcPr>
            <w:tcW w:w="35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10/31/23</w:t>
            </w:r>
          </w:p>
        </w:tc>
        <w:tc>
          <w:tcPr>
            <w:tcW w:w="100" w:type="dxa"/>
            <w:vAlign w:val="bottom"/>
            <w:tcBorders>
              <w:top w:val="single" w:sz="8" w:color="CCEEFF"/>
            </w:tcBorders>
          </w:tcPr>
          <w:p>
            <w:pPr>
              <w:spacing w:after="0"/>
              <w:rPr>
                <w:sz w:val="19"/>
                <w:szCs w:val="19"/>
                <w:color w:val="auto"/>
              </w:rPr>
            </w:pPr>
          </w:p>
        </w:tc>
        <w:tc>
          <w:tcPr>
            <w:tcW w:w="3740" w:type="dxa"/>
            <w:vAlign w:val="bottom"/>
            <w:tcBorders>
              <w:top w:val="single" w:sz="8" w:color="CCEEFF"/>
            </w:tcBorders>
            <w:gridSpan w:val="2"/>
          </w:tcPr>
          <w:p>
            <w:pPr>
              <w:ind w:left="200"/>
              <w:spacing w:after="0"/>
              <w:rPr>
                <w:sz w:val="20"/>
                <w:szCs w:val="20"/>
                <w:color w:val="auto"/>
              </w:rPr>
            </w:pPr>
            <w:r>
              <w:rPr>
                <w:rFonts w:ascii="Times New Roman" w:cs="Times New Roman" w:eastAsia="Times New Roman" w:hAnsi="Times New Roman"/>
                <w:sz w:val="13"/>
                <w:szCs w:val="13"/>
                <w:color w:val="auto"/>
              </w:rPr>
              <w:t>Imagine Pharma, Inc.</w:t>
            </w:r>
          </w:p>
        </w:tc>
        <w:tc>
          <w:tcPr>
            <w:tcW w:w="700" w:type="dxa"/>
            <w:vAlign w:val="bottom"/>
            <w:tcBorders>
              <w:top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Series A</w:t>
            </w:r>
          </w:p>
        </w:tc>
        <w:tc>
          <w:tcPr>
            <w:tcW w:w="300" w:type="dxa"/>
            <w:vAlign w:val="bottom"/>
            <w:tcBorders>
              <w:top w:val="single" w:sz="8" w:color="CCEEFF"/>
            </w:tcBorders>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320" w:type="dxa"/>
            <w:vAlign w:val="bottom"/>
            <w:tcBorders>
              <w:top w:val="single" w:sz="8" w:color="CCEEFF"/>
            </w:tcBorders>
            <w:gridSpan w:val="2"/>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24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Cardiovascular</w:t>
            </w:r>
          </w:p>
        </w:tc>
        <w:tc>
          <w:tcPr>
            <w:tcW w:w="920" w:type="dxa"/>
            <w:vAlign w:val="bottom"/>
            <w:tcBorders>
              <w:top w:val="single" w:sz="8" w:color="CCEEFF"/>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7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10/17/23</w:t>
            </w:r>
          </w:p>
        </w:tc>
        <w:tc>
          <w:tcPr>
            <w:tcW w:w="100" w:type="dxa"/>
            <w:vAlign w:val="bottom"/>
            <w:shd w:val="clear" w:color="auto" w:fill="CCEEFF"/>
          </w:tcPr>
          <w:p>
            <w:pPr>
              <w:spacing w:after="0"/>
              <w:rPr>
                <w:sz w:val="10"/>
                <w:szCs w:val="10"/>
                <w:color w:val="auto"/>
              </w:rPr>
            </w:pPr>
          </w:p>
        </w:tc>
        <w:tc>
          <w:tcPr>
            <w:tcW w:w="3740" w:type="dxa"/>
            <w:vAlign w:val="bottom"/>
            <w:gridSpan w:val="2"/>
            <w:shd w:val="clear" w:color="auto" w:fill="CCEEFF"/>
          </w:tcPr>
          <w:p>
            <w:pPr>
              <w:ind w:left="200"/>
              <w:spacing w:after="0" w:line="118" w:lineRule="exact"/>
              <w:rPr>
                <w:sz w:val="20"/>
                <w:szCs w:val="20"/>
                <w:color w:val="auto"/>
              </w:rPr>
            </w:pPr>
            <w:r>
              <w:rPr>
                <w:rFonts w:ascii="Times New Roman" w:cs="Times New Roman" w:eastAsia="Times New Roman" w:hAnsi="Times New Roman"/>
                <w:sz w:val="13"/>
                <w:szCs w:val="13"/>
                <w:color w:val="auto"/>
              </w:rPr>
              <w:t>Amplifier Therapeutics</w:t>
            </w:r>
          </w:p>
        </w:tc>
        <w:tc>
          <w:tcPr>
            <w:tcW w:w="700" w:type="dxa"/>
            <w:vAlign w:val="bottom"/>
            <w:gridSpan w:val="2"/>
            <w:shd w:val="clear" w:color="auto" w:fill="CCEEFF"/>
          </w:tcPr>
          <w:p>
            <w:pPr>
              <w:ind w:left="10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300" w:type="dxa"/>
            <w:vAlign w:val="bottom"/>
            <w:gridSpan w:val="2"/>
            <w:shd w:val="clear" w:color="auto" w:fill="CCEEFF"/>
          </w:tcPr>
          <w:p>
            <w:pPr>
              <w:ind w:left="20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33.3</w:t>
            </w:r>
          </w:p>
        </w:tc>
        <w:tc>
          <w:tcPr>
            <w:tcW w:w="320" w:type="dxa"/>
            <w:vAlign w:val="bottom"/>
            <w:gridSpan w:val="2"/>
            <w:shd w:val="clear" w:color="auto" w:fill="CCEEFF"/>
          </w:tcPr>
          <w:p>
            <w:pPr>
              <w:ind w:left="24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33.3</w:t>
            </w: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2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920" w:type="dxa"/>
            <w:vAlign w:val="bottom"/>
            <w:gridSpan w:val="5"/>
            <w:shd w:val="clear" w:color="auto" w:fill="CCEEFF"/>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Phase II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7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12/14/22</w:t>
            </w:r>
          </w:p>
        </w:tc>
        <w:tc>
          <w:tcPr>
            <w:tcW w:w="100" w:type="dxa"/>
            <w:vAlign w:val="bottom"/>
          </w:tcPr>
          <w:p>
            <w:pPr>
              <w:spacing w:after="0"/>
              <w:rPr>
                <w:sz w:val="10"/>
                <w:szCs w:val="10"/>
                <w:color w:val="auto"/>
              </w:rPr>
            </w:pPr>
          </w:p>
        </w:tc>
        <w:tc>
          <w:tcPr>
            <w:tcW w:w="374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3"/>
                <w:szCs w:val="13"/>
                <w:color w:val="auto"/>
              </w:rPr>
              <w:t>XyloCor Therapeutics</w:t>
            </w:r>
          </w:p>
        </w:tc>
        <w:tc>
          <w:tcPr>
            <w:tcW w:w="70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color w:val="auto"/>
              </w:rPr>
              <w:t>Series A1</w:t>
            </w:r>
          </w:p>
        </w:tc>
        <w:tc>
          <w:tcPr>
            <w:tcW w:w="30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12.0</w:t>
            </w:r>
          </w:p>
        </w:tc>
        <w:tc>
          <w:tcPr>
            <w:tcW w:w="320" w:type="dxa"/>
            <w:vAlign w:val="bottom"/>
            <w:gridSpan w:val="2"/>
          </w:tcPr>
          <w:p>
            <w:pPr>
              <w:ind w:left="24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54.5</w:t>
            </w:r>
          </w:p>
        </w:tc>
        <w:tc>
          <w:tcPr>
            <w:tcW w:w="340" w:type="dxa"/>
            <w:vAlign w:val="bottom"/>
            <w:gridSpan w:val="2"/>
          </w:tcPr>
          <w:p>
            <w:pPr>
              <w:ind w:left="2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62.6</w:t>
            </w:r>
          </w:p>
        </w:tc>
        <w:tc>
          <w:tcPr>
            <w:tcW w:w="300" w:type="dxa"/>
            <w:vAlign w:val="bottom"/>
            <w:gridSpan w:val="2"/>
          </w:tcPr>
          <w:p>
            <w:pPr>
              <w:ind w:left="22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74.6</w:t>
            </w:r>
          </w:p>
        </w:tc>
        <w:tc>
          <w:tcPr>
            <w:tcW w:w="240" w:type="dxa"/>
            <w:vAlign w:val="bottom"/>
          </w:tcPr>
          <w:p>
            <w:pPr>
              <w:spacing w:after="0"/>
              <w:rPr>
                <w:sz w:val="10"/>
                <w:szCs w:val="10"/>
                <w:color w:val="auto"/>
              </w:rPr>
            </w:pPr>
          </w:p>
        </w:tc>
        <w:tc>
          <w:tcPr>
            <w:tcW w:w="10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920" w:type="dxa"/>
            <w:vAlign w:val="bottom"/>
            <w:gridSpan w:val="5"/>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7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1/20/21</w:t>
            </w:r>
          </w:p>
        </w:tc>
        <w:tc>
          <w:tcPr>
            <w:tcW w:w="100" w:type="dxa"/>
            <w:vAlign w:val="bottom"/>
            <w:shd w:val="clear" w:color="auto" w:fill="CCEEFF"/>
          </w:tcPr>
          <w:p>
            <w:pPr>
              <w:spacing w:after="0"/>
              <w:rPr>
                <w:sz w:val="10"/>
                <w:szCs w:val="10"/>
                <w:color w:val="auto"/>
              </w:rPr>
            </w:pPr>
          </w:p>
        </w:tc>
        <w:tc>
          <w:tcPr>
            <w:tcW w:w="3740" w:type="dxa"/>
            <w:vAlign w:val="bottom"/>
            <w:gridSpan w:val="2"/>
            <w:shd w:val="clear" w:color="auto" w:fill="CCEEFF"/>
          </w:tcPr>
          <w:p>
            <w:pPr>
              <w:ind w:left="200"/>
              <w:spacing w:after="0" w:line="118" w:lineRule="exact"/>
              <w:rPr>
                <w:sz w:val="20"/>
                <w:szCs w:val="20"/>
                <w:color w:val="auto"/>
              </w:rPr>
            </w:pPr>
            <w:r>
              <w:rPr>
                <w:rFonts w:ascii="Times New Roman" w:cs="Times New Roman" w:eastAsia="Times New Roman" w:hAnsi="Times New Roman"/>
                <w:sz w:val="13"/>
                <w:szCs w:val="13"/>
                <w:color w:val="auto"/>
              </w:rPr>
              <w:t>XyloCor Therapeutics</w:t>
            </w:r>
          </w:p>
        </w:tc>
        <w:tc>
          <w:tcPr>
            <w:tcW w:w="700" w:type="dxa"/>
            <w:vAlign w:val="bottom"/>
            <w:gridSpan w:val="2"/>
            <w:shd w:val="clear" w:color="auto" w:fill="CCEEFF"/>
          </w:tcPr>
          <w:p>
            <w:pPr>
              <w:ind w:left="100"/>
              <w:spacing w:after="0" w:line="118" w:lineRule="exact"/>
              <w:rPr>
                <w:sz w:val="20"/>
                <w:szCs w:val="20"/>
                <w:color w:val="auto"/>
              </w:rPr>
            </w:pPr>
            <w:r>
              <w:rPr>
                <w:rFonts w:ascii="Times New Roman" w:cs="Times New Roman" w:eastAsia="Times New Roman" w:hAnsi="Times New Roman"/>
                <w:sz w:val="13"/>
                <w:szCs w:val="13"/>
                <w:color w:val="auto"/>
              </w:rPr>
              <w:t>Series A1</w:t>
            </w:r>
          </w:p>
        </w:tc>
        <w:tc>
          <w:tcPr>
            <w:tcW w:w="300" w:type="dxa"/>
            <w:vAlign w:val="bottom"/>
            <w:gridSpan w:val="2"/>
            <w:shd w:val="clear" w:color="auto" w:fill="CCEEFF"/>
          </w:tcPr>
          <w:p>
            <w:pPr>
              <w:ind w:left="20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22.6</w:t>
            </w:r>
          </w:p>
        </w:tc>
        <w:tc>
          <w:tcPr>
            <w:tcW w:w="320" w:type="dxa"/>
            <w:vAlign w:val="bottom"/>
            <w:gridSpan w:val="2"/>
            <w:shd w:val="clear" w:color="auto" w:fill="CCEEFF"/>
          </w:tcPr>
          <w:p>
            <w:pPr>
              <w:ind w:left="24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42.5</w:t>
            </w:r>
          </w:p>
        </w:tc>
        <w:tc>
          <w:tcPr>
            <w:tcW w:w="340" w:type="dxa"/>
            <w:vAlign w:val="bottom"/>
            <w:gridSpan w:val="2"/>
            <w:shd w:val="clear" w:color="auto" w:fill="CCEEFF"/>
          </w:tcPr>
          <w:p>
            <w:pPr>
              <w:ind w:left="2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40.0</w:t>
            </w:r>
          </w:p>
        </w:tc>
        <w:tc>
          <w:tcPr>
            <w:tcW w:w="300" w:type="dxa"/>
            <w:vAlign w:val="bottom"/>
            <w:gridSpan w:val="2"/>
            <w:shd w:val="clear" w:color="auto" w:fill="CCEEFF"/>
          </w:tcPr>
          <w:p>
            <w:pPr>
              <w:ind w:left="22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62.6</w:t>
            </w:r>
          </w:p>
        </w:tc>
        <w:tc>
          <w:tcPr>
            <w:tcW w:w="2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920" w:type="dxa"/>
            <w:vAlign w:val="bottom"/>
            <w:gridSpan w:val="5"/>
            <w:shd w:val="clear" w:color="auto" w:fill="CCEEFF"/>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Phase II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7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8/19/22</w:t>
            </w:r>
          </w:p>
        </w:tc>
        <w:tc>
          <w:tcPr>
            <w:tcW w:w="100" w:type="dxa"/>
            <w:vAlign w:val="bottom"/>
          </w:tcPr>
          <w:p>
            <w:pPr>
              <w:spacing w:after="0"/>
              <w:rPr>
                <w:sz w:val="10"/>
                <w:szCs w:val="10"/>
                <w:color w:val="auto"/>
              </w:rPr>
            </w:pPr>
          </w:p>
        </w:tc>
        <w:tc>
          <w:tcPr>
            <w:tcW w:w="374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3"/>
                <w:szCs w:val="13"/>
                <w:color w:val="auto"/>
              </w:rPr>
              <w:t>Rivus Pharmaceuticals</w:t>
            </w:r>
          </w:p>
        </w:tc>
        <w:tc>
          <w:tcPr>
            <w:tcW w:w="70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30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132.0</w:t>
            </w:r>
          </w:p>
        </w:tc>
        <w:tc>
          <w:tcPr>
            <w:tcW w:w="320" w:type="dxa"/>
            <w:vAlign w:val="bottom"/>
            <w:gridSpan w:val="2"/>
          </w:tcPr>
          <w:p>
            <w:pPr>
              <w:ind w:left="24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w w:val="95"/>
              </w:rPr>
              <w:t>167.0</w:t>
            </w:r>
          </w:p>
        </w:tc>
        <w:tc>
          <w:tcPr>
            <w:tcW w:w="340" w:type="dxa"/>
            <w:vAlign w:val="bottom"/>
            <w:gridSpan w:val="2"/>
          </w:tcPr>
          <w:p>
            <w:pPr>
              <w:ind w:left="2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300.0</w:t>
            </w:r>
          </w:p>
        </w:tc>
        <w:tc>
          <w:tcPr>
            <w:tcW w:w="300" w:type="dxa"/>
            <w:vAlign w:val="bottom"/>
            <w:gridSpan w:val="2"/>
          </w:tcPr>
          <w:p>
            <w:pPr>
              <w:ind w:left="22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432.0</w:t>
            </w:r>
          </w:p>
        </w:tc>
        <w:tc>
          <w:tcPr>
            <w:tcW w:w="240" w:type="dxa"/>
            <w:vAlign w:val="bottom"/>
          </w:tcPr>
          <w:p>
            <w:pPr>
              <w:spacing w:after="0"/>
              <w:rPr>
                <w:sz w:val="10"/>
                <w:szCs w:val="10"/>
                <w:color w:val="auto"/>
              </w:rPr>
            </w:pPr>
          </w:p>
        </w:tc>
        <w:tc>
          <w:tcPr>
            <w:tcW w:w="10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920" w:type="dxa"/>
            <w:vAlign w:val="bottom"/>
            <w:gridSpan w:val="5"/>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Phase II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40"/>
          </w:cols>
          <w:pgMar w:left="820" w:top="279"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120" cy="527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4420" w:type="dxa"/>
            <w:vAlign w:val="bottom"/>
            <w:gridSpan w:val="5"/>
          </w:tcPr>
          <w:p>
            <w:pPr>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Post-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Lead Product</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Financing</w:t>
            </w:r>
          </w:p>
        </w:tc>
        <w:tc>
          <w:tcPr>
            <w:tcW w:w="6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color w:val="auto"/>
                <w:w w:val="98"/>
              </w:rPr>
              <w:t>Amount</w:t>
            </w:r>
          </w:p>
        </w:tc>
        <w:tc>
          <w:tcPr>
            <w:tcW w:w="22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Pre-Money</w:t>
            </w:r>
          </w:p>
        </w:tc>
        <w:tc>
          <w:tcPr>
            <w:tcW w:w="22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gridSpan w:val="8"/>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Therapeutic</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Announced Date</w:t>
            </w:r>
          </w:p>
        </w:tc>
        <w:tc>
          <w:tcPr>
            <w:tcW w:w="120" w:type="dxa"/>
            <w:vAlign w:val="bottom"/>
          </w:tcPr>
          <w:p>
            <w:pPr>
              <w:spacing w:after="0"/>
              <w:rPr>
                <w:sz w:val="11"/>
                <w:szCs w:val="11"/>
                <w:color w:val="auto"/>
              </w:rPr>
            </w:pPr>
          </w:p>
        </w:tc>
        <w:tc>
          <w:tcPr>
            <w:tcW w:w="3220" w:type="dxa"/>
            <w:vAlign w:val="bottom"/>
            <w:vMerge w:val="restart"/>
          </w:tcPr>
          <w:p>
            <w:pPr>
              <w:ind w:left="1280"/>
              <w:spacing w:after="0"/>
              <w:rPr>
                <w:sz w:val="20"/>
                <w:szCs w:val="20"/>
                <w:color w:val="auto"/>
              </w:rPr>
            </w:pPr>
            <w:r>
              <w:rPr>
                <w:rFonts w:ascii="Times New Roman" w:cs="Times New Roman" w:eastAsia="Times New Roman" w:hAnsi="Times New Roman"/>
                <w:sz w:val="13"/>
                <w:szCs w:val="13"/>
                <w:color w:val="auto"/>
              </w:rPr>
              <w:t>Company</w:t>
            </w: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00" w:type="dxa"/>
            <w:vAlign w:val="bottom"/>
            <w:gridSpan w:val="3"/>
          </w:tcPr>
          <w:p>
            <w:pPr>
              <w:jc w:val="center"/>
              <w:ind w:left="133"/>
              <w:spacing w:after="0" w:line="134" w:lineRule="exact"/>
              <w:rPr>
                <w:sz w:val="20"/>
                <w:szCs w:val="20"/>
                <w:color w:val="auto"/>
              </w:rPr>
            </w:pPr>
            <w:r>
              <w:rPr>
                <w:rFonts w:ascii="Times New Roman" w:cs="Times New Roman" w:eastAsia="Times New Roman" w:hAnsi="Times New Roman"/>
                <w:sz w:val="13"/>
                <w:szCs w:val="13"/>
                <w:color w:val="auto"/>
              </w:rPr>
              <w:t>Capital</w:t>
            </w:r>
          </w:p>
        </w:tc>
        <w:tc>
          <w:tcPr>
            <w:tcW w:w="820" w:type="dxa"/>
            <w:vAlign w:val="bottom"/>
            <w:gridSpan w:val="3"/>
            <w:vMerge w:val="continue"/>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Times New Roman" w:cs="Times New Roman" w:eastAsia="Times New Roman" w:hAnsi="Times New Roman"/>
                <w:sz w:val="13"/>
                <w:szCs w:val="13"/>
                <w:color w:val="auto"/>
              </w:rPr>
              <w:t>Money</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8"/>
            <w:vMerge w:val="continue"/>
          </w:tcPr>
          <w:p>
            <w:pPr>
              <w:spacing w:after="0"/>
              <w:rPr>
                <w:sz w:val="11"/>
                <w:szCs w:val="11"/>
                <w:color w:val="auto"/>
              </w:rPr>
            </w:pPr>
          </w:p>
        </w:tc>
        <w:tc>
          <w:tcPr>
            <w:tcW w:w="700" w:type="dxa"/>
            <w:vAlign w:val="bottom"/>
            <w:gridSpan w:val="4"/>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Phase</w:t>
            </w:r>
          </w:p>
        </w:tc>
        <w:tc>
          <w:tcPr>
            <w:tcW w:w="0" w:type="dxa"/>
            <w:vAlign w:val="bottom"/>
          </w:tcPr>
          <w:p>
            <w:pPr>
              <w:spacing w:after="0"/>
              <w:rPr>
                <w:sz w:val="1"/>
                <w:szCs w:val="1"/>
                <w:color w:val="auto"/>
              </w:rPr>
            </w:pPr>
          </w:p>
        </w:tc>
      </w:tr>
      <w:tr>
        <w:trPr>
          <w:trHeight w:val="171"/>
        </w:trPr>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Round</w:t>
            </w:r>
          </w:p>
        </w:tc>
        <w:tc>
          <w:tcPr>
            <w:tcW w:w="1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Raised</w:t>
            </w:r>
          </w:p>
        </w:tc>
        <w:tc>
          <w:tcPr>
            <w:tcW w:w="220" w:type="dxa"/>
            <w:vAlign w:val="bottom"/>
          </w:tcPr>
          <w:p>
            <w:pPr>
              <w:spacing w:after="0"/>
              <w:rPr>
                <w:sz w:val="14"/>
                <w:szCs w:val="14"/>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Raised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Value</w:t>
            </w:r>
          </w:p>
        </w:tc>
        <w:tc>
          <w:tcPr>
            <w:tcW w:w="22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Value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8"/>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Category</w:t>
            </w:r>
          </w:p>
        </w:tc>
        <w:tc>
          <w:tcPr>
            <w:tcW w:w="7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80" w:type="dxa"/>
            <w:vAlign w:val="bottom"/>
            <w:tcBorders>
              <w:top w:val="single" w:sz="8" w:color="auto"/>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7/20/21</w:t>
            </w:r>
          </w:p>
        </w:tc>
        <w:tc>
          <w:tcPr>
            <w:tcW w:w="180" w:type="dxa"/>
            <w:vAlign w:val="bottom"/>
            <w:tcBorders>
              <w:top w:val="single" w:sz="8" w:color="CCEEFF"/>
            </w:tcBorders>
            <w:shd w:val="clear" w:color="auto" w:fill="CCEEFF"/>
          </w:tcPr>
          <w:p>
            <w:pPr>
              <w:spacing w:after="0"/>
              <w:rPr>
                <w:sz w:val="9"/>
                <w:szCs w:val="9"/>
                <w:color w:val="auto"/>
              </w:rPr>
            </w:pPr>
          </w:p>
        </w:tc>
        <w:tc>
          <w:tcPr>
            <w:tcW w:w="3340" w:type="dxa"/>
            <w:vAlign w:val="bottom"/>
            <w:tcBorders>
              <w:top w:val="single" w:sz="8" w:color="auto"/>
            </w:tcBorders>
            <w:gridSpan w:val="2"/>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Rivus Pharmaceuticals</w:t>
            </w:r>
          </w:p>
        </w:tc>
        <w:tc>
          <w:tcPr>
            <w:tcW w:w="1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Series A</w:t>
            </w:r>
          </w:p>
        </w:tc>
        <w:tc>
          <w:tcPr>
            <w:tcW w:w="1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35.0</w:t>
            </w:r>
          </w:p>
        </w:tc>
        <w:tc>
          <w:tcPr>
            <w:tcW w:w="2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35.0</w:t>
            </w: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15.0</w:t>
            </w:r>
          </w:p>
        </w:tc>
        <w:tc>
          <w:tcPr>
            <w:tcW w:w="2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50.0</w:t>
            </w:r>
          </w:p>
        </w:tc>
        <w:tc>
          <w:tcPr>
            <w:tcW w:w="240" w:type="dxa"/>
            <w:vAlign w:val="bottom"/>
            <w:tcBorders>
              <w:top w:val="single" w:sz="8" w:color="CCEEFF"/>
              <w:right w:val="single" w:sz="8" w:color="CCEEFF"/>
            </w:tcBorders>
            <w:shd w:val="clear" w:color="auto" w:fill="CCEEFF"/>
          </w:tcPr>
          <w:p>
            <w:pPr>
              <w:spacing w:after="0"/>
              <w:rPr>
                <w:sz w:val="9"/>
                <w:szCs w:val="9"/>
                <w:color w:val="auto"/>
              </w:rPr>
            </w:pPr>
          </w:p>
        </w:tc>
        <w:tc>
          <w:tcPr>
            <w:tcW w:w="1380" w:type="dxa"/>
            <w:vAlign w:val="bottom"/>
            <w:tcBorders>
              <w:top w:val="single" w:sz="8" w:color="auto"/>
            </w:tcBorders>
            <w:gridSpan w:val="8"/>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Cardiovascular</w:t>
            </w:r>
          </w:p>
        </w:tc>
        <w:tc>
          <w:tcPr>
            <w:tcW w:w="200" w:type="dxa"/>
            <w:vAlign w:val="bottom"/>
            <w:tcBorders>
              <w:top w:val="single" w:sz="8" w:color="CCEEFF"/>
              <w:right w:val="single" w:sz="8" w:color="CCEEFF"/>
            </w:tcBorders>
            <w:shd w:val="clear" w:color="auto" w:fill="CCEEFF"/>
          </w:tcPr>
          <w:p>
            <w:pPr>
              <w:spacing w:after="0"/>
              <w:rPr>
                <w:sz w:val="9"/>
                <w:szCs w:val="9"/>
                <w:color w:val="auto"/>
              </w:rPr>
            </w:pPr>
          </w:p>
        </w:tc>
        <w:tc>
          <w:tcPr>
            <w:tcW w:w="700" w:type="dxa"/>
            <w:vAlign w:val="bottom"/>
            <w:tcBorders>
              <w:top w:val="single" w:sz="8" w:color="auto"/>
            </w:tcBorders>
            <w:gridSpan w:val="4"/>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Phase II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6/1/22</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Mineralys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118.0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158.0</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150.0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268.0</w:t>
            </w:r>
          </w:p>
        </w:tc>
        <w:tc>
          <w:tcPr>
            <w:tcW w:w="240" w:type="dxa"/>
            <w:vAlign w:val="bottom"/>
          </w:tcPr>
          <w:p>
            <w:pPr>
              <w:spacing w:after="0"/>
              <w:rPr>
                <w:sz w:val="10"/>
                <w:szCs w:val="10"/>
                <w:color w:val="auto"/>
              </w:rPr>
            </w:pPr>
          </w:p>
        </w:tc>
        <w:tc>
          <w:tcPr>
            <w:tcW w:w="1580" w:type="dxa"/>
            <w:vAlign w:val="bottom"/>
            <w:gridSpan w:val="9"/>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1/18/22</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Mineralys</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40.0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40.0</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37.5</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77.5</w:t>
            </w:r>
          </w:p>
        </w:tc>
        <w:tc>
          <w:tcPr>
            <w:tcW w:w="240" w:type="dxa"/>
            <w:vAlign w:val="bottom"/>
            <w:tcBorders>
              <w:right w:val="single" w:sz="8" w:color="CCEEFF"/>
            </w:tcBorders>
            <w:shd w:val="clear" w:color="auto" w:fill="CCEEFF"/>
          </w:tcPr>
          <w:p>
            <w:pPr>
              <w:spacing w:after="0"/>
              <w:rPr>
                <w:sz w:val="10"/>
                <w:szCs w:val="10"/>
                <w:color w:val="auto"/>
              </w:rPr>
            </w:pPr>
          </w:p>
        </w:tc>
        <w:tc>
          <w:tcPr>
            <w:tcW w:w="1580" w:type="dxa"/>
            <w:vAlign w:val="bottom"/>
            <w:tcBorders>
              <w:right w:val="single" w:sz="8" w:color="CCEE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12/20/21</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Armgo Pharma</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35.0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40.0</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35.0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70.0</w:t>
            </w:r>
          </w:p>
        </w:tc>
        <w:tc>
          <w:tcPr>
            <w:tcW w:w="240" w:type="dxa"/>
            <w:vAlign w:val="bottom"/>
          </w:tcPr>
          <w:p>
            <w:pPr>
              <w:spacing w:after="0"/>
              <w:rPr>
                <w:sz w:val="10"/>
                <w:szCs w:val="10"/>
                <w:color w:val="auto"/>
              </w:rPr>
            </w:pPr>
          </w:p>
        </w:tc>
        <w:tc>
          <w:tcPr>
            <w:tcW w:w="1580" w:type="dxa"/>
            <w:vAlign w:val="bottom"/>
            <w:gridSpan w:val="9"/>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9/22/21</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CinCor Pharma</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142.9</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192.9</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230.0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372.9</w:t>
            </w:r>
          </w:p>
        </w:tc>
        <w:tc>
          <w:tcPr>
            <w:tcW w:w="240" w:type="dxa"/>
            <w:vAlign w:val="bottom"/>
            <w:tcBorders>
              <w:right w:val="single" w:sz="8" w:color="CCEEFF"/>
            </w:tcBorders>
            <w:shd w:val="clear" w:color="auto" w:fill="CCEEFF"/>
          </w:tcPr>
          <w:p>
            <w:pPr>
              <w:spacing w:after="0"/>
              <w:rPr>
                <w:sz w:val="10"/>
                <w:szCs w:val="10"/>
                <w:color w:val="auto"/>
              </w:rPr>
            </w:pPr>
          </w:p>
        </w:tc>
        <w:tc>
          <w:tcPr>
            <w:tcW w:w="1580" w:type="dxa"/>
            <w:vAlign w:val="bottom"/>
            <w:tcBorders>
              <w:right w:val="single" w:sz="8" w:color="CCEE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5/14/19</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CinCor Pharma</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50.0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50.0</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15.0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65.0</w:t>
            </w:r>
          </w:p>
        </w:tc>
        <w:tc>
          <w:tcPr>
            <w:tcW w:w="240" w:type="dxa"/>
            <w:vAlign w:val="bottom"/>
          </w:tcPr>
          <w:p>
            <w:pPr>
              <w:spacing w:after="0"/>
              <w:rPr>
                <w:sz w:val="10"/>
                <w:szCs w:val="10"/>
                <w:color w:val="auto"/>
              </w:rPr>
            </w:pPr>
          </w:p>
        </w:tc>
        <w:tc>
          <w:tcPr>
            <w:tcW w:w="1580" w:type="dxa"/>
            <w:vAlign w:val="bottom"/>
            <w:gridSpan w:val="9"/>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8/31/21</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Versanis Bio</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70.0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70.0</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35.0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105.0</w:t>
            </w:r>
          </w:p>
        </w:tc>
        <w:tc>
          <w:tcPr>
            <w:tcW w:w="240" w:type="dxa"/>
            <w:vAlign w:val="bottom"/>
            <w:tcBorders>
              <w:right w:val="single" w:sz="8" w:color="CCEEFF"/>
            </w:tcBorders>
            <w:shd w:val="clear" w:color="auto" w:fill="CCEEFF"/>
          </w:tcPr>
          <w:p>
            <w:pPr>
              <w:spacing w:after="0"/>
              <w:rPr>
                <w:sz w:val="10"/>
                <w:szCs w:val="10"/>
                <w:color w:val="auto"/>
              </w:rPr>
            </w:pPr>
          </w:p>
        </w:tc>
        <w:tc>
          <w:tcPr>
            <w:tcW w:w="1580" w:type="dxa"/>
            <w:vAlign w:val="bottom"/>
            <w:tcBorders>
              <w:right w:val="single" w:sz="8" w:color="CCEE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3/1/21</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Tenaya Therapeutics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C</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106.0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248.0</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270.0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376.0</w:t>
            </w:r>
          </w:p>
        </w:tc>
        <w:tc>
          <w:tcPr>
            <w:tcW w:w="240" w:type="dxa"/>
            <w:vAlign w:val="bottom"/>
          </w:tcPr>
          <w:p>
            <w:pPr>
              <w:spacing w:after="0"/>
              <w:rPr>
                <w:sz w:val="10"/>
                <w:szCs w:val="10"/>
                <w:color w:val="auto"/>
              </w:rPr>
            </w:pPr>
          </w:p>
        </w:tc>
        <w:tc>
          <w:tcPr>
            <w:tcW w:w="1580" w:type="dxa"/>
            <w:vAlign w:val="bottom"/>
            <w:gridSpan w:val="9"/>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10/3/19</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Tenaya Therapeutics</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92.0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142.0</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118.0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210.0</w:t>
            </w:r>
          </w:p>
        </w:tc>
        <w:tc>
          <w:tcPr>
            <w:tcW w:w="240" w:type="dxa"/>
            <w:vAlign w:val="bottom"/>
            <w:tcBorders>
              <w:right w:val="single" w:sz="8" w:color="CCEEFF"/>
            </w:tcBorders>
            <w:shd w:val="clear" w:color="auto" w:fill="CCEEFF"/>
          </w:tcPr>
          <w:p>
            <w:pPr>
              <w:spacing w:after="0"/>
              <w:rPr>
                <w:sz w:val="10"/>
                <w:szCs w:val="10"/>
                <w:color w:val="auto"/>
              </w:rPr>
            </w:pPr>
          </w:p>
        </w:tc>
        <w:tc>
          <w:tcPr>
            <w:tcW w:w="1580" w:type="dxa"/>
            <w:vAlign w:val="bottom"/>
            <w:tcBorders>
              <w:right w:val="single" w:sz="8" w:color="CCEE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1/14/21</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Verve Therapeutics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94.0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215.5</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325.0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419.0</w:t>
            </w:r>
          </w:p>
        </w:tc>
        <w:tc>
          <w:tcPr>
            <w:tcW w:w="240" w:type="dxa"/>
            <w:vAlign w:val="bottom"/>
          </w:tcPr>
          <w:p>
            <w:pPr>
              <w:spacing w:after="0"/>
              <w:rPr>
                <w:sz w:val="10"/>
                <w:szCs w:val="10"/>
                <w:color w:val="auto"/>
              </w:rPr>
            </w:pPr>
          </w:p>
        </w:tc>
        <w:tc>
          <w:tcPr>
            <w:tcW w:w="1580" w:type="dxa"/>
            <w:vAlign w:val="bottom"/>
            <w:gridSpan w:val="9"/>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1/11/20</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Verve Therapeutics</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A2</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63.0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121.5</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130.0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193.0</w:t>
            </w:r>
          </w:p>
        </w:tc>
        <w:tc>
          <w:tcPr>
            <w:tcW w:w="240" w:type="dxa"/>
            <w:vAlign w:val="bottom"/>
            <w:tcBorders>
              <w:right w:val="single" w:sz="8" w:color="CCEEFF"/>
            </w:tcBorders>
            <w:shd w:val="clear" w:color="auto" w:fill="CCEEFF"/>
          </w:tcPr>
          <w:p>
            <w:pPr>
              <w:spacing w:after="0"/>
              <w:rPr>
                <w:sz w:val="10"/>
                <w:szCs w:val="10"/>
                <w:color w:val="auto"/>
              </w:rPr>
            </w:pPr>
          </w:p>
        </w:tc>
        <w:tc>
          <w:tcPr>
            <w:tcW w:w="1580" w:type="dxa"/>
            <w:vAlign w:val="bottom"/>
            <w:tcBorders>
              <w:right w:val="single" w:sz="8" w:color="CCEE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12/8/20</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Edgewise Therapeutics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C</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95.0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155.0</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200.0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295.0</w:t>
            </w:r>
          </w:p>
        </w:tc>
        <w:tc>
          <w:tcPr>
            <w:tcW w:w="240" w:type="dxa"/>
            <w:vAlign w:val="bottom"/>
          </w:tcPr>
          <w:p>
            <w:pPr>
              <w:spacing w:after="0"/>
              <w:rPr>
                <w:sz w:val="10"/>
                <w:szCs w:val="10"/>
                <w:color w:val="auto"/>
              </w:rPr>
            </w:pPr>
          </w:p>
        </w:tc>
        <w:tc>
          <w:tcPr>
            <w:tcW w:w="1580" w:type="dxa"/>
            <w:vAlign w:val="bottom"/>
            <w:gridSpan w:val="9"/>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9/17/19</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Edgewise Therapeutics</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50.0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60.0</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60.0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120.0</w:t>
            </w:r>
          </w:p>
        </w:tc>
        <w:tc>
          <w:tcPr>
            <w:tcW w:w="240" w:type="dxa"/>
            <w:vAlign w:val="bottom"/>
            <w:tcBorders>
              <w:right w:val="single" w:sz="8" w:color="CCEEFF"/>
            </w:tcBorders>
            <w:shd w:val="clear" w:color="auto" w:fill="CCEEFF"/>
          </w:tcPr>
          <w:p>
            <w:pPr>
              <w:spacing w:after="0"/>
              <w:rPr>
                <w:sz w:val="10"/>
                <w:szCs w:val="10"/>
                <w:color w:val="auto"/>
              </w:rPr>
            </w:pPr>
          </w:p>
        </w:tc>
        <w:tc>
          <w:tcPr>
            <w:tcW w:w="1580" w:type="dxa"/>
            <w:vAlign w:val="bottom"/>
            <w:tcBorders>
              <w:right w:val="single" w:sz="8" w:color="CCEE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10/21/20</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InCarda Therapeutics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C</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77.9</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128.3</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158.3</w:t>
            </w:r>
          </w:p>
        </w:tc>
        <w:tc>
          <w:tcPr>
            <w:tcW w:w="240" w:type="dxa"/>
            <w:vAlign w:val="bottom"/>
          </w:tcPr>
          <w:p>
            <w:pPr>
              <w:spacing w:after="0"/>
              <w:rPr>
                <w:sz w:val="10"/>
                <w:szCs w:val="10"/>
                <w:color w:val="auto"/>
              </w:rPr>
            </w:pPr>
          </w:p>
        </w:tc>
        <w:tc>
          <w:tcPr>
            <w:tcW w:w="1580" w:type="dxa"/>
            <w:vAlign w:val="bottom"/>
            <w:gridSpan w:val="9"/>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8/14/19</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Renovacor</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11.0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11.0</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11.3</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22.3</w:t>
            </w:r>
          </w:p>
        </w:tc>
        <w:tc>
          <w:tcPr>
            <w:tcW w:w="240" w:type="dxa"/>
            <w:vAlign w:val="bottom"/>
            <w:tcBorders>
              <w:right w:val="single" w:sz="8" w:color="CCEEFF"/>
            </w:tcBorders>
            <w:shd w:val="clear" w:color="auto" w:fill="CCEEFF"/>
          </w:tcPr>
          <w:p>
            <w:pPr>
              <w:spacing w:after="0"/>
              <w:rPr>
                <w:sz w:val="10"/>
                <w:szCs w:val="10"/>
                <w:color w:val="auto"/>
              </w:rPr>
            </w:pPr>
          </w:p>
        </w:tc>
        <w:tc>
          <w:tcPr>
            <w:tcW w:w="1580" w:type="dxa"/>
            <w:vAlign w:val="bottom"/>
            <w:tcBorders>
              <w:right w:val="single" w:sz="8" w:color="CCEE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Low</w:t>
            </w:r>
          </w:p>
        </w:tc>
        <w:tc>
          <w:tcPr>
            <w:tcW w:w="1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High</w:t>
            </w:r>
          </w:p>
        </w:tc>
        <w:tc>
          <w:tcPr>
            <w:tcW w:w="1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142.9</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248.0</w:t>
            </w:r>
          </w:p>
        </w:tc>
        <w:tc>
          <w:tcPr>
            <w:tcW w:w="3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325.0</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432.0</w:t>
            </w:r>
          </w:p>
        </w:tc>
        <w:tc>
          <w:tcPr>
            <w:tcW w:w="2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Median</w:t>
            </w:r>
          </w:p>
        </w:tc>
        <w:tc>
          <w:tcPr>
            <w:tcW w:w="1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2"/>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50.0</w:t>
            </w:r>
          </w:p>
        </w:tc>
        <w:tc>
          <w:tcPr>
            <w:tcW w:w="2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65.0</w:t>
            </w:r>
          </w:p>
        </w:tc>
        <w:tc>
          <w:tcPr>
            <w:tcW w:w="32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90.3</w:t>
            </w:r>
          </w:p>
        </w:tc>
        <w:tc>
          <w:tcPr>
            <w:tcW w:w="2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139.2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Mean</w:t>
            </w:r>
          </w:p>
        </w:tc>
        <w:tc>
          <w:tcPr>
            <w:tcW w:w="1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63.2</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97.7</w:t>
            </w:r>
          </w:p>
        </w:tc>
        <w:tc>
          <w:tcPr>
            <w:tcW w:w="3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120.2</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187.3</w:t>
            </w:r>
          </w:p>
        </w:tc>
        <w:tc>
          <w:tcPr>
            <w:tcW w:w="2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1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rPr>
              <w:t>Early Stage - GPCR</w:t>
            </w:r>
          </w:p>
        </w:tc>
        <w:tc>
          <w:tcPr>
            <w:tcW w:w="1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880" w:type="dxa"/>
            <w:vAlign w:val="bottom"/>
            <w:tcBorders>
              <w:bottom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12/14/23</w:t>
            </w:r>
          </w:p>
        </w:tc>
        <w:tc>
          <w:tcPr>
            <w:tcW w:w="180" w:type="dxa"/>
            <w:vAlign w:val="bottom"/>
            <w:tcBorders>
              <w:bottom w:val="single" w:sz="8" w:color="CCEEFF"/>
            </w:tcBorders>
            <w:shd w:val="clear" w:color="auto" w:fill="CCEEFF"/>
          </w:tcPr>
          <w:p>
            <w:pPr>
              <w:spacing w:after="0"/>
              <w:rPr>
                <w:sz w:val="10"/>
                <w:szCs w:val="10"/>
                <w:color w:val="auto"/>
              </w:rPr>
            </w:pPr>
          </w:p>
        </w:tc>
        <w:tc>
          <w:tcPr>
            <w:tcW w:w="3340" w:type="dxa"/>
            <w:vAlign w:val="bottom"/>
            <w:tcBorders>
              <w:bottom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Deep Apple Therapeutics</w:t>
            </w:r>
          </w:p>
        </w:tc>
        <w:tc>
          <w:tcPr>
            <w:tcW w:w="680" w:type="dxa"/>
            <w:vAlign w:val="bottom"/>
            <w:tcBorders>
              <w:bottom w:val="single" w:sz="8" w:color="CCEEFF"/>
            </w:tcBorders>
            <w:gridSpan w:val="2"/>
            <w:shd w:val="clear" w:color="auto" w:fill="CCEEFF"/>
          </w:tcPr>
          <w:p>
            <w:pPr>
              <w:ind w:left="80"/>
              <w:spacing w:after="0" w:line="126"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tcBorders>
              <w:bottom w:val="single" w:sz="8" w:color="CCEEFF"/>
            </w:tcBorders>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52.0</w:t>
            </w:r>
          </w:p>
        </w:tc>
        <w:tc>
          <w:tcPr>
            <w:tcW w:w="280" w:type="dxa"/>
            <w:vAlign w:val="bottom"/>
            <w:tcBorders>
              <w:bottom w:val="single" w:sz="8" w:color="CCEEFF"/>
            </w:tcBorders>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57.0</w:t>
            </w:r>
          </w:p>
        </w:tc>
        <w:tc>
          <w:tcPr>
            <w:tcW w:w="2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NA</w:t>
            </w: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NA</w:t>
            </w:r>
          </w:p>
        </w:tc>
        <w:tc>
          <w:tcPr>
            <w:tcW w:w="240" w:type="dxa"/>
            <w:vAlign w:val="bottom"/>
            <w:tcBorders>
              <w:bottom w:val="single" w:sz="8" w:color="CCEEFF"/>
              <w:right w:val="single" w:sz="8" w:color="CCEEFF"/>
            </w:tcBorders>
            <w:shd w:val="clear" w:color="auto" w:fill="CCEEFF"/>
          </w:tcPr>
          <w:p>
            <w:pPr>
              <w:spacing w:after="0"/>
              <w:rPr>
                <w:sz w:val="10"/>
                <w:szCs w:val="10"/>
                <w:color w:val="auto"/>
              </w:rPr>
            </w:pPr>
          </w:p>
        </w:tc>
        <w:tc>
          <w:tcPr>
            <w:tcW w:w="520" w:type="dxa"/>
            <w:vAlign w:val="bottom"/>
            <w:tcBorders>
              <w:bottom w:val="single" w:sz="8" w:color="auto"/>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3"/>
                <w:szCs w:val="13"/>
                <w:b w:val="1"/>
                <w:bCs w:val="1"/>
                <w:color w:val="auto"/>
                <w:w w:val="86"/>
              </w:rPr>
              <w:t>Metabolic</w:t>
            </w:r>
          </w:p>
        </w:tc>
        <w:tc>
          <w:tcPr>
            <w:tcW w:w="1060" w:type="dxa"/>
            <w:vAlign w:val="bottom"/>
            <w:tcBorders>
              <w:left w:val="single" w:sz="8" w:color="CCEEFF"/>
              <w:bottom w:val="single" w:sz="8" w:color="CCEEFF"/>
              <w:right w:val="single" w:sz="8" w:color="CCEEFF"/>
            </w:tcBorders>
            <w:gridSpan w:val="7"/>
            <w:shd w:val="clear" w:color="auto" w:fill="CCEEFF"/>
          </w:tcPr>
          <w:p>
            <w:pPr>
              <w:spacing w:after="0"/>
              <w:rPr>
                <w:sz w:val="10"/>
                <w:szCs w:val="10"/>
                <w:color w:val="auto"/>
              </w:rPr>
            </w:pPr>
          </w:p>
        </w:tc>
        <w:tc>
          <w:tcPr>
            <w:tcW w:w="600" w:type="dxa"/>
            <w:vAlign w:val="bottom"/>
            <w:tcBorders>
              <w:bottom w:val="single" w:sz="8" w:color="auto"/>
              <w:right w:val="single" w:sz="8" w:color="CCEEFF"/>
            </w:tcBorders>
            <w:gridSpan w:val="3"/>
            <w:shd w:val="clear" w:color="auto" w:fill="CCEEFF"/>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Discovery</w:t>
            </w:r>
          </w:p>
        </w:tc>
        <w:tc>
          <w:tcPr>
            <w:tcW w:w="1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7/11/23</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Septerna</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150.0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250.0</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170.0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320.0</w:t>
            </w:r>
          </w:p>
        </w:tc>
        <w:tc>
          <w:tcPr>
            <w:tcW w:w="240" w:type="dxa"/>
            <w:vAlign w:val="bottom"/>
          </w:tcPr>
          <w:p>
            <w:pPr>
              <w:spacing w:after="0"/>
              <w:rPr>
                <w:sz w:val="10"/>
                <w:szCs w:val="10"/>
                <w:color w:val="auto"/>
              </w:rPr>
            </w:pPr>
          </w:p>
        </w:tc>
        <w:tc>
          <w:tcPr>
            <w:tcW w:w="580" w:type="dxa"/>
            <w:vAlign w:val="bottom"/>
            <w:tcBorders>
              <w:bottom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8"/>
              </w:rPr>
              <w:t>Hormonal</w:t>
            </w:r>
          </w:p>
        </w:tc>
        <w:tc>
          <w:tcPr>
            <w:tcW w:w="1000" w:type="dxa"/>
            <w:vAlign w:val="bottom"/>
            <w:gridSpan w:val="6"/>
          </w:tcPr>
          <w:p>
            <w:pPr>
              <w:spacing w:after="0"/>
              <w:rPr>
                <w:sz w:val="10"/>
                <w:szCs w:val="10"/>
                <w:color w:val="auto"/>
              </w:rPr>
            </w:pPr>
          </w:p>
        </w:tc>
        <w:tc>
          <w:tcPr>
            <w:tcW w:w="600" w:type="dxa"/>
            <w:vAlign w:val="bottom"/>
            <w:tcBorders>
              <w:bottom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4"/>
              </w:rPr>
              <w:t>Preclinical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1/27/22</w:t>
            </w:r>
          </w:p>
        </w:tc>
        <w:tc>
          <w:tcPr>
            <w:tcW w:w="180" w:type="dxa"/>
            <w:vAlign w:val="bottom"/>
            <w:tcBorders>
              <w:bottom w:val="single" w:sz="8" w:color="CCEEFF"/>
            </w:tcBorders>
            <w:shd w:val="clear" w:color="auto" w:fill="CCEEFF"/>
          </w:tcPr>
          <w:p>
            <w:pPr>
              <w:spacing w:after="0"/>
              <w:rPr>
                <w:sz w:val="10"/>
                <w:szCs w:val="10"/>
                <w:color w:val="auto"/>
              </w:rPr>
            </w:pPr>
          </w:p>
        </w:tc>
        <w:tc>
          <w:tcPr>
            <w:tcW w:w="3340" w:type="dxa"/>
            <w:vAlign w:val="bottom"/>
            <w:tcBorders>
              <w:bottom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Septerna</w:t>
            </w:r>
          </w:p>
        </w:tc>
        <w:tc>
          <w:tcPr>
            <w:tcW w:w="680" w:type="dxa"/>
            <w:vAlign w:val="bottom"/>
            <w:tcBorders>
              <w:bottom w:val="single" w:sz="8" w:color="CCEEFF"/>
            </w:tcBorders>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tcBorders>
              <w:bottom w:val="single" w:sz="8" w:color="CCEEFF"/>
            </w:tcBorders>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100.0</w:t>
            </w:r>
          </w:p>
        </w:tc>
        <w:tc>
          <w:tcPr>
            <w:tcW w:w="2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100.0</w:t>
            </w:r>
          </w:p>
        </w:tc>
        <w:tc>
          <w:tcPr>
            <w:tcW w:w="32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45.0</w:t>
            </w:r>
          </w:p>
        </w:tc>
        <w:tc>
          <w:tcPr>
            <w:tcW w:w="2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145.0</w:t>
            </w:r>
          </w:p>
        </w:tc>
        <w:tc>
          <w:tcPr>
            <w:tcW w:w="240" w:type="dxa"/>
            <w:vAlign w:val="bottom"/>
            <w:tcBorders>
              <w:bottom w:val="single" w:sz="8" w:color="CCEEFF"/>
              <w:right w:val="single" w:sz="8" w:color="CCEEFF"/>
            </w:tcBorders>
            <w:shd w:val="clear" w:color="auto" w:fill="CCEEFF"/>
          </w:tcPr>
          <w:p>
            <w:pPr>
              <w:spacing w:after="0"/>
              <w:rPr>
                <w:sz w:val="10"/>
                <w:szCs w:val="10"/>
                <w:color w:val="auto"/>
              </w:rPr>
            </w:pPr>
          </w:p>
        </w:tc>
        <w:tc>
          <w:tcPr>
            <w:tcW w:w="580" w:type="dxa"/>
            <w:vAlign w:val="bottom"/>
            <w:tcBorders>
              <w:bottom w:val="single" w:sz="8" w:color="auto"/>
            </w:tcBorders>
            <w:gridSpan w:val="3"/>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8"/>
              </w:rPr>
              <w:t>Hormonal</w:t>
            </w:r>
          </w:p>
        </w:tc>
        <w:tc>
          <w:tcPr>
            <w:tcW w:w="1000" w:type="dxa"/>
            <w:vAlign w:val="bottom"/>
            <w:tcBorders>
              <w:bottom w:val="single" w:sz="8" w:color="CCEEFF"/>
              <w:right w:val="single" w:sz="8" w:color="CCEEFF"/>
            </w:tcBorders>
            <w:gridSpan w:val="6"/>
            <w:shd w:val="clear" w:color="auto" w:fill="CCEEFF"/>
          </w:tcPr>
          <w:p>
            <w:pPr>
              <w:spacing w:after="0"/>
              <w:rPr>
                <w:sz w:val="10"/>
                <w:szCs w:val="10"/>
                <w:color w:val="auto"/>
              </w:rPr>
            </w:pPr>
          </w:p>
        </w:tc>
        <w:tc>
          <w:tcPr>
            <w:tcW w:w="600" w:type="dxa"/>
            <w:vAlign w:val="bottom"/>
            <w:tcBorders>
              <w:bottom w:val="single" w:sz="8" w:color="auto"/>
              <w:right w:val="single" w:sz="8" w:color="CCEEFF"/>
            </w:tcBorders>
            <w:gridSpan w:val="3"/>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Discovery</w:t>
            </w:r>
          </w:p>
        </w:tc>
        <w:tc>
          <w:tcPr>
            <w:tcW w:w="1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4/20/23</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Enveda Biosciences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119.0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175.0</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200.0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319.0</w:t>
            </w:r>
          </w:p>
        </w:tc>
        <w:tc>
          <w:tcPr>
            <w:tcW w:w="240" w:type="dxa"/>
            <w:vAlign w:val="bottom"/>
          </w:tcPr>
          <w:p>
            <w:pPr>
              <w:spacing w:after="0"/>
              <w:rPr>
                <w:sz w:val="10"/>
                <w:szCs w:val="10"/>
                <w:color w:val="auto"/>
              </w:rPr>
            </w:pPr>
          </w:p>
        </w:tc>
        <w:tc>
          <w:tcPr>
            <w:tcW w:w="600" w:type="dxa"/>
            <w:vAlign w:val="bottom"/>
            <w:tcBorders>
              <w:bottom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Movement</w:t>
            </w:r>
          </w:p>
        </w:tc>
        <w:tc>
          <w:tcPr>
            <w:tcW w:w="980" w:type="dxa"/>
            <w:vAlign w:val="bottom"/>
            <w:gridSpan w:val="5"/>
          </w:tcPr>
          <w:p>
            <w:pPr>
              <w:spacing w:after="0"/>
              <w:rPr>
                <w:sz w:val="10"/>
                <w:szCs w:val="10"/>
                <w:color w:val="auto"/>
              </w:rPr>
            </w:pPr>
          </w:p>
        </w:tc>
        <w:tc>
          <w:tcPr>
            <w:tcW w:w="600" w:type="dxa"/>
            <w:vAlign w:val="bottom"/>
            <w:tcBorders>
              <w:bottom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4"/>
              </w:rPr>
              <w:t>Preclinical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6/22/21</w:t>
            </w:r>
          </w:p>
        </w:tc>
        <w:tc>
          <w:tcPr>
            <w:tcW w:w="180" w:type="dxa"/>
            <w:vAlign w:val="bottom"/>
            <w:tcBorders>
              <w:bottom w:val="single" w:sz="8" w:color="CCEEFF"/>
            </w:tcBorders>
            <w:shd w:val="clear" w:color="auto" w:fill="CCEEFF"/>
          </w:tcPr>
          <w:p>
            <w:pPr>
              <w:spacing w:after="0"/>
              <w:rPr>
                <w:sz w:val="10"/>
                <w:szCs w:val="10"/>
                <w:color w:val="auto"/>
              </w:rPr>
            </w:pPr>
          </w:p>
        </w:tc>
        <w:tc>
          <w:tcPr>
            <w:tcW w:w="3340" w:type="dxa"/>
            <w:vAlign w:val="bottom"/>
            <w:tcBorders>
              <w:bottom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Enveda Biosciences</w:t>
            </w:r>
          </w:p>
        </w:tc>
        <w:tc>
          <w:tcPr>
            <w:tcW w:w="680" w:type="dxa"/>
            <w:vAlign w:val="bottom"/>
            <w:tcBorders>
              <w:bottom w:val="single" w:sz="8" w:color="CCEEFF"/>
            </w:tcBorders>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tcBorders>
              <w:bottom w:val="single" w:sz="8" w:color="CCEEFF"/>
            </w:tcBorders>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51.0</w:t>
            </w:r>
          </w:p>
        </w:tc>
        <w:tc>
          <w:tcPr>
            <w:tcW w:w="2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56.0</w:t>
            </w:r>
          </w:p>
        </w:tc>
        <w:tc>
          <w:tcPr>
            <w:tcW w:w="32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70.0</w:t>
            </w:r>
          </w:p>
        </w:tc>
        <w:tc>
          <w:tcPr>
            <w:tcW w:w="2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100.1</w:t>
            </w:r>
          </w:p>
        </w:tc>
        <w:tc>
          <w:tcPr>
            <w:tcW w:w="240" w:type="dxa"/>
            <w:vAlign w:val="bottom"/>
            <w:tcBorders>
              <w:bottom w:val="single" w:sz="8" w:color="CCEEFF"/>
              <w:right w:val="single" w:sz="8" w:color="CCEEFF"/>
            </w:tcBorders>
            <w:shd w:val="clear" w:color="auto" w:fill="CCEEFF"/>
          </w:tcPr>
          <w:p>
            <w:pPr>
              <w:spacing w:after="0"/>
              <w:rPr>
                <w:sz w:val="10"/>
                <w:szCs w:val="10"/>
                <w:color w:val="auto"/>
              </w:rPr>
            </w:pPr>
          </w:p>
        </w:tc>
        <w:tc>
          <w:tcPr>
            <w:tcW w:w="600" w:type="dxa"/>
            <w:vAlign w:val="bottom"/>
            <w:tcBorders>
              <w:bottom w:val="single" w:sz="8" w:color="auto"/>
            </w:tcBorders>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Movement</w:t>
            </w:r>
          </w:p>
        </w:tc>
        <w:tc>
          <w:tcPr>
            <w:tcW w:w="980" w:type="dxa"/>
            <w:vAlign w:val="bottom"/>
            <w:tcBorders>
              <w:bottom w:val="single" w:sz="8" w:color="CCEEFF"/>
              <w:right w:val="single" w:sz="8" w:color="CCEEFF"/>
            </w:tcBorders>
            <w:gridSpan w:val="5"/>
            <w:shd w:val="clear" w:color="auto" w:fill="CCEEFF"/>
          </w:tcPr>
          <w:p>
            <w:pPr>
              <w:spacing w:after="0"/>
              <w:rPr>
                <w:sz w:val="10"/>
                <w:szCs w:val="10"/>
                <w:color w:val="auto"/>
              </w:rPr>
            </w:pPr>
          </w:p>
        </w:tc>
        <w:tc>
          <w:tcPr>
            <w:tcW w:w="600" w:type="dxa"/>
            <w:vAlign w:val="bottom"/>
            <w:tcBorders>
              <w:bottom w:val="single" w:sz="8" w:color="auto"/>
              <w:right w:val="single" w:sz="8" w:color="CCEEFF"/>
            </w:tcBorders>
            <w:gridSpan w:val="3"/>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4"/>
              </w:rPr>
              <w:t>Preclinical</w:t>
            </w:r>
          </w:p>
        </w:tc>
        <w:tc>
          <w:tcPr>
            <w:tcW w:w="1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2/15/23</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Maxion Therapeutics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15.9</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15.9</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13.7</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29.5</w:t>
            </w:r>
          </w:p>
        </w:tc>
        <w:tc>
          <w:tcPr>
            <w:tcW w:w="240" w:type="dxa"/>
            <w:vAlign w:val="bottom"/>
          </w:tcPr>
          <w:p>
            <w:pPr>
              <w:spacing w:after="0"/>
              <w:rPr>
                <w:sz w:val="10"/>
                <w:szCs w:val="10"/>
                <w:color w:val="auto"/>
              </w:rPr>
            </w:pPr>
          </w:p>
        </w:tc>
        <w:tc>
          <w:tcPr>
            <w:tcW w:w="720" w:type="dxa"/>
            <w:vAlign w:val="bottom"/>
            <w:tcBorders>
              <w:bottom w:val="single" w:sz="8" w:color="auto"/>
            </w:tcBorders>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8"/>
              </w:rPr>
              <w:t>Immunology</w:t>
            </w:r>
          </w:p>
        </w:tc>
        <w:tc>
          <w:tcPr>
            <w:tcW w:w="860" w:type="dxa"/>
            <w:vAlign w:val="bottom"/>
            <w:gridSpan w:val="4"/>
          </w:tcPr>
          <w:p>
            <w:pPr>
              <w:spacing w:after="0"/>
              <w:rPr>
                <w:sz w:val="10"/>
                <w:szCs w:val="10"/>
                <w:color w:val="auto"/>
              </w:rPr>
            </w:pPr>
          </w:p>
        </w:tc>
        <w:tc>
          <w:tcPr>
            <w:tcW w:w="600" w:type="dxa"/>
            <w:vAlign w:val="bottom"/>
            <w:tcBorders>
              <w:bottom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Discovery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10/25/21</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Pathios Therapeutics</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20.0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35.2</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20.3</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36.5</w:t>
            </w:r>
          </w:p>
        </w:tc>
        <w:tc>
          <w:tcPr>
            <w:tcW w:w="24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84"/>
              </w:rPr>
              <w:t>NA</w:t>
            </w:r>
          </w:p>
        </w:tc>
        <w:tc>
          <w:tcPr>
            <w:tcW w:w="1400" w:type="dxa"/>
            <w:vAlign w:val="bottom"/>
            <w:tcBorders>
              <w:right w:val="single" w:sz="8" w:color="CCEEFF"/>
            </w:tcBorders>
            <w:gridSpan w:val="8"/>
            <w:shd w:val="clear" w:color="auto" w:fill="CCEEFF"/>
          </w:tcPr>
          <w:p>
            <w:pPr>
              <w:spacing w:after="0"/>
              <w:rPr>
                <w:sz w:val="10"/>
                <w:szCs w:val="10"/>
                <w:color w:val="auto"/>
              </w:rPr>
            </w:pP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11/28/22</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Escient Pharmaceuticals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C</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120.0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237.5</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130.0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250.0</w:t>
            </w:r>
          </w:p>
        </w:tc>
        <w:tc>
          <w:tcPr>
            <w:tcW w:w="240" w:type="dxa"/>
            <w:vAlign w:val="bottom"/>
          </w:tcPr>
          <w:p>
            <w:pPr>
              <w:spacing w:after="0"/>
              <w:rPr>
                <w:sz w:val="10"/>
                <w:szCs w:val="10"/>
                <w:color w:val="auto"/>
              </w:rPr>
            </w:pPr>
          </w:p>
        </w:tc>
        <w:tc>
          <w:tcPr>
            <w:tcW w:w="1580" w:type="dxa"/>
            <w:vAlign w:val="bottom"/>
            <w:gridSpan w:val="9"/>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Dermatology</w:t>
            </w: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8/25/20</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Escient Pharmaceuticals</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77.5</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117.5</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72.5</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150.0</w:t>
            </w:r>
          </w:p>
        </w:tc>
        <w:tc>
          <w:tcPr>
            <w:tcW w:w="240" w:type="dxa"/>
            <w:vAlign w:val="bottom"/>
            <w:tcBorders>
              <w:right w:val="single" w:sz="8" w:color="CCEEFF"/>
            </w:tcBorders>
            <w:shd w:val="clear" w:color="auto" w:fill="CCEEFF"/>
          </w:tcPr>
          <w:p>
            <w:pPr>
              <w:spacing w:after="0"/>
              <w:rPr>
                <w:sz w:val="10"/>
                <w:szCs w:val="10"/>
                <w:color w:val="auto"/>
              </w:rPr>
            </w:pPr>
          </w:p>
        </w:tc>
        <w:tc>
          <w:tcPr>
            <w:tcW w:w="1580" w:type="dxa"/>
            <w:vAlign w:val="bottom"/>
            <w:tcBorders>
              <w:right w:val="single" w:sz="8" w:color="CCEE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Dermatology</w:t>
            </w: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tcBorders>
              <w:top w:val="single" w:sz="8" w:color="CCEEFF"/>
            </w:tcBorders>
          </w:tcPr>
          <w:p>
            <w:pPr>
              <w:spacing w:after="0" w:line="118" w:lineRule="exact"/>
              <w:rPr>
                <w:sz w:val="20"/>
                <w:szCs w:val="20"/>
                <w:color w:val="auto"/>
              </w:rPr>
            </w:pPr>
            <w:r>
              <w:rPr>
                <w:rFonts w:ascii="Times New Roman" w:cs="Times New Roman" w:eastAsia="Times New Roman" w:hAnsi="Times New Roman"/>
                <w:sz w:val="13"/>
                <w:szCs w:val="13"/>
                <w:color w:val="auto"/>
              </w:rPr>
              <w:t>8/1/22</w:t>
            </w:r>
          </w:p>
        </w:tc>
        <w:tc>
          <w:tcPr>
            <w:tcW w:w="180" w:type="dxa"/>
            <w:vAlign w:val="bottom"/>
            <w:tcBorders>
              <w:top w:val="single" w:sz="8" w:color="CCEEFF"/>
            </w:tcBorders>
          </w:tcPr>
          <w:p>
            <w:pPr>
              <w:spacing w:after="0"/>
              <w:rPr>
                <w:sz w:val="10"/>
                <w:szCs w:val="10"/>
                <w:color w:val="auto"/>
              </w:rPr>
            </w:pPr>
          </w:p>
        </w:tc>
        <w:tc>
          <w:tcPr>
            <w:tcW w:w="3340" w:type="dxa"/>
            <w:vAlign w:val="bottom"/>
            <w:tcBorders>
              <w:top w:val="single" w:sz="8" w:color="CCEEFF"/>
            </w:tcBorders>
            <w:gridSpan w:val="2"/>
          </w:tcPr>
          <w:p>
            <w:pPr>
              <w:spacing w:after="0" w:line="118" w:lineRule="exact"/>
              <w:rPr>
                <w:sz w:val="20"/>
                <w:szCs w:val="20"/>
                <w:color w:val="auto"/>
              </w:rPr>
            </w:pPr>
            <w:r>
              <w:rPr>
                <w:rFonts w:ascii="Times New Roman" w:cs="Times New Roman" w:eastAsia="Times New Roman" w:hAnsi="Times New Roman"/>
                <w:sz w:val="13"/>
                <w:szCs w:val="13"/>
                <w:color w:val="auto"/>
              </w:rPr>
              <w:t>Structure Therapeutics</w:t>
            </w:r>
          </w:p>
        </w:tc>
        <w:tc>
          <w:tcPr>
            <w:tcW w:w="680" w:type="dxa"/>
            <w:vAlign w:val="bottom"/>
            <w:tcBorders>
              <w:top w:val="single" w:sz="8" w:color="CCEEFF"/>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280" w:type="dxa"/>
            <w:vAlign w:val="bottom"/>
            <w:tcBorders>
              <w:top w:val="single" w:sz="8" w:color="CCEEFF"/>
            </w:tcBorders>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133.0</w:t>
            </w:r>
          </w:p>
        </w:tc>
        <w:tc>
          <w:tcPr>
            <w:tcW w:w="280" w:type="dxa"/>
            <w:vAlign w:val="bottom"/>
            <w:tcBorders>
              <w:top w:val="single" w:sz="8" w:color="CCEEFF"/>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191.0</w:t>
            </w:r>
          </w:p>
        </w:tc>
        <w:tc>
          <w:tcPr>
            <w:tcW w:w="320" w:type="dxa"/>
            <w:vAlign w:val="bottom"/>
            <w:tcBorders>
              <w:top w:val="single" w:sz="8" w:color="CCEEFF"/>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218.0</w:t>
            </w:r>
          </w:p>
        </w:tc>
        <w:tc>
          <w:tcPr>
            <w:tcW w:w="280" w:type="dxa"/>
            <w:vAlign w:val="bottom"/>
            <w:tcBorders>
              <w:top w:val="single" w:sz="8" w:color="CCEEFF"/>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351.0</w:t>
            </w:r>
          </w:p>
        </w:tc>
        <w:tc>
          <w:tcPr>
            <w:tcW w:w="240" w:type="dxa"/>
            <w:vAlign w:val="bottom"/>
            <w:tcBorders>
              <w:top w:val="single" w:sz="8" w:color="CCEEFF"/>
            </w:tcBorders>
          </w:tcPr>
          <w:p>
            <w:pPr>
              <w:spacing w:after="0"/>
              <w:rPr>
                <w:sz w:val="10"/>
                <w:szCs w:val="10"/>
                <w:color w:val="auto"/>
              </w:rPr>
            </w:pPr>
          </w:p>
        </w:tc>
        <w:tc>
          <w:tcPr>
            <w:tcW w:w="5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86"/>
              </w:rPr>
              <w:t>Metabolic</w:t>
            </w:r>
          </w:p>
        </w:tc>
        <w:tc>
          <w:tcPr>
            <w:tcW w:w="200" w:type="dxa"/>
            <w:vAlign w:val="bottom"/>
            <w:tcBorders>
              <w:top w:val="single" w:sz="8" w:color="auto"/>
            </w:tcBorders>
            <w:gridSpan w:val="3"/>
          </w:tcPr>
          <w:p>
            <w:pPr>
              <w:spacing w:after="0"/>
              <w:rPr>
                <w:sz w:val="10"/>
                <w:szCs w:val="10"/>
                <w:color w:val="auto"/>
              </w:rPr>
            </w:pPr>
          </w:p>
        </w:tc>
        <w:tc>
          <w:tcPr>
            <w:tcW w:w="860" w:type="dxa"/>
            <w:vAlign w:val="bottom"/>
            <w:tcBorders>
              <w:top w:val="single" w:sz="8" w:color="CCEEFF"/>
            </w:tcBorders>
            <w:gridSpan w:val="4"/>
          </w:tcPr>
          <w:p>
            <w:pPr>
              <w:spacing w:after="0"/>
              <w:rPr>
                <w:sz w:val="10"/>
                <w:szCs w:val="10"/>
                <w:color w:val="auto"/>
              </w:rPr>
            </w:pPr>
          </w:p>
        </w:tc>
        <w:tc>
          <w:tcPr>
            <w:tcW w:w="6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3/11/20</w:t>
            </w:r>
          </w:p>
        </w:tc>
        <w:tc>
          <w:tcPr>
            <w:tcW w:w="180" w:type="dxa"/>
            <w:vAlign w:val="bottom"/>
            <w:tcBorders>
              <w:bottom w:val="single" w:sz="8" w:color="CCEEFF"/>
            </w:tcBorders>
            <w:shd w:val="clear" w:color="auto" w:fill="CCEEFF"/>
          </w:tcPr>
          <w:p>
            <w:pPr>
              <w:spacing w:after="0"/>
              <w:rPr>
                <w:sz w:val="10"/>
                <w:szCs w:val="10"/>
                <w:color w:val="auto"/>
              </w:rPr>
            </w:pPr>
          </w:p>
        </w:tc>
        <w:tc>
          <w:tcPr>
            <w:tcW w:w="3340" w:type="dxa"/>
            <w:vAlign w:val="bottom"/>
            <w:tcBorders>
              <w:bottom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Structure Therapeutics</w:t>
            </w:r>
          </w:p>
        </w:tc>
        <w:tc>
          <w:tcPr>
            <w:tcW w:w="680" w:type="dxa"/>
            <w:vAlign w:val="bottom"/>
            <w:tcBorders>
              <w:bottom w:val="single" w:sz="8" w:color="CCEEFF"/>
            </w:tcBorders>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A1</w:t>
            </w:r>
          </w:p>
        </w:tc>
        <w:tc>
          <w:tcPr>
            <w:tcW w:w="280" w:type="dxa"/>
            <w:vAlign w:val="bottom"/>
            <w:tcBorders>
              <w:bottom w:val="single" w:sz="8" w:color="CCEEFF"/>
            </w:tcBorders>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26.0</w:t>
            </w:r>
          </w:p>
        </w:tc>
        <w:tc>
          <w:tcPr>
            <w:tcW w:w="2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58.0</w:t>
            </w:r>
          </w:p>
        </w:tc>
        <w:tc>
          <w:tcPr>
            <w:tcW w:w="2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240" w:type="dxa"/>
            <w:vAlign w:val="bottom"/>
            <w:tcBorders>
              <w:bottom w:val="single" w:sz="8" w:color="CCEEFF"/>
              <w:right w:val="single" w:sz="8" w:color="CCEEFF"/>
            </w:tcBorders>
            <w:shd w:val="clear" w:color="auto" w:fill="CCEEFF"/>
          </w:tcPr>
          <w:p>
            <w:pPr>
              <w:spacing w:after="0"/>
              <w:rPr>
                <w:sz w:val="10"/>
                <w:szCs w:val="10"/>
                <w:color w:val="auto"/>
              </w:rPr>
            </w:pPr>
          </w:p>
        </w:tc>
        <w:tc>
          <w:tcPr>
            <w:tcW w:w="520" w:type="dxa"/>
            <w:vAlign w:val="bottom"/>
            <w:tcBorders>
              <w:bottom w:val="single" w:sz="8" w:color="auto"/>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86"/>
              </w:rPr>
              <w:t>Metabolic</w:t>
            </w:r>
          </w:p>
        </w:tc>
        <w:tc>
          <w:tcPr>
            <w:tcW w:w="1060" w:type="dxa"/>
            <w:vAlign w:val="bottom"/>
            <w:tcBorders>
              <w:left w:val="single" w:sz="8" w:color="CCEEFF"/>
              <w:bottom w:val="single" w:sz="8" w:color="CCEEFF"/>
              <w:right w:val="single" w:sz="8" w:color="CCEEFF"/>
            </w:tcBorders>
            <w:gridSpan w:val="7"/>
            <w:shd w:val="clear" w:color="auto" w:fill="CCEEFF"/>
          </w:tcPr>
          <w:p>
            <w:pPr>
              <w:spacing w:after="0"/>
              <w:rPr>
                <w:sz w:val="10"/>
                <w:szCs w:val="10"/>
                <w:color w:val="auto"/>
              </w:rPr>
            </w:pPr>
          </w:p>
        </w:tc>
        <w:tc>
          <w:tcPr>
            <w:tcW w:w="600" w:type="dxa"/>
            <w:vAlign w:val="bottom"/>
            <w:tcBorders>
              <w:bottom w:val="single" w:sz="8" w:color="auto"/>
              <w:right w:val="single" w:sz="8" w:color="CCEEFF"/>
            </w:tcBorders>
            <w:gridSpan w:val="3"/>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Discovery</w:t>
            </w:r>
          </w:p>
        </w:tc>
        <w:tc>
          <w:tcPr>
            <w:tcW w:w="1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4/29/19</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Structure Therapeutics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32.0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32.0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240" w:type="dxa"/>
            <w:vAlign w:val="bottom"/>
          </w:tcPr>
          <w:p>
            <w:pPr>
              <w:spacing w:after="0"/>
              <w:rPr>
                <w:sz w:val="10"/>
                <w:szCs w:val="10"/>
                <w:color w:val="auto"/>
              </w:rPr>
            </w:pPr>
          </w:p>
        </w:tc>
        <w:tc>
          <w:tcPr>
            <w:tcW w:w="5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86"/>
              </w:rPr>
              <w:t>Metabolic</w:t>
            </w:r>
          </w:p>
        </w:tc>
        <w:tc>
          <w:tcPr>
            <w:tcW w:w="1060" w:type="dxa"/>
            <w:vAlign w:val="bottom"/>
            <w:gridSpan w:val="7"/>
          </w:tcPr>
          <w:p>
            <w:pPr>
              <w:spacing w:after="0"/>
              <w:rPr>
                <w:sz w:val="10"/>
                <w:szCs w:val="10"/>
                <w:color w:val="auto"/>
              </w:rPr>
            </w:pP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5/10/22</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Domain Therapeutics</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42.0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90.0</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240" w:type="dxa"/>
            <w:vAlign w:val="bottom"/>
            <w:tcBorders>
              <w:right w:val="single" w:sz="8" w:color="CCEEFF"/>
            </w:tcBorders>
            <w:shd w:val="clear" w:color="auto" w:fill="CCEEFF"/>
          </w:tcPr>
          <w:p>
            <w:pPr>
              <w:spacing w:after="0"/>
              <w:rPr>
                <w:sz w:val="10"/>
                <w:szCs w:val="10"/>
                <w:color w:val="auto"/>
              </w:rPr>
            </w:pPr>
          </w:p>
        </w:tc>
        <w:tc>
          <w:tcPr>
            <w:tcW w:w="1580" w:type="dxa"/>
            <w:vAlign w:val="bottom"/>
            <w:tcBorders>
              <w:right w:val="single" w:sz="8" w:color="CCEE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Immuno-Oncology</w:t>
            </w: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Inactive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2/23/21</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Teon Therapeutics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35.0</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35.0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63.7</w:t>
            </w:r>
          </w:p>
        </w:tc>
        <w:tc>
          <w:tcPr>
            <w:tcW w:w="240" w:type="dxa"/>
            <w:vAlign w:val="bottom"/>
          </w:tcPr>
          <w:p>
            <w:pPr>
              <w:spacing w:after="0"/>
              <w:rPr>
                <w:sz w:val="10"/>
                <w:szCs w:val="10"/>
                <w:color w:val="auto"/>
              </w:rPr>
            </w:pPr>
          </w:p>
        </w:tc>
        <w:tc>
          <w:tcPr>
            <w:tcW w:w="1060" w:type="dxa"/>
            <w:vAlign w:val="bottom"/>
            <w:gridSpan w:val="7"/>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Oncology</w:t>
            </w:r>
          </w:p>
        </w:tc>
        <w:tc>
          <w:tcPr>
            <w:tcW w:w="520" w:type="dxa"/>
            <w:vAlign w:val="bottom"/>
            <w:gridSpan w:val="2"/>
          </w:tcPr>
          <w:p>
            <w:pPr>
              <w:spacing w:after="0"/>
              <w:rPr>
                <w:sz w:val="10"/>
                <w:szCs w:val="10"/>
                <w:color w:val="auto"/>
              </w:rPr>
            </w:pP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10/28/20</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Longboard Pharmaceuticals</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56.0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56.0</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45.0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101.0</w:t>
            </w:r>
          </w:p>
        </w:tc>
        <w:tc>
          <w:tcPr>
            <w:tcW w:w="240" w:type="dxa"/>
            <w:vAlign w:val="bottom"/>
            <w:tcBorders>
              <w:right w:val="single" w:sz="8" w:color="CCEEFF"/>
            </w:tcBorders>
            <w:shd w:val="clear" w:color="auto" w:fill="CCEEFF"/>
          </w:tcPr>
          <w:p>
            <w:pPr>
              <w:spacing w:after="0"/>
              <w:rPr>
                <w:sz w:val="10"/>
                <w:szCs w:val="10"/>
                <w:color w:val="auto"/>
              </w:rPr>
            </w:pPr>
          </w:p>
        </w:tc>
        <w:tc>
          <w:tcPr>
            <w:tcW w:w="1380" w:type="dxa"/>
            <w:vAlign w:val="bottom"/>
            <w:gridSpan w:val="8"/>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Central Nervous System</w:t>
            </w:r>
          </w:p>
        </w:tc>
        <w:tc>
          <w:tcPr>
            <w:tcW w:w="200" w:type="dxa"/>
            <w:vAlign w:val="bottom"/>
            <w:tcBorders>
              <w:right w:val="single" w:sz="8" w:color="CCEEFF"/>
            </w:tcBorders>
            <w:shd w:val="clear" w:color="auto" w:fill="CCEEFF"/>
          </w:tcPr>
          <w:p>
            <w:pPr>
              <w:spacing w:after="0"/>
              <w:rPr>
                <w:sz w:val="10"/>
                <w:szCs w:val="10"/>
                <w:color w:val="auto"/>
              </w:rPr>
            </w:pP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5/1/19</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Confo Therapeutics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33.1</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40.4</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14.9</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48.0</w:t>
            </w:r>
          </w:p>
        </w:tc>
        <w:tc>
          <w:tcPr>
            <w:tcW w:w="240" w:type="dxa"/>
            <w:vAlign w:val="bottom"/>
          </w:tcPr>
          <w:p>
            <w:pPr>
              <w:spacing w:after="0"/>
              <w:rPr>
                <w:sz w:val="10"/>
                <w:szCs w:val="10"/>
                <w:color w:val="auto"/>
              </w:rPr>
            </w:pPr>
          </w:p>
        </w:tc>
        <w:tc>
          <w:tcPr>
            <w:tcW w:w="1380" w:type="dxa"/>
            <w:vAlign w:val="bottom"/>
            <w:gridSpan w:val="8"/>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Neurology</w:t>
            </w:r>
          </w:p>
        </w:tc>
        <w:tc>
          <w:tcPr>
            <w:tcW w:w="200" w:type="dxa"/>
            <w:vAlign w:val="bottom"/>
          </w:tcPr>
          <w:p>
            <w:pPr>
              <w:spacing w:after="0"/>
              <w:rPr>
                <w:sz w:val="10"/>
                <w:szCs w:val="10"/>
                <w:color w:val="auto"/>
              </w:rPr>
            </w:pP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Discovery</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2"/>
                <w:szCs w:val="12"/>
                <w:color w:val="auto"/>
              </w:rPr>
            </w:pPr>
          </w:p>
        </w:tc>
        <w:tc>
          <w:tcPr>
            <w:tcW w:w="10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Low</w:t>
            </w:r>
          </w:p>
        </w:tc>
        <w:tc>
          <w:tcPr>
            <w:tcW w:w="1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15.9</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15.9</w:t>
            </w:r>
          </w:p>
        </w:tc>
        <w:tc>
          <w:tcPr>
            <w:tcW w:w="3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13.7</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29.5</w:t>
            </w:r>
          </w:p>
        </w:tc>
        <w:tc>
          <w:tcPr>
            <w:tcW w:w="2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High</w:t>
            </w:r>
          </w:p>
        </w:tc>
        <w:tc>
          <w:tcPr>
            <w:tcW w:w="1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2"/>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150.0</w:t>
            </w:r>
          </w:p>
        </w:tc>
        <w:tc>
          <w:tcPr>
            <w:tcW w:w="2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250.0</w:t>
            </w:r>
          </w:p>
        </w:tc>
        <w:tc>
          <w:tcPr>
            <w:tcW w:w="32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218.0</w:t>
            </w:r>
          </w:p>
        </w:tc>
        <w:tc>
          <w:tcPr>
            <w:tcW w:w="2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351.0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Median</w:t>
            </w:r>
          </w:p>
        </w:tc>
        <w:tc>
          <w:tcPr>
            <w:tcW w:w="1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51.5</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57.5</w:t>
            </w:r>
          </w:p>
        </w:tc>
        <w:tc>
          <w:tcPr>
            <w:tcW w:w="3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57.5</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123.0</w:t>
            </w:r>
          </w:p>
        </w:tc>
        <w:tc>
          <w:tcPr>
            <w:tcW w:w="2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Mean</w:t>
            </w:r>
          </w:p>
        </w:tc>
        <w:tc>
          <w:tcPr>
            <w:tcW w:w="1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vMerge w:val="restart"/>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400" w:type="dxa"/>
            <w:vAlign w:val="bottom"/>
            <w:gridSpan w:val="4"/>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All Private Financings</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tcBorders>
              <w:left w:val="single" w:sz="8" w:color="CCEEFF"/>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spacing w:after="0" w:line="131" w:lineRule="exact"/>
              <w:rPr>
                <w:sz w:val="20"/>
                <w:szCs w:val="20"/>
                <w:color w:val="auto"/>
              </w:rPr>
            </w:pPr>
            <w:r>
              <w:rPr>
                <w:rFonts w:ascii="Times New Roman" w:cs="Times New Roman" w:eastAsia="Times New Roman" w:hAnsi="Times New Roman"/>
                <w:sz w:val="13"/>
                <w:szCs w:val="13"/>
                <w:color w:val="auto"/>
              </w:rPr>
              <w:t>Low</w:t>
            </w:r>
          </w:p>
        </w:tc>
        <w:tc>
          <w:tcPr>
            <w:tcW w:w="120" w:type="dxa"/>
            <w:vAlign w:val="bottom"/>
            <w:tcBorders>
              <w:top w:val="single" w:sz="8" w:color="auto"/>
            </w:tcBorders>
          </w:tcPr>
          <w:p>
            <w:pPr>
              <w:spacing w:after="0"/>
              <w:rPr>
                <w:sz w:val="11"/>
                <w:szCs w:val="11"/>
                <w:color w:val="auto"/>
              </w:rPr>
            </w:pPr>
          </w:p>
        </w:tc>
        <w:tc>
          <w:tcPr>
            <w:tcW w:w="3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CCEEFF"/>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11.0</w:t>
            </w:r>
          </w:p>
        </w:tc>
        <w:tc>
          <w:tcPr>
            <w:tcW w:w="280" w:type="dxa"/>
            <w:vAlign w:val="bottom"/>
            <w:tcBorders>
              <w:top w:val="single" w:sz="8" w:color="CCEEFF"/>
            </w:tcBorders>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CCEEFF"/>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11.0</w:t>
            </w:r>
          </w:p>
        </w:tc>
        <w:tc>
          <w:tcPr>
            <w:tcW w:w="320" w:type="dxa"/>
            <w:vAlign w:val="bottom"/>
            <w:tcBorders>
              <w:top w:val="single" w:sz="8" w:color="CCEEFF"/>
            </w:tcBorders>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CCEEFF"/>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11.3</w:t>
            </w:r>
          </w:p>
        </w:tc>
        <w:tc>
          <w:tcPr>
            <w:tcW w:w="280" w:type="dxa"/>
            <w:vAlign w:val="bottom"/>
            <w:tcBorders>
              <w:top w:val="single" w:sz="8" w:color="CCEEFF"/>
            </w:tcBorders>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CCEEFF"/>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22.3</w:t>
            </w:r>
          </w:p>
        </w:tc>
        <w:tc>
          <w:tcPr>
            <w:tcW w:w="24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High</w:t>
            </w:r>
          </w:p>
        </w:tc>
        <w:tc>
          <w:tcPr>
            <w:tcW w:w="1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150.0</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250.0</w:t>
            </w:r>
          </w:p>
        </w:tc>
        <w:tc>
          <w:tcPr>
            <w:tcW w:w="3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325.0</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432.0</w:t>
            </w:r>
          </w:p>
        </w:tc>
        <w:tc>
          <w:tcPr>
            <w:tcW w:w="2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Median</w:t>
            </w:r>
          </w:p>
        </w:tc>
        <w:tc>
          <w:tcPr>
            <w:tcW w:w="1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2"/>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50.5</w:t>
            </w:r>
          </w:p>
        </w:tc>
        <w:tc>
          <w:tcPr>
            <w:tcW w:w="2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59.0</w:t>
            </w:r>
          </w:p>
        </w:tc>
        <w:tc>
          <w:tcPr>
            <w:tcW w:w="32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66.3</w:t>
            </w:r>
          </w:p>
        </w:tc>
        <w:tc>
          <w:tcPr>
            <w:tcW w:w="2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132.5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Mean</w:t>
            </w:r>
          </w:p>
        </w:tc>
        <w:tc>
          <w:tcPr>
            <w:tcW w:w="1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64.5</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97.2</w:t>
            </w:r>
          </w:p>
        </w:tc>
        <w:tc>
          <w:tcPr>
            <w:tcW w:w="3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106.6</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176.2</w:t>
            </w:r>
          </w:p>
        </w:tc>
        <w:tc>
          <w:tcPr>
            <w:tcW w:w="2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820" w:top="279" w:right="8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3120" cy="52705"/>
                    </a:xfrm>
                    <a:prstGeom prst="rect">
                      <a:avLst/>
                    </a:prstGeom>
                    <a:noFill/>
                  </pic:spPr>
                </pic:pic>
              </a:graphicData>
            </a:graphic>
          </wp:anchor>
        </w:drawing>
        <w:t>Forward-Looking Statements</w:t>
      </w:r>
    </w:p>
    <w:p>
      <w:pPr>
        <w:spacing w:after="0" w:line="11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6"/>
          <w:szCs w:val="16"/>
          <w:color w:val="auto"/>
        </w:rPr>
        <w:t>This Current Report on Form 8-K and the exhibits filed or furnished herewith contain “forward-looking statements” within the meaning of the “safe harbor” provisions of the Private Securities Litigation Reform Act of 1995, including but not limited to, express or implied statements regarding the structure, timing and completion of the Merger; the combined company’s listing on Nasdaq after the closing of the proposed Merger (the “</w:t>
      </w:r>
      <w:r>
        <w:rPr>
          <w:rFonts w:ascii="Times New Roman" w:cs="Times New Roman" w:eastAsia="Times New Roman" w:hAnsi="Times New Roman"/>
          <w:sz w:val="16"/>
          <w:szCs w:val="16"/>
          <w:b w:val="1"/>
          <w:bCs w:val="1"/>
          <w:i w:val="1"/>
          <w:iCs w:val="1"/>
          <w:color w:val="auto"/>
        </w:rPr>
        <w:t>Closing</w:t>
      </w:r>
      <w:r>
        <w:rPr>
          <w:rFonts w:ascii="Times New Roman" w:cs="Times New Roman" w:eastAsia="Times New Roman" w:hAnsi="Times New Roman"/>
          <w:sz w:val="16"/>
          <w:szCs w:val="16"/>
          <w:color w:val="auto"/>
        </w:rPr>
        <w:t>”); expectations regarding the ownership structure of the combined company; the anticipated timing of the Closing; and other statements that are not historical fact. All statements other than statements of historical fact contained in this Current Report on Form 8-K and the exhibits filed or furnished herewith are forward-looking statements. These forward-looking statements are made as of the date they were first issued, and were based on the then-current expectations, estimates, forecasts, and projections, as well as the beliefs and assumptions of management. There can be no assurance that future developments affecting AVROBIO, Tectonic, the Merger or the private placement financings will be those that have been anticipated.</w:t>
      </w:r>
    </w:p>
    <w:p>
      <w:pPr>
        <w:spacing w:after="0" w:line="16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Forward-looking statements are subject to a number of risks and uncertainties, many of which involve factors or circumstances that are beyond AVROBIO’s control. AVROBIO’s actual results could differ materially from those stated or implied in forward-looking statements due to a number of factors, including but not limited to the risk that the conditions to the Closing are not satisfied.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AVROBIO’s Annual Report on Form 10-K for the year ended December 31, 2023, which was filed with the SEC on March 14, 2024, subsequent Quarterly Reports on Form 10-Q filed with the SEC, as well as the final prospectus on Form 424(b)(3) filed with the SEC on May 3, 2024, and in other filings that AVROBIO makes and will make with the SEC in connection with the proposed Merger. You should not place undue reliance on these forward-looking statements, which are made only as of the date hereof or as of the dates indicated in the forward-looking statements. AVROBIO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Current Report on Form 8-K and the exhibits filed or furnished herewith do not purport to summarize all of the conditions, risks and other attributes of an investment in AVROBIO or Tectonic.</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Offer or Solicitation</w:t>
      </w:r>
    </w:p>
    <w:p>
      <w:pPr>
        <w:spacing w:after="0" w:line="11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This communication does not constitute an offer to sell or the solicitation of an offer to buy any securities nor a solicitation of any vote or approval with respect to the proposed transaction or otherwise. No offering of securities shall be made except by means of a prospectus meeting the requirements of Section 10 of the Securities Act of 1933, as amended, and otherwise in accordance with applicable law.</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 Additional Information About the Proposed Transaction</w:t>
      </w:r>
    </w:p>
    <w:p>
      <w:pPr>
        <w:spacing w:after="0" w:line="11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This Current Report on Form 8-K and the exhibits filed or furnished herewith are not substitutes for the registration statement or for any other document that AVROBIO has filed with the SEC in connection with the proposed transaction. In connection with the proposed transaction between AVROBIO and Tectonic, AVROBIO has filed relevant materials with the SEC, including a registration statement on Form S-4 that contains a proxy statement/prospectus of AVROBIO. AVROBIO URGES INVESTORS AND STOCKHOLDERS TO READ THE REGISTRATION STATEMENT, PROXY STATEMENT/PROSPECTUS AND ANY OTHER RELEVANT DOCUMENTS THAT HAVE BEEN OR MAY BE FILED WITH THE SEC, AS WELL AS ANY AMENDMENTS OR SUPPLEMENTS TO THESE DOCUMENTS, CAREFULLY AND IN THEIR ENTIRETY IF AND WHEN THEY BECOME AVAILABLE BECAUSE THEY WILL CONTAIN IMPORTANT INFORMATION ABOUT AVROBIO, TECTONIC, THE PROPOSED TRANSACTION AND RELATED MATTERS. Investors and stockholders may obtain free copies of the proxy statement/prospectus and other documents filed by AVROBIO with the SEC (when they become available) through the website maintained by the SEC at www.sec.gov. In addition, investors and stockholders should note that AVROBIO communicates with investors and the public using its website (https://www.avrobio.com) and the investor relations website (https://investors.avrobio.com) where anyone may obtain free copies of the proxy statement/prospectus and other documents filed by AVROBIO with the SEC and stockholders are urged to read the proxy statement/prospectus and the other relevant materials when they become available before making any voting or investment decision with respect to the proposed transaction.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Participants in the Solicitation</w:t>
      </w:r>
    </w:p>
    <w:p>
      <w:pPr>
        <w:spacing w:after="0" w:line="11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AVROBIO, Tectonic and their respective directors and executive officers may be deemed to be participants in the solicitation of proxies from stockholders in connection with the proposed transaction. Information about AVROBIO’s directors and executive officers including a description of their interests in AVROBIO is included in AVROBIO’s most recent Annual Report on Form 10-K, including any information incorporated therein by reference, as filed with the SEC. Additional information regarding these persons and their interests in the proposed transaction is included in the proxy statement/prospectus relating to the proposed transaction filed with the SEC. These documents can be obtained free of charge from the sources indicated above.</w:t>
      </w:r>
    </w:p>
    <w:p>
      <w:pPr>
        <w:sectPr>
          <w:pgSz w:w="11900" w:h="16838" w:orient="portrait"/>
          <w:cols w:equalWidth="0" w:num="1">
            <w:col w:w="10240"/>
          </w:cols>
          <w:pgMar w:left="820" w:top="282" w:right="839" w:bottom="1440" w:gutter="0" w:footer="0" w:header="0"/>
        </w:sectPr>
      </w:pPr>
    </w:p>
    <w:bookmarkStart w:id="9" w:name="page10"/>
    <w:bookmarkEnd w:id="9"/>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120" cy="52705"/>
                    </a:xfrm>
                    <a:prstGeom prst="rect">
                      <a:avLst/>
                    </a:prstGeom>
                    <a:noFill/>
                  </pic:spPr>
                </pic:pic>
              </a:graphicData>
            </a:graphic>
          </wp:anchor>
        </w:drawing>
        <w:t>SIGNATURE</w:t>
      </w:r>
    </w:p>
    <w:p>
      <w:pPr>
        <w:spacing w:after="0" w:line="211" w:lineRule="exact"/>
        <w:rPr>
          <w:sz w:val="20"/>
          <w:szCs w:val="20"/>
          <w:color w:val="auto"/>
        </w:rPr>
      </w:pPr>
    </w:p>
    <w:p>
      <w:pPr>
        <w:ind w:right="560"/>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AVROBIO, INC.</w:t>
      </w:r>
    </w:p>
    <w:p>
      <w:pPr>
        <w:spacing w:after="0" w:line="207" w:lineRule="exact"/>
        <w:rPr>
          <w:sz w:val="20"/>
          <w:szCs w:val="20"/>
          <w:color w:val="auto"/>
        </w:rPr>
      </w:pPr>
    </w:p>
    <w:p>
      <w:pPr>
        <w:spacing w:after="0"/>
        <w:tabs>
          <w:tab w:leader="none" w:pos="5220" w:val="left"/>
          <w:tab w:leader="none" w:pos="5620" w:val="left"/>
        </w:tabs>
        <w:rPr>
          <w:sz w:val="20"/>
          <w:szCs w:val="20"/>
          <w:color w:val="auto"/>
        </w:rPr>
      </w:pPr>
      <w:r>
        <w:rPr>
          <w:rFonts w:ascii="Times New Roman" w:cs="Times New Roman" w:eastAsia="Times New Roman" w:hAnsi="Times New Roman"/>
          <w:sz w:val="17"/>
          <w:szCs w:val="17"/>
          <w:color w:val="auto"/>
        </w:rPr>
        <w:t>Date: June 4,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3585210</wp:posOffset>
            </wp:positionH>
            <wp:positionV relativeFrom="paragraph">
              <wp:posOffset>13970</wp:posOffset>
            </wp:positionV>
            <wp:extent cx="2928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28620" cy="8255"/>
                    </a:xfrm>
                    <a:prstGeom prst="rect">
                      <a:avLst/>
                    </a:prstGeom>
                    <a:noFill/>
                  </pic:spPr>
                </pic:pic>
              </a:graphicData>
            </a:graphic>
          </wp:anchor>
        </w:drawing>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Erik Ostrowski</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President, Interim Chief Executive Officer, Chief Financial Officer</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and Treasurer</w:t>
      </w:r>
    </w:p>
    <w:sectPr>
      <w:pgSz w:w="11900" w:h="16838" w:orient="portrait"/>
      <w:cols w:equalWidth="0" w:num="1">
        <w:col w:w="10120"/>
      </w:cols>
      <w:pgMar w:left="820" w:top="282"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2024-06-04T08:32:19Z</dcterms:created>
  <dcterms:modified xsi:type="dcterms:W3CDTF">2024-06-04T08:32:19Z</dcterms:modified>
</cp:coreProperties>
</file>