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861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REICIN ALISE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12/31/2025</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30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10,966</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2.38</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239,151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124,530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10,966</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2.38</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1"/>
                <w:szCs w:val="11"/>
                <w:color w:val="auto"/>
              </w:rPr>
            </w:pPr>
          </w:p>
        </w:tc>
        <w:tc>
          <w:tcPr>
            <w:tcW w:w="7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20"/>
              <w:spacing w:after="0" w:line="129" w:lineRule="exact"/>
              <w:rPr>
                <w:sz w:val="20"/>
                <w:szCs w:val="20"/>
                <w:color w:val="auto"/>
              </w:rPr>
            </w:pPr>
            <w:r>
              <w:rPr>
                <w:rFonts w:ascii="Times New Roman" w:cs="Times New Roman" w:eastAsia="Times New Roman" w:hAnsi="Times New Roman"/>
                <w:sz w:val="13"/>
                <w:szCs w:val="13"/>
                <w:color w:val="0000FF"/>
              </w:rPr>
              <w:t>10,966</w:t>
            </w: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06/27/2031</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22,957</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Reicin-Boiarsky Family Trust (the "Trust"). The Reporting Person's spouse is a co-trustee of the Trust. Accordingly, the Reporting Person may be deemed to have shared voting and dispositive power over the securities held by the Trust. The Reporting Person disclaims beneficial ownership of the shares held by the Trust except to the extent of her pecuniary interest therein, and this report shall not be deemed an admission that the Reporting Person is the beneficial owner of these securities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vested as follows: (i) 4,079 shares on June 30, 2024; (ii) 4,078 shares on July 31, 2024, (iii) 4,078 shares on August 31, 2024, (iv) 4,079 shares on September 30, 2024, (v) 4,078 shares on October 31, 2024, (vi) 1,297 shares on November 30, 2024, (vii) 4,078 shares on January 31, 2025, (viii) 4,078 shares on February 28, 2025 and (iv) 4,078 shares on March 31, 2025, subject to the Reporting Person's continued service to the Issuer on each such vesting date..</w:t>
      </w:r>
    </w:p>
    <w:p>
      <w:pPr>
        <w:spacing w:after="0" w:line="26" w:lineRule="exact"/>
        <w:rPr>
          <w:rFonts w:ascii="Times New Roman" w:cs="Times New Roman" w:eastAsia="Times New Roman" w:hAnsi="Times New Roman"/>
          <w:sz w:val="13"/>
          <w:szCs w:val="13"/>
          <w:color w:val="008000"/>
        </w:rPr>
      </w:pPr>
    </w:p>
    <w:p>
      <w:pPr>
        <w:ind w:left="40" w:right="5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63,478 shares of common stock pursuant to that certain merger, as more fully described on the Reporting Person's Form 4 filed with the Securities and Exchange Commission on June 24, 2024. https://www.sec.gov/Archives/edgar/data/1681087/000141588924017952/xslF345X05/form4-06242024_080648.xml</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01/05/2026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7533"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2026-01-05T17:09:39Z</dcterms:created>
  <dcterms:modified xsi:type="dcterms:W3CDTF">2026-01-05T17:09:39Z</dcterms:modified>
</cp:coreProperties>
</file>