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49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80" w:type="dxa"/>
            <w:vAlign w:val="bottom"/>
          </w:tcPr>
          <w:p>
            <w:pPr>
              <w:spacing w:after="0"/>
              <w:rPr>
                <w:sz w:val="20"/>
                <w:szCs w:val="20"/>
                <w:color w:val="auto"/>
              </w:rPr>
            </w:pPr>
          </w:p>
        </w:tc>
      </w:tr>
      <w:tr>
        <w:trPr>
          <w:trHeight w:val="199"/>
        </w:trPr>
        <w:tc>
          <w:tcPr>
            <w:tcW w:w="1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34"/>
        </w:trPr>
        <w:tc>
          <w:tcPr>
            <w:tcW w:w="1960" w:type="dxa"/>
            <w:vAlign w:val="bottom"/>
          </w:tcPr>
          <w:p>
            <w:pPr>
              <w:jc w:val="center"/>
              <w:ind w:right="22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4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001-38537</w:t>
            </w:r>
          </w:p>
        </w:tc>
        <w:tc>
          <w:tcPr>
            <w:tcW w:w="1180" w:type="dxa"/>
            <w:vAlign w:val="bottom"/>
          </w:tcPr>
          <w:p>
            <w:pPr>
              <w:spacing w:after="0"/>
              <w:rPr>
                <w:sz w:val="24"/>
                <w:szCs w:val="24"/>
                <w:color w:val="auto"/>
              </w:rPr>
            </w:pPr>
          </w:p>
        </w:tc>
        <w:tc>
          <w:tcPr>
            <w:tcW w:w="1680" w:type="dxa"/>
            <w:vAlign w:val="bottom"/>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rPr>
              <w:t>81-0710585</w:t>
            </w:r>
          </w:p>
        </w:tc>
      </w:tr>
      <w:tr>
        <w:trPr>
          <w:trHeight w:val="148"/>
        </w:trPr>
        <w:tc>
          <w:tcPr>
            <w:tcW w:w="1960" w:type="dxa"/>
            <w:vAlign w:val="bottom"/>
          </w:tcPr>
          <w:p>
            <w:pPr>
              <w:jc w:val="center"/>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940" w:type="dxa"/>
            <w:vAlign w:val="bottom"/>
          </w:tcPr>
          <w:p>
            <w:pPr>
              <w:spacing w:after="0"/>
              <w:rPr>
                <w:sz w:val="12"/>
                <w:szCs w:val="12"/>
                <w:color w:val="auto"/>
              </w:rPr>
            </w:pPr>
          </w:p>
        </w:tc>
        <w:tc>
          <w:tcPr>
            <w:tcW w:w="3980" w:type="dxa"/>
            <w:vAlign w:val="bottom"/>
            <w:gridSpan w:val="2"/>
          </w:tcPr>
          <w:p>
            <w:pPr>
              <w:ind w:left="12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96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940" w:type="dxa"/>
            <w:vAlign w:val="bottom"/>
          </w:tcPr>
          <w:p>
            <w:pPr>
              <w:spacing w:after="0"/>
              <w:rPr>
                <w:sz w:val="16"/>
                <w:szCs w:val="16"/>
                <w:color w:val="auto"/>
              </w:rPr>
            </w:pPr>
          </w:p>
        </w:tc>
        <w:tc>
          <w:tcPr>
            <w:tcW w:w="398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8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100 Technology Square</w:t>
            </w:r>
          </w:p>
        </w:tc>
        <w:tc>
          <w:tcPr>
            <w:tcW w:w="1680" w:type="dxa"/>
            <w:vAlign w:val="bottom"/>
          </w:tcPr>
          <w:p>
            <w:pPr>
              <w:spacing w:after="0"/>
              <w:rPr>
                <w:sz w:val="24"/>
                <w:szCs w:val="24"/>
                <w:color w:val="auto"/>
              </w:rPr>
            </w:pPr>
          </w:p>
        </w:tc>
      </w:tr>
      <w:tr>
        <w:trPr>
          <w:trHeight w:val="216"/>
        </w:trPr>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98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Sixth Floor</w:t>
            </w:r>
          </w:p>
        </w:tc>
        <w:tc>
          <w:tcPr>
            <w:tcW w:w="1680" w:type="dxa"/>
            <w:vAlign w:val="bottom"/>
          </w:tcPr>
          <w:p>
            <w:pPr>
              <w:spacing w:after="0"/>
              <w:rPr>
                <w:sz w:val="18"/>
                <w:szCs w:val="18"/>
                <w:color w:val="auto"/>
              </w:rPr>
            </w:pPr>
          </w:p>
        </w:tc>
      </w:tr>
      <w:tr>
        <w:trPr>
          <w:trHeight w:val="214"/>
        </w:trPr>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98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Cambridge, MA 02139</w:t>
            </w:r>
          </w:p>
        </w:tc>
        <w:tc>
          <w:tcPr>
            <w:tcW w:w="1680" w:type="dxa"/>
            <w:vAlign w:val="bottom"/>
          </w:tcPr>
          <w:p>
            <w:pPr>
              <w:spacing w:after="0"/>
              <w:rPr>
                <w:sz w:val="18"/>
                <w:szCs w:val="18"/>
                <w:color w:val="auto"/>
              </w:rPr>
            </w:pPr>
          </w:p>
        </w:tc>
      </w:tr>
      <w:tr>
        <w:trPr>
          <w:trHeight w:val="190"/>
        </w:trPr>
        <w:tc>
          <w:tcPr>
            <w:tcW w:w="1960" w:type="dxa"/>
            <w:vAlign w:val="bottom"/>
          </w:tcPr>
          <w:p>
            <w:pPr>
              <w:spacing w:after="0"/>
              <w:rPr>
                <w:sz w:val="16"/>
                <w:szCs w:val="16"/>
                <w:color w:val="auto"/>
              </w:rPr>
            </w:pPr>
          </w:p>
        </w:tc>
        <w:tc>
          <w:tcPr>
            <w:tcW w:w="4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80" w:type="dxa"/>
            <w:vAlign w:val="bottom"/>
          </w:tcPr>
          <w:p>
            <w:pPr>
              <w:spacing w:after="0"/>
              <w:rPr>
                <w:sz w:val="16"/>
                <w:szCs w:val="16"/>
                <w:color w:val="auto"/>
              </w:rPr>
            </w:pPr>
          </w:p>
        </w:tc>
      </w:tr>
      <w:tr>
        <w:trPr>
          <w:trHeight w:val="417"/>
        </w:trPr>
        <w:tc>
          <w:tcPr>
            <w:tcW w:w="1960" w:type="dxa"/>
            <w:vAlign w:val="bottom"/>
          </w:tcPr>
          <w:p>
            <w:pPr>
              <w:spacing w:after="0"/>
              <w:rPr>
                <w:sz w:val="24"/>
                <w:szCs w:val="24"/>
                <w:color w:val="auto"/>
              </w:rPr>
            </w:pPr>
          </w:p>
        </w:tc>
        <w:tc>
          <w:tcPr>
            <w:tcW w:w="3740" w:type="dxa"/>
            <w:vAlign w:val="bottom"/>
            <w:gridSpan w:val="2"/>
          </w:tcPr>
          <w:p>
            <w:pPr>
              <w:jc w:val="center"/>
              <w:ind w:left="859"/>
              <w:spacing w:after="0"/>
              <w:rPr>
                <w:sz w:val="20"/>
                <w:szCs w:val="20"/>
                <w:color w:val="auto"/>
              </w:rPr>
            </w:pPr>
            <w:r>
              <w:rPr>
                <w:rFonts w:ascii="Times New Roman" w:cs="Times New Roman" w:eastAsia="Times New Roman" w:hAnsi="Times New Roman"/>
                <w:sz w:val="18"/>
                <w:szCs w:val="18"/>
                <w:b w:val="1"/>
                <w:bCs w:val="1"/>
                <w:color w:val="auto"/>
                <w:w w:val="99"/>
              </w:rPr>
              <w:t>(617) 914-8420</w:t>
            </w: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90"/>
        </w:trPr>
        <w:tc>
          <w:tcPr>
            <w:tcW w:w="1960" w:type="dxa"/>
            <w:vAlign w:val="bottom"/>
          </w:tcPr>
          <w:p>
            <w:pPr>
              <w:spacing w:after="0"/>
              <w:rPr>
                <w:sz w:val="16"/>
                <w:szCs w:val="16"/>
                <w:color w:val="auto"/>
              </w:rPr>
            </w:pPr>
          </w:p>
        </w:tc>
        <w:tc>
          <w:tcPr>
            <w:tcW w:w="4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r>
        <w:trPr>
          <w:trHeight w:val="417"/>
        </w:trPr>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8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190"/>
        </w:trPr>
        <w:tc>
          <w:tcPr>
            <w:tcW w:w="1960" w:type="dxa"/>
            <w:vAlign w:val="bottom"/>
          </w:tcPr>
          <w:p>
            <w:pPr>
              <w:spacing w:after="0"/>
              <w:rPr>
                <w:sz w:val="16"/>
                <w:szCs w:val="16"/>
                <w:color w:val="auto"/>
              </w:rPr>
            </w:pPr>
          </w:p>
        </w:tc>
        <w:tc>
          <w:tcPr>
            <w:tcW w:w="4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r>
      <w:tr>
        <w:trPr>
          <w:trHeight w:val="138"/>
        </w:trPr>
        <w:tc>
          <w:tcPr>
            <w:tcW w:w="1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1680" w:type="dxa"/>
            <w:vAlign w:val="bottom"/>
          </w:tcPr>
          <w:p>
            <w:pPr>
              <w:spacing w:after="0"/>
              <w:rPr>
                <w:sz w:val="12"/>
                <w:szCs w:val="12"/>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6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26"/>
        </w:trPr>
        <w:tc>
          <w:tcPr>
            <w:tcW w:w="6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4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6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80" w:type="dxa"/>
            <w:vAlign w:val="bottom"/>
          </w:tcPr>
          <w:p>
            <w:pPr>
              <w:spacing w:after="0"/>
              <w:rPr>
                <w:sz w:val="20"/>
                <w:szCs w:val="20"/>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AVRO</w:t>
            </w:r>
          </w:p>
        </w:tc>
        <w:tc>
          <w:tcPr>
            <w:tcW w:w="80" w:type="dxa"/>
            <w:vAlign w:val="bottom"/>
          </w:tcPr>
          <w:p>
            <w:pPr>
              <w:spacing w:after="0"/>
              <w:rPr>
                <w:sz w:val="20"/>
                <w:szCs w:val="20"/>
                <w:color w:val="auto"/>
              </w:rPr>
            </w:pPr>
          </w:p>
        </w:tc>
        <w:tc>
          <w:tcPr>
            <w:tcW w:w="4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of Director and Chief Executive Officer</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2023, Geoff MacKay provided notice of his resignation as President and Chief Executive Officer and a member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AVROBIO,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effective at 1:00 p.m. ET on May 1, 2023. His resignation is not a result of any disagreement with the Company.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30, 2023, the Compensation Committee of the Board extended the post-termination exercise period of certain of Mr. MacKay’s vested time-based stock options, as of May 1, 2023, from three months to twelve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Interim Chief Executive Officer</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2023, the Board appointed Erik Ostrowski, the Company’s current Chief Financial Officer and Treasurer, as the Company’s President and Interim Chief Executive Officer, effective at 1:00 p.m. ET on May 1, 2023. In his capacity as President and Interim Chief Executive Officer, Mr. Ostrowski will succeed Mr. MacKay as the principal executive officer of the Company, while maintaining his position as the Chief Financial Officer and Treasurer and principal financial officer of the Company.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Ostrowski, 50, has been our Chief Financial Officer and Treasurer since January 2019. From June 2014 to December 2018, Mr. Ostrowski served as the chief financial officer of Summit Therapeutics plc., a biotechnology company. Prior to that, he served as vice president of finance at Organogenesis Inc., a biotechnology company, from July 2010 to June 2014, and previously worked in investment banking, most recently as a director with Leerink Partners LLC. Mr. Ostrowski began his career as an accountant with Coopers &amp; Lybrand (now PricewaterhouseCoopers). Mr. Ostrowski has served on the board of directors of Faron Pharmaceuticals Oy (AIM: FARN, First North: FARON) since April 2022. He received a B.S. in accounting and economics from Babson College and a M.B.A. from the University of Chicago Booth School of Business.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Ostrowski and any other persons in connection with his appointment. There are no family relationships between Mr. Ostrowski and any director or executive officer of the Company, and Mr. Ostrowski is not a party to any transaction required to be disclosed pursuant to Item 404(a) of Regulation S-K under the Securities Act of 1933, as amended.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not entered into any material plan, contract, arrangement or material amendment with Mr. Ostrowski in connection with his appointment as President and Interim Chief Executive Officer.</w:t>
      </w:r>
    </w:p>
    <w:p>
      <w:pPr>
        <w:spacing w:after="0" w:line="21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 2023, the Company issued a press release titled “AVROBIO Announces Leadership Transition.” A copy of the press release is furnished as Exhibit 99.1 to this Current Report on Form 8-K.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 99.1 attached hereto, shall not be deemed “filed” for purposes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AVROBIO, Inc. press release, dated May 1, 2023.</w:t>
      </w:r>
    </w:p>
    <w:p>
      <w:pPr>
        <w:spacing w:after="0" w:line="2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spacing w:after="0"/>
        <w:tabs>
          <w:tab w:leader="none" w:pos="4920" w:val="left"/>
          <w:tab w:leader="none" w:pos="5440" w:val="left"/>
        </w:tabs>
        <w:rPr>
          <w:sz w:val="20"/>
          <w:szCs w:val="20"/>
          <w:color w:val="auto"/>
        </w:rPr>
      </w:pPr>
      <w:r>
        <w:rPr>
          <w:rFonts w:ascii="Times New Roman" w:cs="Times New Roman" w:eastAsia="Times New Roman" w:hAnsi="Times New Roman"/>
          <w:sz w:val="18"/>
          <w:szCs w:val="18"/>
          <w:color w:val="auto"/>
        </w:rPr>
        <w:t>Date: May 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17145</wp:posOffset>
            </wp:positionV>
            <wp:extent cx="36690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69030" cy="17145"/>
                    </a:xfrm>
                    <a:prstGeom prst="rect">
                      <a:avLst/>
                    </a:prstGeom>
                    <a:noFill/>
                  </pic:spPr>
                </pic:pic>
              </a:graphicData>
            </a:graphic>
          </wp:anchor>
        </w:drawing>
      </w:r>
    </w:p>
    <w:p>
      <w:pPr>
        <w:spacing w:after="0" w:line="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Geoff MacKay</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AVROBIO Announces Leadership Transition</w:t>
      </w:r>
    </w:p>
    <w:p>
      <w:pPr>
        <w:spacing w:after="0" w:line="26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Current CFO Erik Ostrowski named interim CEO, replacing Founding President and CEO Geoff MacKay</w:t>
      </w:r>
    </w:p>
    <w:p>
      <w:pPr>
        <w:spacing w:after="0" w:line="2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Cambridge, Mass. – May 1, 2023 – AVROBIO, Inc. (Nasdaq: AVRO), a leading clinical-stage gene therapy company working to free people from a lifetime of genetic disease, today announced the appointment of Erik Ostrowski as interim Chief Executive Officer effective as of today. Mr. Ostrowski, who will continue as AVROBIO’s Chief Financial Officer, succeeds founding President and CEO Geoff MacKay, who is leaving to join an emerging early-stage company. The Board of Directors has begun a search to identify a permanent CEO.</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behalf of the entire board and the AVROBIO team, we thank Geoff for his eight-year commitment, building a purpose-driven company, aiming to free patients from a lifetime of genetic disease. We wish him great success in his next endeavor,” said Bruce Booth, D.Phil., chairman of the AVROBIO board of directors. “As AVROBIO prepares to transition to late-stage development in two exciting programs, Erik will provide steady leadership. A four-year veteran of the company, he has taken on increasing operational and leadership responsibilities over the past few years. We have great confidence in Erik's ability to lead this transition as the Board conducts its search for a permanent CEO.”</w:t>
      </w:r>
    </w:p>
    <w:p>
      <w:pPr>
        <w:spacing w:after="0" w:line="2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“It’s been a great privilege to lead AVROBIO’s growth from a startup to a clinical-stage company that is preparing to advance two clinical programs,” said MacKay. “I believe that this is the right time to transition leadership of AVROBIO to a new leader with deep and relevant rare disease experience to help chart AVROBIO’s next stage of growth.”</w:t>
      </w:r>
    </w:p>
    <w:p>
      <w:pPr>
        <w:spacing w:after="0" w:line="203"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“Geoff’s focus and determination have been a big part of getting AVROBIO to where it is today – well on the way to bringing to patients living with lysosomal disorders one-time gene therapies with the potential to halt or reverse genetic disease,” said Ostrowski. “We have the science and talent to deliver on our vision, and I look forward to continuing to build on the strong momentum underway at AVROBIO.”</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Erik brings more than 20 years of finance and biotech operating experience, including a focus on rare diseases and cell-based therapies. He is also currently a member of the Board of Directors of Faron Pharmaceuticals. Prior to joining AVROBIO, Erik was CFO at Summit Therapeutics, where he played a key role in executing the company’s NASDAQ initial public offering, completing multiple strategic transactions and building out the company’s U.S. operations.</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Prior to joining Summit, Erik was Vice President of finance at Organogenesis Inc. He previously worked in investment banking, including as a director of healthcare investment banking with Leerink Partners. Erik began his career at PricewaterhouseCoopers and received a BS in accounting and economics from Babson College and an MBA from the University of Chicago Booth School of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AVROBIO</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Our vision is to bring personalized gene therapy to the world. We target the root cause of genetic disease by introducing a functional copy of the affected gene into patients’ own hematopoietic stem cells (HSCs), with the goal of durably expressing the therapeutic protein throughout the body, including the central nervous system. Our first-in-class pipeline includes clinical programs for Gaucher disease and cystinosis, as well as preclinical programs for Hunter syndrome and Pompe disease. Our proprietary plato® gene therapy platform is scalable for planned global commercialization. We are headquartered in Cambridge, Mass. For additional information, visit </w:t>
      </w:r>
      <w:r>
        <w:rPr>
          <w:rFonts w:ascii="Times New Roman" w:cs="Times New Roman" w:eastAsia="Times New Roman" w:hAnsi="Times New Roman"/>
          <w:sz w:val="18"/>
          <w:szCs w:val="18"/>
          <w:u w:val="single" w:color="auto"/>
          <w:color w:val="0000FF"/>
        </w:rPr>
        <w:t>avrobio.com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0000FF"/>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LinkedIn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a leadership transition including the appointment of an interim CEO and our search to identify a permanent CEO, our business strategy for and the potential therapeutic benefits of our product candidates, the design, commencement, enrollment and timing of ongoing or planned clinical trials, clinical trial results, product approvals and regulatory pathways, anticipated benefits of our gene therapy platform including potential impact on our commercialization activities, timing and likelihood of success, the expected benefits and results of our implementation of the plato platform in our clinical trials and gene therapy programs, and the expected safety profile of our investigational gene therapies.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including the risk that additional funding may not be available on acceptable terms or at all and that failure to obtain capital when needed may force us to delay, limit or terminate our product development efforts or other operations,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Annual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chris.brinzey@westwicke.com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Kit Rodophele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617-999-9620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krodophele@tenbridgecommunications.com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2023-05-01T06:42:57Z</dcterms:created>
  <dcterms:modified xsi:type="dcterms:W3CDTF">2023-05-01T06:42:57Z</dcterms:modified>
</cp:coreProperties>
</file>