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20" w:right="1580" w:hanging="3812"/>
        <w:spacing w:after="0" w:line="360"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720" w:type="dxa"/>
            <w:vAlign w:val="bottom"/>
            <w:tcBorders>
              <w:bottom w:val="single" w:sz="8" w:color="auto"/>
            </w:tcBorders>
          </w:tcPr>
          <w:p>
            <w:pPr>
              <w:spacing w:after="0"/>
              <w:rPr>
                <w:sz w:val="17"/>
                <w:szCs w:val="17"/>
                <w:color w:val="auto"/>
              </w:rPr>
            </w:pPr>
          </w:p>
        </w:tc>
      </w:tr>
      <w:tr>
        <w:trPr>
          <w:trHeight w:val="318"/>
        </w:trPr>
        <w:tc>
          <w:tcPr>
            <w:tcW w:w="404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8"/>
        </w:trPr>
        <w:tc>
          <w:tcPr>
            <w:tcW w:w="4340" w:type="dxa"/>
            <w:vAlign w:val="bottom"/>
          </w:tcPr>
          <w:p>
            <w:pPr>
              <w:jc w:val="center"/>
              <w:ind w:right="189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98"/>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One Kendall Square</w:t>
            </w:r>
          </w:p>
        </w:tc>
        <w:tc>
          <w:tcPr>
            <w:tcW w:w="3080" w:type="dxa"/>
            <w:vAlign w:val="bottom"/>
          </w:tcPr>
          <w:p>
            <w:pPr>
              <w:spacing w:after="0"/>
              <w:rPr>
                <w:sz w:val="22"/>
                <w:szCs w:val="22"/>
                <w:color w:val="auto"/>
              </w:rPr>
            </w:pPr>
          </w:p>
        </w:tc>
      </w:tr>
      <w:tr>
        <w:trPr>
          <w:trHeight w:val="216"/>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89"/>
              </w:rPr>
              <w:t>Building 300, Suite 201</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212"/>
        </w:trPr>
        <w:tc>
          <w:tcPr>
            <w:tcW w:w="4340" w:type="dxa"/>
            <w:vAlign w:val="bottom"/>
          </w:tcPr>
          <w:p>
            <w:pPr>
              <w:jc w:val="center"/>
              <w:ind w:right="1878"/>
              <w:spacing w:after="0"/>
              <w:rPr>
                <w:sz w:val="20"/>
                <w:szCs w:val="20"/>
                <w:color w:val="auto"/>
              </w:rPr>
            </w:pPr>
            <w:r>
              <w:rPr>
                <w:rFonts w:ascii="Arial" w:cs="Arial" w:eastAsia="Arial" w:hAnsi="Arial"/>
                <w:sz w:val="18"/>
                <w:szCs w:val="18"/>
                <w:b w:val="1"/>
                <w:bCs w:val="1"/>
                <w:color w:val="auto"/>
                <w:w w:val="95"/>
              </w:rPr>
              <w:t>Cambridge, MA</w:t>
            </w:r>
          </w:p>
        </w:tc>
        <w:tc>
          <w:tcPr>
            <w:tcW w:w="3080" w:type="dxa"/>
            <w:vAlign w:val="bottom"/>
          </w:tcPr>
          <w:p>
            <w:pPr>
              <w:spacing w:after="0"/>
              <w:rPr>
                <w:sz w:val="18"/>
                <w:szCs w:val="18"/>
                <w:color w:val="auto"/>
              </w:rPr>
            </w:pPr>
          </w:p>
        </w:tc>
      </w:tr>
      <w:tr>
        <w:trPr>
          <w:trHeight w:val="186"/>
        </w:trPr>
        <w:tc>
          <w:tcPr>
            <w:tcW w:w="4340" w:type="dxa"/>
            <w:vAlign w:val="bottom"/>
          </w:tcPr>
          <w:p>
            <w:pPr>
              <w:jc w:val="center"/>
              <w:ind w:right="18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vMerge w:val="restart"/>
          </w:tcPr>
          <w:p>
            <w:pPr>
              <w:spacing w:after="0"/>
              <w:rPr>
                <w:sz w:val="14"/>
                <w:szCs w:val="14"/>
                <w:color w:val="auto"/>
              </w:rPr>
            </w:pPr>
          </w:p>
        </w:tc>
        <w:tc>
          <w:tcPr>
            <w:tcW w:w="3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50"/>
        </w:trPr>
        <w:tc>
          <w:tcPr>
            <w:tcW w:w="4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AVRO</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w w:val="97"/>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80" w:type="dxa"/>
            <w:vAlign w:val="bottom"/>
          </w:tcPr>
          <w:p>
            <w:pPr>
              <w:ind w:left="3260"/>
              <w:spacing w:after="0"/>
              <w:rPr>
                <w:sz w:val="20"/>
                <w:szCs w:val="20"/>
                <w:color w:val="auto"/>
              </w:rPr>
            </w:pPr>
            <w:r>
              <w:rPr>
                <w:rFonts w:ascii="Arial" w:cs="Arial" w:eastAsia="Arial" w:hAnsi="Arial"/>
                <w:sz w:val="18"/>
                <w:szCs w:val="18"/>
                <w:color w:val="auto"/>
                <w:w w:val="98"/>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7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6, 2021, the registrant had 41,766,122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FINANCIAL INFORMATION</w:t>
        </w:r>
      </w:hyperlink>
    </w:p>
    <w:p>
      <w:pPr>
        <w:spacing w:after="0" w:line="27"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Balance Sheets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Operations and Comprehensive Loss</w:t>
        </w:r>
      </w:hyperlink>
    </w:p>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Statements o</w:t>
        </w:r>
        <w:r>
          <w:rPr>
            <w:rFonts w:ascii="Arial" w:cs="Arial" w:eastAsia="Arial" w:hAnsi="Arial"/>
            <w:sz w:val="21"/>
            <w:szCs w:val="21"/>
            <w:u w:val="single" w:color="auto"/>
            <w:color w:val="0000EE"/>
          </w:rPr>
          <w:t>f</w:t>
        </w:r>
        <w:r>
          <w:rPr>
            <w:rFonts w:ascii="Arial" w:cs="Arial" w:eastAsia="Arial" w:hAnsi="Arial"/>
            <w:sz w:val="18"/>
            <w:szCs w:val="18"/>
            <w:u w:val="single" w:color="auto"/>
            <w:color w:val="0000EE"/>
          </w:rPr>
          <w:t xml:space="preserve"> Stockholders’ Equity</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Statements of Cash Flows</w:t>
        </w:r>
      </w:hyperlink>
    </w:p>
    <w:p>
      <w:pPr>
        <w:spacing w:after="0" w:line="13"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Financial Statements</w:t>
        </w:r>
      </w:hyperlink>
    </w:p>
    <w:p>
      <w:pPr>
        <w:spacing w:after="0" w:line="23" w:lineRule="exact"/>
        <w:rPr>
          <w:sz w:val="20"/>
          <w:szCs w:val="20"/>
          <w:color w:val="auto"/>
        </w:rPr>
      </w:pPr>
    </w:p>
    <w:p>
      <w:pPr>
        <w:ind w:right="2000"/>
        <w:spacing w:after="0" w:line="266" w:lineRule="auto"/>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31">
        <w:r>
          <w:rPr>
            <w:rFonts w:ascii="Arial" w:cs="Arial" w:eastAsia="Arial" w:hAnsi="Arial"/>
            <w:sz w:val="18"/>
            <w:szCs w:val="18"/>
            <w:u w:val="single" w:color="auto"/>
            <w:color w:val="0000EE"/>
          </w:rPr>
          <w:t>Controls and Procedures</w:t>
        </w:r>
      </w:hyperlink>
    </w:p>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Unregistered Sales of Equity Securities and Use of Proceeds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Defaults Upon Senior Securities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Mine Safety Disclosures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Other Information</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Signatures</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3" w:lineRule="exact"/>
        <w:rPr>
          <w:rFonts w:ascii="Arial" w:cs="Arial" w:eastAsia="Arial" w:hAnsi="Arial"/>
          <w:sz w:val="18"/>
          <w:szCs w:val="18"/>
          <w:u w:val="single" w:color="auto"/>
          <w:color w:val="0000EE"/>
        </w:rPr>
      </w:pPr>
    </w:p>
    <w:p>
      <w:pPr>
        <w:jc w:val="center"/>
        <w:ind w:right="360"/>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-1010285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-106045</wp:posOffset>
            </wp:positionH>
            <wp:positionV relativeFrom="paragraph">
              <wp:posOffset>6350</wp:posOffset>
            </wp:positionV>
            <wp:extent cx="351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w:t>
      </w:r>
    </w:p>
    <w:p>
      <w:pPr>
        <w:spacing w:after="0" w:line="3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26</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70</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70</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70</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70</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72</w:t>
      </w:r>
    </w:p>
    <w:p>
      <w:pPr>
        <w:sectPr>
          <w:pgSz w:w="11900" w:h="16838" w:orient="portrait"/>
          <w:cols w:equalWidth="0" w:num="3">
            <w:col w:w="760" w:space="720"/>
            <w:col w:w="8460" w:space="720"/>
            <w:col w:w="380"/>
          </w:cols>
          <w:pgMar w:left="420" w:top="337"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76" w:lineRule="exact"/>
        <w:rPr>
          <w:sz w:val="20"/>
          <w:szCs w:val="20"/>
          <w:color w:val="auto"/>
        </w:rPr>
      </w:pPr>
    </w:p>
    <w:p>
      <w:pPr>
        <w:ind w:left="880" w:right="6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75" w:lineRule="exact"/>
        <w:rPr>
          <w:rFonts w:ascii="Arial" w:cs="Arial" w:eastAsia="Arial" w:hAnsi="Arial"/>
          <w:sz w:val="18"/>
          <w:szCs w:val="18"/>
          <w:color w:val="auto"/>
        </w:rPr>
      </w:pPr>
    </w:p>
    <w:p>
      <w:pPr>
        <w:ind w:left="880" w:right="460" w:hanging="373"/>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51"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preclinical studies or early clinical trials may not be indicative of results obtained in later trials.</w:t>
      </w:r>
    </w:p>
    <w:p>
      <w:pPr>
        <w:spacing w:after="0" w:line="157"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fail to demonstrate safety and efficacy to the satisfaction of applicable regulatory authorities.</w:t>
      </w:r>
    </w:p>
    <w:p>
      <w:pPr>
        <w:spacing w:after="0" w:line="75" w:lineRule="exact"/>
        <w:rPr>
          <w:rFonts w:ascii="Arial" w:cs="Arial" w:eastAsia="Arial" w:hAnsi="Arial"/>
          <w:sz w:val="18"/>
          <w:szCs w:val="18"/>
          <w:color w:val="auto"/>
        </w:rPr>
      </w:pPr>
    </w:p>
    <w:p>
      <w:pPr>
        <w:ind w:left="880" w:right="7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75"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approach for AVR-RD-01 for the treatment of Fabry disease recently changed, and there can be no assurance that our new, proposed regulatory pathway will be accepted by regulatory agencies.</w:t>
      </w:r>
    </w:p>
    <w:p>
      <w:pPr>
        <w:spacing w:after="0" w:line="75"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Only certain of our clinical trials, including the Phase 2 clinical trial of AVR-RD-01 for Fabry disease and the Phase 1/2 clinical trial of AVR-RD-02 for Gaucher disease type 1, utilize our commercial-scale plato</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75" w:lineRule="exact"/>
        <w:rPr>
          <w:rFonts w:ascii="Arial" w:cs="Arial" w:eastAsia="Arial" w:hAnsi="Arial"/>
          <w:sz w:val="18"/>
          <w:szCs w:val="18"/>
          <w:color w:val="auto"/>
        </w:rPr>
      </w:pPr>
    </w:p>
    <w:p>
      <w:pPr>
        <w:ind w:left="880" w:right="40" w:hanging="373"/>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70" w:lineRule="exact"/>
        <w:rPr>
          <w:rFonts w:ascii="Arial" w:cs="Arial" w:eastAsia="Arial" w:hAnsi="Arial"/>
          <w:sz w:val="17"/>
          <w:szCs w:val="17"/>
          <w:color w:val="auto"/>
        </w:rPr>
      </w:pPr>
    </w:p>
    <w:p>
      <w:pPr>
        <w:ind w:left="880" w:right="7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a limited number of suppliers for some of our components and materials used in our product candidates.</w:t>
      </w:r>
    </w:p>
    <w:p>
      <w:pPr>
        <w:spacing w:after="0" w:line="15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57" w:lineRule="exact"/>
        <w:rPr>
          <w:rFonts w:ascii="Arial" w:cs="Arial" w:eastAsia="Arial" w:hAnsi="Arial"/>
          <w:sz w:val="18"/>
          <w:szCs w:val="18"/>
          <w:color w:val="auto"/>
        </w:rPr>
      </w:pPr>
    </w:p>
    <w:p>
      <w:pPr>
        <w:ind w:left="880" w:right="280" w:hanging="373"/>
        <w:spacing w:after="0" w:line="25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AVR-RD-02 for our Gaucher type 1 program and AVR-RD-05 for our Hunter program, but do not own any patents or patent applications covering these product candidates.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 w:name="page4"/>
    <w:bookmarkEnd w:id="3"/>
    <w:p>
      <w:pPr>
        <w:ind w:left="880" w:right="40" w:hanging="373"/>
        <w:spacing w:after="0" w:line="25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our independent registered public accounting firm previously identified material weaknesses in our internal control over financial reporting, which have now been remediated. Nevertheless, 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8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3" w:lineRule="exact"/>
        <w:rPr>
          <w:sz w:val="20"/>
          <w:szCs w:val="20"/>
          <w:color w:val="auto"/>
        </w:rPr>
      </w:pPr>
    </w:p>
    <w:p>
      <w:pPr>
        <w:ind w:left="880" w:right="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75" w:lineRule="exact"/>
        <w:rPr>
          <w:rFonts w:ascii="Arial" w:cs="Arial" w:eastAsia="Arial" w:hAnsi="Arial"/>
          <w:sz w:val="18"/>
          <w:szCs w:val="18"/>
          <w:color w:val="auto"/>
        </w:rPr>
      </w:pPr>
    </w:p>
    <w:p>
      <w:pPr>
        <w:ind w:left="880" w:right="2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880" w:right="380" w:hanging="373"/>
        <w:spacing w:after="0" w:line="342"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regulatory pathway for our product candidates and planned interactions with regulatory agencies;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 platform;</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44"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other lentiviral-based gene therapy companies;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avoid any findings of material weaknesses or significant deficiencies in the future;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44"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or JOBS Act;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93"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Trademarks</w:t>
      </w:r>
    </w:p>
    <w:p>
      <w:pPr>
        <w:spacing w:after="0" w:line="13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All brand names or trademarks appearing in this report are the property of their respective holders. Unless the context requires otherwise, references in this report to the “Company,” “we,” “us,” and “our” refer to AVROBIO, Inc.</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233,027</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245,912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2,698</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60"/>
              <w:spacing w:after="0"/>
              <w:rPr>
                <w:sz w:val="20"/>
                <w:szCs w:val="20"/>
                <w:color w:val="auto"/>
              </w:rPr>
            </w:pPr>
            <w:r>
              <w:rPr>
                <w:rFonts w:ascii="Arial" w:cs="Arial" w:eastAsia="Arial" w:hAnsi="Arial"/>
                <w:sz w:val="18"/>
                <w:szCs w:val="18"/>
                <w:color w:val="auto"/>
              </w:rPr>
              <w:t>Preferred stock, $0.0001 par value; 10,000 shares authorized; no shares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rPr>
              <w:t>issued or outstanding</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150,000 shares authorized; 41,766 and 41,569 shares issued and</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March 31, 2021 and December 31, 2020, respectively</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524,241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(291,315)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(264,416)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245,912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tcPr>
          <w:p>
            <w:pPr>
              <w:jc w:val="right"/>
              <w:ind w:right="75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18,527</w:t>
            </w:r>
          </w:p>
        </w:tc>
        <w:tc>
          <w:tcPr>
            <w:tcW w:w="160" w:type="dxa"/>
            <w:vAlign w:val="bottom"/>
          </w:tcPr>
          <w:p>
            <w:pPr>
              <w:spacing w:after="0"/>
              <w:rPr>
                <w:sz w:val="19"/>
                <w:szCs w:val="19"/>
                <w:color w:val="auto"/>
              </w:rPr>
            </w:pPr>
          </w:p>
        </w:tc>
        <w:tc>
          <w:tcPr>
            <w:tcW w:w="10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18,274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26,589</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(26,884)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(26,589)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Other (expense) income:</w:t>
            </w: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9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(26,899)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(25,973)</w:t>
            </w:r>
          </w:p>
        </w:tc>
        <w:tc>
          <w:tcPr>
            <w:tcW w:w="2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(26,899)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(25,973)</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Borders>
              <w:top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9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77"/>
              <w:spacing w:after="0"/>
              <w:rPr>
                <w:sz w:val="20"/>
                <w:szCs w:val="20"/>
                <w:color w:val="auto"/>
              </w:rPr>
            </w:pPr>
            <w:r>
              <w:rPr>
                <w:rFonts w:ascii="Arial" w:cs="Arial" w:eastAsia="Arial" w:hAnsi="Arial"/>
                <w:sz w:val="13"/>
                <w:szCs w:val="13"/>
                <w:b w:val="1"/>
                <w:bCs w:val="1"/>
                <w:color w:val="auto"/>
                <w:w w:val="92"/>
              </w:rPr>
              <w:t>Paid-in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3000" w:type="dxa"/>
            <w:vAlign w:val="bottom"/>
          </w:tcPr>
          <w:p>
            <w:pPr>
              <w:spacing w:after="0"/>
              <w:rPr>
                <w:sz w:val="12"/>
                <w:szCs w:val="12"/>
                <w:color w:val="auto"/>
              </w:rPr>
            </w:pPr>
          </w:p>
        </w:tc>
        <w:tc>
          <w:tcPr>
            <w:tcW w:w="960" w:type="dxa"/>
            <w:vAlign w:val="bottom"/>
          </w:tcPr>
          <w:p>
            <w:pPr>
              <w:ind w:left="500"/>
              <w:spacing w:after="0" w:line="142"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124"/>
              <w:spacing w:after="0" w:line="142"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7"/>
              <w:spacing w:after="0" w:line="142" w:lineRule="exact"/>
              <w:rPr>
                <w:sz w:val="20"/>
                <w:szCs w:val="20"/>
                <w:color w:val="auto"/>
              </w:rPr>
            </w:pPr>
            <w:r>
              <w:rPr>
                <w:rFonts w:ascii="Arial" w:cs="Arial" w:eastAsia="Arial" w:hAnsi="Arial"/>
                <w:sz w:val="13"/>
                <w:szCs w:val="13"/>
                <w:b w:val="1"/>
                <w:bCs w:val="1"/>
                <w:color w:val="auto"/>
                <w:w w:val="92"/>
              </w:rPr>
              <w:t>Capital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80"/>
              <w:spacing w:after="0" w:line="142" w:lineRule="exact"/>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December 31, 2020</w:t>
            </w:r>
          </w:p>
        </w:tc>
        <w:tc>
          <w:tcPr>
            <w:tcW w:w="9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41,569</w:t>
            </w:r>
          </w:p>
        </w:tc>
        <w:tc>
          <w:tcPr>
            <w:tcW w:w="26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ind w:right="984"/>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518,756</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(264,416)</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254,344</w:t>
            </w: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4,635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4,635</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850</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850</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(26,899)</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(26,899)</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March 31, 2021</w:t>
            </w: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41,766</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ind w:right="984"/>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524,241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(291,315)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232,930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4"/>
        </w:trPr>
        <w:tc>
          <w:tcPr>
            <w:tcW w:w="3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ind w:right="19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77"/>
              <w:spacing w:after="0"/>
              <w:rPr>
                <w:sz w:val="20"/>
                <w:szCs w:val="20"/>
                <w:color w:val="auto"/>
              </w:rPr>
            </w:pPr>
            <w:r>
              <w:rPr>
                <w:rFonts w:ascii="Arial" w:cs="Arial" w:eastAsia="Arial" w:hAnsi="Arial"/>
                <w:sz w:val="13"/>
                <w:szCs w:val="13"/>
                <w:b w:val="1"/>
                <w:bCs w:val="1"/>
                <w:color w:val="auto"/>
                <w:w w:val="92"/>
              </w:rPr>
              <w:t>Paid-in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3000" w:type="dxa"/>
            <w:vAlign w:val="bottom"/>
          </w:tcPr>
          <w:p>
            <w:pPr>
              <w:spacing w:after="0"/>
              <w:rPr>
                <w:sz w:val="12"/>
                <w:szCs w:val="12"/>
                <w:color w:val="auto"/>
              </w:rPr>
            </w:pPr>
          </w:p>
        </w:tc>
        <w:tc>
          <w:tcPr>
            <w:tcW w:w="960" w:type="dxa"/>
            <w:vAlign w:val="bottom"/>
          </w:tcPr>
          <w:p>
            <w:pPr>
              <w:ind w:left="500"/>
              <w:spacing w:after="0" w:line="142"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124"/>
              <w:spacing w:after="0" w:line="142"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7"/>
              <w:spacing w:after="0" w:line="142" w:lineRule="exact"/>
              <w:rPr>
                <w:sz w:val="20"/>
                <w:szCs w:val="20"/>
                <w:color w:val="auto"/>
              </w:rPr>
            </w:pPr>
            <w:r>
              <w:rPr>
                <w:rFonts w:ascii="Arial" w:cs="Arial" w:eastAsia="Arial" w:hAnsi="Arial"/>
                <w:sz w:val="13"/>
                <w:szCs w:val="13"/>
                <w:b w:val="1"/>
                <w:bCs w:val="1"/>
                <w:color w:val="auto"/>
                <w:w w:val="92"/>
              </w:rPr>
              <w:t>Capital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80"/>
              <w:spacing w:after="0" w:line="142" w:lineRule="exact"/>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December 31, 2019</w:t>
            </w:r>
          </w:p>
        </w:tc>
        <w:tc>
          <w:tcPr>
            <w:tcW w:w="9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31,643</w:t>
            </w:r>
          </w:p>
        </w:tc>
        <w:tc>
          <w:tcPr>
            <w:tcW w:w="26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ind w:right="984"/>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w:t>
            </w: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330,714</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(144,704)</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186,013</w:t>
            </w: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2,822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2,822</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440" w:type="dxa"/>
            <w:vAlign w:val="bottom"/>
          </w:tcPr>
          <w:p>
            <w:pPr>
              <w:jc w:val="right"/>
              <w:spacing w:after="0"/>
              <w:rPr>
                <w:sz w:val="20"/>
                <w:szCs w:val="20"/>
                <w:color w:val="auto"/>
              </w:rPr>
            </w:pPr>
            <w:r>
              <w:rPr>
                <w:rFonts w:ascii="Arial" w:cs="Arial" w:eastAsia="Arial" w:hAnsi="Arial"/>
                <w:sz w:val="13"/>
                <w:szCs w:val="13"/>
                <w:color w:val="auto"/>
              </w:rPr>
              <w:t>11</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upon public offering,</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net of offering costs of $419</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93,627</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93,628</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(25,973)</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(25,973)</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March 31, 2020</w:t>
            </w: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36,011</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ind w:right="984"/>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427,198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(170,677)</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256,525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(26,899)</w:t>
            </w: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(25,973)</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Deferred rent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(1,477)</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(3,821)</w:t>
            </w: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(27,339)</w:t>
            </w:r>
          </w:p>
        </w:tc>
        <w:tc>
          <w:tcPr>
            <w:tcW w:w="3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(22,434)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public offering,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net of offering costs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Other financing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3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(26,655)</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260,174</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187,535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233,519</w:t>
            </w: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258,187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8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Common stock offering costs incurred but unpaid at period end</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1"/>
              </w:rPr>
              <w:t>Reconciliation of cash, cash equivalents and restricted cash reported within the condensed</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233,027</w:t>
            </w:r>
          </w:p>
        </w:tc>
        <w:tc>
          <w:tcPr>
            <w:tcW w:w="300" w:type="dxa"/>
            <w:vAlign w:val="bottom"/>
          </w:tcPr>
          <w:p>
            <w:pPr>
              <w:spacing w:after="0"/>
              <w:rPr>
                <w:sz w:val="19"/>
                <w:szCs w:val="19"/>
                <w:color w:val="auto"/>
              </w:rPr>
            </w:pP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257,695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233,519</w:t>
            </w:r>
          </w:p>
        </w:tc>
        <w:tc>
          <w:tcPr>
            <w:tcW w:w="300" w:type="dxa"/>
            <w:vAlign w:val="bottom"/>
          </w:tcPr>
          <w:p>
            <w:pPr>
              <w:spacing w:after="0"/>
              <w:rPr>
                <w:sz w:val="19"/>
                <w:szCs w:val="19"/>
                <w:color w:val="auto"/>
              </w:rPr>
            </w:pPr>
          </w:p>
        </w:tc>
        <w:tc>
          <w:tcPr>
            <w:tcW w:w="10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258,187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70" w:lineRule="exact"/>
        <w:rPr>
          <w:sz w:val="20"/>
          <w:szCs w:val="20"/>
          <w:color w:val="auto"/>
        </w:rPr>
      </w:pPr>
    </w:p>
    <w:p>
      <w:pPr>
        <w:ind w:right="180" w:firstLine="510"/>
        <w:spacing w:after="0" w:line="297" w:lineRule="auto"/>
        <w:rPr>
          <w:sz w:val="20"/>
          <w:szCs w:val="20"/>
          <w:color w:val="auto"/>
        </w:rPr>
      </w:pPr>
      <w:r>
        <w:rPr>
          <w:rFonts w:ascii="Arial" w:cs="Arial" w:eastAsia="Arial" w:hAnsi="Arial"/>
          <w:sz w:val="16"/>
          <w:szCs w:val="16"/>
          <w:color w:val="auto"/>
        </w:rPr>
        <w:t>The Company is subject to risks and uncertainties common to clinical-stage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1" w:lineRule="exact"/>
        <w:rPr>
          <w:sz w:val="20"/>
          <w:szCs w:val="20"/>
          <w:color w:val="auto"/>
        </w:rPr>
      </w:pPr>
    </w:p>
    <w:p>
      <w:pPr>
        <w:ind w:firstLine="510"/>
        <w:spacing w:after="0" w:line="274" w:lineRule="auto"/>
        <w:rPr>
          <w:sz w:val="20"/>
          <w:szCs w:val="20"/>
          <w:color w:val="auto"/>
        </w:rPr>
      </w:pPr>
      <w:r>
        <w:rPr>
          <w:rFonts w:ascii="Arial" w:cs="Arial" w:eastAsia="Arial" w:hAnsi="Arial"/>
          <w:sz w:val="17"/>
          <w:szCs w:val="17"/>
          <w:color w:val="auto"/>
        </w:rPr>
        <w:t>The Company has incurred recurring losses since its inception, including net losses of $26,899 and $25,973 for the three months ended March 31, 2021 and 2020, respectively. In addition, as of March 31, 2021, the Company had an accumulated deficit of $291,315. The Company has primarily funded these losses through the proceeds from sales of common and preferred stock. Although the Company has incurred recurring losses and expects to continue to incur losses for the foreseeable future, the Company expects that its existing cash and cash equivalents on hand as of March 31, 2021 of $233,027 will be sufficient to fund current planned operations and capital expenditure requirements for at least the next twelve months from the filing date of this Quarterly Report on Form 10-Q with the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71"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The unaudited condensed consolidated financial statements have been prepared on the same basis as the audited annual consolidated financial statements as of and for the year ended December 31, 2020, and, in the opinion of management, reflect all adjustments, consisting of normal recurring adjustments, necessary for the fair presentation of the Company’s financial position as of March 31, 2021, and the results of its operations for the three months ended March 31, 2021 and 2020, its statements of stockholders’ equity for the three months ended March 31, 2021 and 2020 and its statement of cash flows for the three months ended March 31, 2021 and 2020.</w:t>
      </w:r>
    </w:p>
    <w:p>
      <w:pPr>
        <w:spacing w:after="0" w:line="176"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results for the three months ended March 31, 2021 are not necessarily indicative of the results to be expected for the year ending December 31, 2021, any other interim periods, or any future year or period. These interim financial statements should be read in conjunction with the audited financial statements as of and for the year ended December 31, 2020, and the notes thereto, which are included in the Company’s Annual Report on Form 10-K for the year ended December 31, 2020, filed with the SEC on March 18, 2021.</w:t>
      </w:r>
    </w:p>
    <w:p>
      <w:pPr>
        <w:spacing w:after="0" w:line="187"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The unaudited condensed consolidated financial statements reflect the application of certain significant accounting policies as described below and elsewhere in these notes to the unaudited condensed consolidated financial statements. As of March 31, 2021, there have been no changes to the Company’s significant accounting policies as described in the Company’s Annual Report on Form 10-K for the fiscal year ended December 31, 2020.</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16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Significant estimates relied upon in preparing the unaudited condensed consolidated financial statements include the determination of the fair value of share-based awards issued and the estimation of accrued research and development expenses.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6"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 xml:space="preserve">Prior to the adoption of Accounting Standards Update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the measurement date for non-employee awards was generally the date the services are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6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Given the absence of an active market for the Company’s common stock prior to its initial public offering (“IPO”),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likelihood of achieving a liquidity event for the common stock underlying the stock-based awards, such as an IPO or sale of the Company, given prevailing market conditions.</w:t>
      </w:r>
    </w:p>
    <w:p>
      <w:pPr>
        <w:spacing w:after="0" w:line="21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2020, the Company determined the volatility for awards granted up through December 31, 2020 based on an analysis of reported data for a group of guideline companies that issued options with substantially similar terms. Beginning with options granted in 2021, the Company estimates its expected stock volatility using a weighted-average calculation based on the historical volatility of the Company and publicly traded peer companies and expects to continue to do so until such time as it has adequate historical data regarding the volatility of its own traded stock price. The expected volatility has been determined using a weighted-average of the historical volatility measures of this peer group of companies and began utilizing the Company’s historical volatility in fiscal year 2021.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(Topic 842) Leases,</w:t>
      </w:r>
      <w:r>
        <w:rPr>
          <w:rFonts w:ascii="Arial" w:cs="Arial" w:eastAsia="Arial" w:hAnsi="Arial"/>
          <w:sz w:val="16"/>
          <w:szCs w:val="16"/>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entities, ASU 2016-02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2022, and all interim periods thereafter. Early adoption is permitted. The Company is currently evaluating the impact that the adoption of ASU 2016-02 will have on its consolidated financial statements. Based on this evaluation the Company currently expects that its operating lease commitments will be subject to the new standard and recognized as right-of-use assets and operating lease liabilities upon adoption of this standard, which will increase the Company’s total assets and total liabilities.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or ASU 2016-13. ASU 2016-13 requires that credit losses be reported as an allowance using an expected losses model,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is currently evaluating the effects the adoption of ASU 2016-13 may have on its financial statements.</w:t>
      </w:r>
    </w:p>
    <w:p>
      <w:pPr>
        <w:spacing w:after="0" w:line="19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November 2019, the FASB issued ASU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or ASU 2019-11. ASU 2019-11 is an accounting pronouncement that amends ASU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The amendments update guidance on reporting credit losses for financial assets. These amendments affect loans,</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6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non-EGCs for fiscal years beginning after December 15, 2020 and interim periods within those fiscal years and will be effective for the Company for fiscal years beginning after December 15, 2021 and interim periods beginning after December 15, 2022, assuming the Company remains an EGC. Early adoption is permitted. The Company is currently evaluating the effects the adoption of ASU 2019-12 may have on its financial statements.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The University of Manchester</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As part of the agreement, the Company is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The next anticipated payment milestones under the MPSII License Agreement include $2,000, which would become due following the date of regulatory approval of the clinical trial application for the investigator-sponsored Phase 1/2 clinical trial sponsored by UoM, and $4,000, upon the dosing of the first patient in the investigator-sponsored Phase 1/2 clinical trial sponsored by UoM.</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ind w:right="440" w:firstLine="510"/>
        <w:spacing w:after="0" w:line="269" w:lineRule="auto"/>
        <w:rPr>
          <w:sz w:val="20"/>
          <w:szCs w:val="20"/>
          <w:color w:val="auto"/>
        </w:rPr>
      </w:pPr>
      <w:r>
        <w:rPr>
          <w:rFonts w:ascii="Arial" w:cs="Arial" w:eastAsia="Arial" w:hAnsi="Arial"/>
          <w:sz w:val="18"/>
          <w:szCs w:val="18"/>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estimated to equal approximately £9,100 in the aggregate.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2021 and March 31, 2020, the Company incurred no expenses related to the CRFA.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University Health Network (“UHN”)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For the three months ended March 31, 2021 and 2020, the Company recorded research and development expense related to this agreement with UHN of $44 and $0, respectively, which consists of reimbursable funded study trial costs. No milestone or maintenance fees were incurred related to this agreement in the three months ended March 31, 2021 and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 12 License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certain patent rights for the commercial development, manufacture, distribution and use of any products or processes resulting from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patent rights related to Interleukin 12. Upon execution of this agreement, the Company paid an upfront license fee of CAD $264. In addition, as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initial consideration for the license, the Company issued to UHN 1,161,665 shares of the Company’s common stock and agreed to pay UHN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upon the closing of an IPO if certain criteria are met. The fair value of the shares issued to UHN of $480 and the upfront fee was expensed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execution of the agreement. Upon the closing of the IPO in 2018, as the criteria were met, the Company paid UHN $2,000. The Company is also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pay UHN future annual license maintenance fees of CAD $50 on each anniversary of the effective date of the license agreement prior to expiration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and potential future milestone payments of up to CAD $19,275 upon the achievement of specified clinical and regulatory milestones.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also agreed to pay UHN royalties of a low single-digit percentage of net sales of licensed products sold by the Company. If the Company grants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sublicense rights under the license agreement, the Company has agreed to pay UHN a low double-digit royalty percentage of any sublicense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received by the Company.</w:t>
      </w:r>
    </w:p>
    <w:p>
      <w:pPr>
        <w:spacing w:after="0" w:line="21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6"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For the three months ended March 31, 2021 and 2020, the Company recorded research and development expense related to this agreement with UHN of $39 and $35, respectively, which consists of license maintenance fees. No milestone fees were incurred related to this agreement in the three months ended March 31, 2021 and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recognized no expenses related to the license for the three months ended March 31, 2021 and 2020.</w:t>
      </w:r>
    </w:p>
    <w:p>
      <w:pPr>
        <w:spacing w:after="0" w:line="22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recognized no research and development expenses related to milestone payments for the three months ended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recognized no expenses related to this agreement for the three months ended March 31, 2021 and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March 31, 2021 and December 31, 2020:</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9"/>
          </w:tcPr>
          <w:p>
            <w:pPr>
              <w:jc w:val="right"/>
              <w:ind w:right="107"/>
              <w:spacing w:after="0"/>
              <w:rPr>
                <w:sz w:val="20"/>
                <w:szCs w:val="20"/>
                <w:color w:val="auto"/>
              </w:rPr>
            </w:pPr>
            <w:r>
              <w:rPr>
                <w:rFonts w:ascii="Arial" w:cs="Arial" w:eastAsia="Arial" w:hAnsi="Arial"/>
                <w:sz w:val="14"/>
                <w:szCs w:val="14"/>
                <w:b w:val="1"/>
                <w:bCs w:val="1"/>
                <w:color w:val="auto"/>
              </w:rPr>
              <w:t>Fair Value Measurements as of March 31, 2021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76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Cash equivalents — 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231,651</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231,651</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231,651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231,651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jc w:val="right"/>
              <w:ind w:right="7"/>
              <w:spacing w:after="0"/>
              <w:rPr>
                <w:sz w:val="20"/>
                <w:szCs w:val="20"/>
                <w:color w:val="auto"/>
              </w:rPr>
            </w:pPr>
            <w:r>
              <w:rPr>
                <w:rFonts w:ascii="Arial" w:cs="Arial" w:eastAsia="Arial" w:hAnsi="Arial"/>
                <w:sz w:val="14"/>
                <w:szCs w:val="14"/>
                <w:b w:val="1"/>
                <w:bCs w:val="1"/>
                <w:color w:val="auto"/>
              </w:rPr>
              <w:t>Fair Value Measurements as of December 31, 2020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76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Cash equivalents — money market funds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44,416</w:t>
            </w:r>
          </w:p>
        </w:tc>
        <w:tc>
          <w:tcPr>
            <w:tcW w:w="100" w:type="dxa"/>
            <w:vAlign w:val="bottom"/>
            <w:tcBorders>
              <w:bottom w:val="single" w:sz="8" w:color="CFF0FC"/>
            </w:tcBorders>
          </w:tcPr>
          <w:p>
            <w:pPr>
              <w:spacing w:after="0"/>
              <w:rPr>
                <w:sz w:val="19"/>
                <w:szCs w:val="19"/>
                <w:color w:val="auto"/>
              </w:rPr>
            </w:pPr>
          </w:p>
        </w:tc>
      </w:tr>
      <w:tr>
        <w:trPr>
          <w:trHeight w:val="331"/>
        </w:trPr>
        <w:tc>
          <w:tcPr>
            <w:tcW w:w="5240" w:type="dxa"/>
            <w:vAlign w:val="bottom"/>
            <w:shd w:val="clear" w:color="auto" w:fill="CFF0FC"/>
          </w:tcPr>
          <w:p>
            <w:pPr>
              <w:spacing w:after="0"/>
              <w:rPr>
                <w:sz w:val="24"/>
                <w:szCs w:val="24"/>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44,416</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44,416</w:t>
            </w:r>
          </w:p>
        </w:tc>
        <w:tc>
          <w:tcPr>
            <w:tcW w:w="100" w:type="dxa"/>
            <w:vAlign w:val="bottom"/>
            <w:shd w:val="clear" w:color="auto" w:fill="CFF0FC"/>
          </w:tcPr>
          <w:p>
            <w:pPr>
              <w:spacing w:after="0"/>
              <w:rPr>
                <w:sz w:val="24"/>
                <w:szCs w:val="24"/>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cash equivalents was determined through quoted prices by third-party pricing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2021, there were no transfers between levels.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Tax incentive refund</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Prepaid research and development 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Prepaid compensation benefits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9,037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160" w:type="dxa"/>
            <w:vAlign w:val="bottom"/>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(2,712)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was $291 and $283 for the three months ended March 31, 2021 and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As of March 31, 2021 and December 31, 2020, the Company had restricted cash as presented in the table below, which consists of cash used to secure letters of credit for the benefit of the landlord in connection with the Company’s lease agreements. The cash will be restricted until the termination or modification of the lease arrangement.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240" w:type="dxa"/>
            <w:vAlign w:val="bottom"/>
            <w:tcBorders>
              <w:bottom w:val="single" w:sz="8" w:color="CFF0FC"/>
            </w:tcBorders>
          </w:tcPr>
          <w:p>
            <w:pPr>
              <w:spacing w:after="0"/>
              <w:rPr>
                <w:sz w:val="14"/>
                <w:szCs w:val="14"/>
                <w:color w:val="auto"/>
              </w:rPr>
            </w:pPr>
          </w:p>
        </w:tc>
        <w:tc>
          <w:tcPr>
            <w:tcW w:w="2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 costs</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240" w:type="dxa"/>
            <w:vAlign w:val="bottom"/>
            <w:shd w:val="clear" w:color="auto" w:fill="CFF0FC"/>
          </w:tcPr>
          <w:p>
            <w:pPr>
              <w:spacing w:after="0"/>
              <w:rPr>
                <w:sz w:val="20"/>
                <w:szCs w:val="20"/>
                <w:color w:val="auto"/>
              </w:rPr>
            </w:pP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4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CFF0FC"/>
              <w:bottom w:val="single" w:sz="8" w:color="CFF0FC"/>
            </w:tcBorders>
            <w:vMerge w:val="restart"/>
          </w:tcPr>
          <w:p>
            <w:pPr>
              <w:jc w:val="right"/>
              <w:ind w:right="125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three months ended March 31, 2021 and 2020 and to the best of the Company’s knowledge, no material legal proceedings are currently pending or threatened.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 xml:space="preserve">The Company is also party to various agreements, principally relating to licensed technology, that require future payments relating to milestones not met at March 31, 2021 and December 31, 2020, or royalties on future sales. No milestone or royalty payments under these agreements are expected to be payable in the immediate future, except as disclosed in Note 3 </w:t>
      </w:r>
      <w:r>
        <w:rPr>
          <w:rFonts w:ascii="Arial" w:cs="Arial" w:eastAsia="Arial" w:hAnsi="Arial"/>
          <w:sz w:val="18"/>
          <w:szCs w:val="18"/>
          <w:i w:val="1"/>
          <w:iCs w:val="1"/>
          <w:color w:val="auto"/>
        </w:rPr>
        <w:t>“License Agreements.”</w:t>
      </w:r>
    </w:p>
    <w:p>
      <w:pPr>
        <w:spacing w:after="0" w:line="184"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March 31, 2021.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ommon Stock</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As of March 31, 2021 and December 31, 2020, the authorized capital stock of the Company included 150,000,000 shares of common stock, $0.0001 par value and 10,000,000 shares of undesignated preferred stock. As of March 31, 2021 and December 31, 2020, no undesignated preferred stock was outstanding.</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no cash dividends have been declared or paid.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and December 31, 2020, the Company has reserved the following shares of common stock for future issuance: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7,663,046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5,559,545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2018 Stock Option</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Grant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3,433,617</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3,877,478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Shares reserved for issuance under the 2018 Employee Stock</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Purchase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1,178,590</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762,900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2019 Inducement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171,300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365,050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reserved for issuance under the 2020 Inducement Plan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1,700,000</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 future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14,147,608</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12,266,171</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jc w:val="right"/>
              <w:ind w:right="1310"/>
              <w:spacing w:after="0"/>
              <w:rPr>
                <w:sz w:val="20"/>
                <w:szCs w:val="20"/>
                <w:color w:val="auto"/>
              </w:rPr>
            </w:pPr>
            <w:r>
              <w:rPr>
                <w:rFonts w:ascii="Arial" w:cs="Arial" w:eastAsia="Arial" w:hAnsi="Arial"/>
                <w:sz w:val="18"/>
                <w:szCs w:val="18"/>
                <w:color w:val="auto"/>
              </w:rPr>
              <w:t>13</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1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of directors were as follows, presented on a weighted-average basis:</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6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26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0.96%</w:t>
            </w: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80.67%</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75.49%</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three months ended March 31,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5,559,545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2,359,416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(196,872)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(59,043)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March 31,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7,663,046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as of March 31, 2021</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2,254,165</w:t>
            </w: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intrinsic value of options exercised during the three months ended March 31, 2021 and 2020 was $1,729 and $133, respectively.</w:t>
      </w:r>
    </w:p>
    <w:p>
      <w:pPr>
        <w:spacing w:after="0" w:line="24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three months ended March 31, 2021 and 2020 was $10.69 and $13.68,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units for the three months ended March 31, 2021:</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March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4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The total fair value of restricted stock units vested during the three months ended March 31, 2021 and 2020 was $2 and $15, respectively.</w:t>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 w:name="page21"/>
    <w:bookmarkEnd w:id="2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4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r>
      <w:tr>
        <w:trPr>
          <w:trHeight w:val="223"/>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300" w:type="dxa"/>
            <w:vAlign w:val="bottom"/>
            <w:shd w:val="clear" w:color="auto" w:fill="CFF0FC"/>
          </w:tcPr>
          <w:p>
            <w:pPr>
              <w:spacing w:after="0"/>
              <w:rPr>
                <w:sz w:val="19"/>
                <w:szCs w:val="19"/>
                <w:color w:val="auto"/>
              </w:rPr>
            </w:pPr>
          </w:p>
        </w:tc>
      </w:tr>
      <w:tr>
        <w:trPr>
          <w:trHeight w:val="229"/>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300" w:type="dxa"/>
            <w:vAlign w:val="bottom"/>
            <w:tcBorders>
              <w:bottom w:val="single" w:sz="8" w:color="CFF0FC"/>
            </w:tcBorders>
          </w:tcPr>
          <w:p>
            <w:pPr>
              <w:spacing w:after="0"/>
              <w:rPr>
                <w:sz w:val="19"/>
                <w:szCs w:val="19"/>
                <w:color w:val="auto"/>
              </w:rPr>
            </w:pPr>
          </w:p>
        </w:tc>
      </w:tr>
      <w:tr>
        <w:trPr>
          <w:trHeight w:val="223"/>
        </w:trPr>
        <w:tc>
          <w:tcPr>
            <w:tcW w:w="7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300" w:type="dxa"/>
            <w:vAlign w:val="bottom"/>
            <w:tcBorders>
              <w:bottom w:val="single" w:sz="8" w:color="CFF0FC"/>
            </w:tcBorders>
            <w:shd w:val="clear" w:color="auto" w:fill="CFF0FC"/>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As of March 31, 2021, total unrecognized compensation cost related to the unvested stock-based awards was $56,945, which is expected to be recognized over a weighted-average period of 3.23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is the same.</w:t>
      </w:r>
    </w:p>
    <w:p>
      <w:pPr>
        <w:spacing w:after="0" w:line="16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for the periods indicated:</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4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7,663,046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5,310,482</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21,798</w:t>
            </w:r>
          </w:p>
        </w:tc>
        <w:tc>
          <w:tcPr>
            <w:tcW w:w="80" w:type="dxa"/>
            <w:vAlign w:val="bottom"/>
          </w:tcPr>
          <w:p>
            <w:pPr>
              <w:spacing w:after="0"/>
              <w:rPr>
                <w:sz w:val="20"/>
                <w:szCs w:val="20"/>
                <w:color w:val="auto"/>
              </w:rPr>
            </w:pPr>
          </w:p>
        </w:tc>
      </w:tr>
    </w:tbl>
    <w:p>
      <w:pPr>
        <w:spacing w:after="0" w:line="305"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4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225" w:lineRule="exact"/>
        <w:rPr>
          <w:sz w:val="20"/>
          <w:szCs w:val="20"/>
          <w:color w:val="auto"/>
        </w:rPr>
      </w:pPr>
    </w:p>
    <w:p>
      <w:pPr>
        <w:ind w:right="260" w:firstLine="510"/>
        <w:spacing w:after="0" w:line="377" w:lineRule="auto"/>
        <w:rPr>
          <w:sz w:val="20"/>
          <w:szCs w:val="20"/>
          <w:color w:val="auto"/>
        </w:rPr>
      </w:pPr>
      <w:r>
        <w:rPr>
          <w:rFonts w:ascii="Arial" w:cs="Arial" w:eastAsia="Arial" w:hAnsi="Arial"/>
          <w:sz w:val="16"/>
          <w:szCs w:val="16"/>
          <w:color w:val="auto"/>
        </w:rPr>
        <w:t>For the three months ended March 31, 2021 and 2020, the Company recognized $39 and $35, respectively, of research and development expense related to the license agreements with UHN. Refer to Note 3 “</w:t>
      </w:r>
      <w:r>
        <w:rPr>
          <w:rFonts w:ascii="Arial" w:cs="Arial" w:eastAsia="Arial" w:hAnsi="Arial"/>
          <w:sz w:val="16"/>
          <w:szCs w:val="16"/>
          <w:i w:val="1"/>
          <w:iCs w:val="1"/>
          <w:color w:val="auto"/>
        </w:rPr>
        <w:t>License Agreements</w:t>
      </w:r>
      <w:r>
        <w:rPr>
          <w:rFonts w:ascii="Arial" w:cs="Arial" w:eastAsia="Arial" w:hAnsi="Arial"/>
          <w:sz w:val="16"/>
          <w:szCs w:val="16"/>
          <w:color w:val="auto"/>
        </w:rPr>
        <w:t>” for additional information regarding the UHN license agreements.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For the three months ended March 31, 2021 and 2020, the Company recorded expenses of $641 and $360, respectively, related to a sublease to rent lab space, provided by an entity affiliated with a member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2020 included in our Annual Report on Form 10-K for the year ended December 31, 2020.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2020, as supplemented by our subsequent filings with the SEC.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$4.8 billion in worldwide net sales in 2020.</w:t>
      </w:r>
    </w:p>
    <w:p>
      <w:pPr>
        <w:spacing w:after="0" w:line="178"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initial pipeline is comprised of six lentiviral-based gene therapy programs: AVR-RD-01 for the treatment of Fabry disease; AVR-RD-04 for the treatment of cystinosis; AVR-RD-02 for the treatment of Gaucher disease type 1; AVR-RD-05 for the treatment of Hunter syndrome; AVR-RD-06 for the treatment of Gaucher disease type 3; and AVR-RD-03 for the treatment of Pompe disease. AVR-RD-01 is currently being evaluated for the treatment of Fabry disease in an investigator-sponsored Phase 1 clinical trial and a Company-sponsored Phase 2 clinical trial. Five patients have been dosed in the investigator-sponsored Phase 1 clinical trial of AVR-RD-01, and enrollment is complete. Seven patients have been dosed in our Company-sponsored Phase 2 clinical trial of AVR-RD-01, which we refer to as the FAB-GT clinical trial, and we are actively recruiting additional potential patients for our currently active sites in Australia, Canada and the United States. AVR-RD-04 is currently being studied for the treatment of cystinosis by our collaborators at the University of California, San Diego, or UCSD, in a Phase 1/2 investigator-sponsored clinical trial, and three patients have been dosed. One patient has been dosed in our Company-sponsored Phase 1/2 clinical trial of AVR-RD-02 for the treatment of Gaucher disease type 1, which we refer to as the Guard1 clinical trial, and we are actively recruiting in Australia and Canada, with additional sites planned in the United States, Israel and Europe. AVR-RD-05 is being studied for the treatment of Hunter syndrome by our collaborators at The University of Manchester, and a Phase 1/2 investigator-sponsored clinical trial is expected to commence in the first half of 2022. AVR-RD-06 is our preclinical program for the treatment of Gaucher disease type 3, for which we expect to request a meeting with the Food and Drug Administration, or FDA, this year to discuss a potential path to the clinic. Our AVR-RD-03 program for Pompe disease is currently in preclinical development, and in 2020 we completed IND-enabling proof-of-concept preclinical studies, with toxicology studies expected to be completed in 2021. We currently expect to have dosed an aggregate of 20 to 25 patients across our pipeline by the end of 2021.</w:t>
      </w:r>
    </w:p>
    <w:p>
      <w:pPr>
        <w:spacing w:after="0" w:line="167"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March 31, 2021,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and gross cash proceeds, before deducting commissions and expenses, of $8.5 million from sales of our common stock through our “at-the-market” (ATM) facility.</w:t>
      </w:r>
    </w:p>
    <w:p>
      <w:pPr>
        <w:spacing w:after="0" w:line="166"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$26.9 million and $26.0 million for the three months ended March 31, 2021 and 2020, respectively. As of March 31, 2021, we had an accumulated deficit of $291.3 million. We expect to continue to incur significant expenses for at least the next several years as we advance our current and future product candidates from discovery through preclinical development and clinical trials and seek regulatory approval of our product candidates. We have expanded the number of programs in our pipeline to a total of six investigational gene therapies, three of which are currently in clinical development. As a result, further development of these programs will require us to expend significant resources to advance these candidates. In addition, if we obtain marketing approval for any of our product candidates, we expect to incur significant commercialization expenses related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right="300"/>
        <w:spacing w:after="0" w:line="277" w:lineRule="auto"/>
        <w:rPr>
          <w:sz w:val="20"/>
          <w:szCs w:val="20"/>
          <w:color w:val="auto"/>
        </w:rPr>
      </w:pPr>
      <w:r>
        <w:rPr>
          <w:rFonts w:ascii="Arial" w:cs="Arial" w:eastAsia="Arial" w:hAnsi="Arial"/>
          <w:sz w:val="18"/>
          <w:szCs w:val="18"/>
          <w:color w:val="auto"/>
        </w:rPr>
        <w:t>to product manufacturing, marketing, sales and distribution. We may also incur expenses in connection with the in-licensing or acquisition of additional product candidates.</w:t>
      </w:r>
    </w:p>
    <w:p>
      <w:pPr>
        <w:spacing w:after="0" w:line="170"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follow-on offerings and sales of common stock under our “at-the-market” facility, or ATM.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6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As of March 31, 2021, we had cash and cash equivalents of $233.0 million. We believe that our existing cash and cash equivalents as of March 31, 2021 will enable us to fund our operating expenses and capital expenditure requirements into the first quarter of 2023.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AVR-RD-01 (Fabry) Regulatory Update</w:t>
      </w:r>
    </w:p>
    <w:p>
      <w:pPr>
        <w:spacing w:after="0" w:line="117" w:lineRule="exact"/>
        <w:rPr>
          <w:sz w:val="20"/>
          <w:szCs w:val="20"/>
          <w:color w:val="auto"/>
        </w:rPr>
      </w:pPr>
    </w:p>
    <w:p>
      <w:pPr>
        <w:ind w:right="140" w:firstLine="749"/>
        <w:spacing w:after="0" w:line="271" w:lineRule="auto"/>
        <w:rPr>
          <w:sz w:val="20"/>
          <w:szCs w:val="20"/>
          <w:color w:val="auto"/>
        </w:rPr>
      </w:pPr>
      <w:r>
        <w:rPr>
          <w:rFonts w:ascii="Arial" w:cs="Arial" w:eastAsia="Arial" w:hAnsi="Arial"/>
          <w:sz w:val="17"/>
          <w:szCs w:val="17"/>
          <w:color w:val="auto"/>
        </w:rPr>
        <w:t>On March 11, 2021, approximately three weeks before our End-of-Phase 1 meeting for AVR-RD-01 held on March 31, 2021, the FDA granted full (also referred to as traditional) approval of Fabrazyme</w:t>
      </w:r>
      <w:r>
        <w:rPr>
          <w:rFonts w:ascii="Arial" w:cs="Arial" w:eastAsia="Arial" w:hAnsi="Arial"/>
          <w:sz w:val="14"/>
          <w:szCs w:val="14"/>
          <w:color w:val="auto"/>
        </w:rPr>
        <w:t>®</w:t>
      </w:r>
      <w:r>
        <w:rPr>
          <w:rFonts w:ascii="Arial" w:cs="Arial" w:eastAsia="Arial" w:hAnsi="Arial"/>
          <w:sz w:val="17"/>
          <w:szCs w:val="17"/>
          <w:color w:val="auto"/>
        </w:rPr>
        <w:t xml:space="preserve"> (agalsidase beta) more than 18 years after the enzyme replacement therapy, or ERT, received accelerated approval on the basis of a surrogate endpoint: reduction of globotriaosylceramide, or GL-3 (also referred to as Gb3), inclusions in biopsied renal peritubular capillaries, or PTCs. We believe the conversion of Fabrazyme to full approval opens a new pathway for potential full approval of ERTs based on this surrogate endpoint, rather than the endpoint of estimated glomerular filtration rate, or eGFR, which would typically require a longer study period. In addition, the conversion to full approval limits the accelerated approval pathways available for new therapies to treat Fabry disease, which must now show therapeutic benefit over Fabrazyme, such as for an unmet need, on a surrogate endpoint. Reduction of GL-3 in PTCs is the only surrogate endpoint that has been accepted as a basis for approval for Fabry ERTs at this time.</w:t>
      </w:r>
    </w:p>
    <w:p>
      <w:pPr>
        <w:spacing w:after="0" w:line="1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As a result of the Fabrazyme full approval, together with the FDA’s feedback on our original proposed trial design, we cannot pursue an accelerated approval pathway for AVR-RD-01 with the FAB-GT Phase 2 trial as designed and submitted to the FDA in our briefing book for our End-of-Phase 1 meeting. Instead, we believe there is a new potential regulatory pathway to full approval of AVR-RD-01 with a single registration trial using a kidney biopsy endpoint, similar to the primary endpoint of our ongoing FAB-GT trial. Although we have not discussed this proposed trial design with the FDA, we intend to engage with the FDA in the second half of 2021 to discuss and obtain alignment on our revised approach. While FDA guidance provides that the acceptability of surrogate endpoints is determined on a case-by-case basis, and a particular surrogate endpoint that may be appropriate for use in a particular drug or biologic clinical development program should not be assumed to be appropriate for use in a different program that is in a different clinical setting, we believe the recent full approval of Fabrazyme on the basis of a surrogate endpoint of complete/near complete reduction of GL-3 inclusions in biopsied renal PTCs may potentially support use of this endpoint in a registration trial of AVR-RD-01. Subject to FDA review and feedback, we intend to conduct a single, head-to-head potential registration trial versus Fabrazyme using a kidney biopsy surrogate endpoint, with the goal of initiating the clinical trial in mid-2022. We plan to propose to the FDA that such registration trial have a scope, size and duration comparable to other gene therapy trials.</w:t>
      </w:r>
    </w:p>
    <w:p>
      <w:pPr>
        <w:spacing w:after="0" w:line="17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addition, based on feedback provided by the FDA during our End-of-Phase 1 meeting, we plan to request a Type C meeting with the FDA for the second half of 2021 to discuss chemistry, manufacturing and controls, or CMC, information with respect to AVR-RD-01 that would support initiation of the registration trial we are planning along with a potential BLA submission in the future. In parallel, we intend to seek scientific advice from the European Medicines Agency, or EMA, on the planned registration trial of AVR-RD-01.</w:t>
      </w:r>
    </w:p>
    <w:p>
      <w:pPr>
        <w:spacing w:after="0" w:line="187"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As of May 6, 2021, we have dosed seven patients in the FAB-GT trial, with additional participants currently enrolled. To support the potential use of AVR-RD-01 in a broad Fabry disease population, we plan to amend the FAB-GT trial protocol in the second quarter of 2021 to allow enrollment of female participants, eliminate antibody-status exclusions and add the collection of data on additional parameters that are recognized to be limitations of ERT, such as endpoints to assess the potential ability of AVR-RD-01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260"/>
        <w:spacing w:after="0" w:line="277" w:lineRule="auto"/>
        <w:rPr>
          <w:sz w:val="20"/>
          <w:szCs w:val="20"/>
          <w:color w:val="auto"/>
        </w:rPr>
      </w:pPr>
      <w:r>
        <w:rPr>
          <w:rFonts w:ascii="Arial" w:cs="Arial" w:eastAsia="Arial" w:hAnsi="Arial"/>
          <w:sz w:val="18"/>
          <w:szCs w:val="18"/>
          <w:color w:val="auto"/>
        </w:rPr>
        <w:t>to address cardiovascular and central nervous system manifestations. Upon amendment, we plan to enroll a total of up to 14 participants in the FAB-GT trial.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31" w:lineRule="exact"/>
        <w:rPr>
          <w:sz w:val="20"/>
          <w:szCs w:val="20"/>
          <w:color w:val="auto"/>
        </w:rPr>
      </w:pPr>
    </w:p>
    <w:p>
      <w:pPr>
        <w:ind w:right="40" w:firstLine="749"/>
        <w:spacing w:after="0" w:line="284" w:lineRule="auto"/>
        <w:rPr>
          <w:sz w:val="20"/>
          <w:szCs w:val="20"/>
          <w:color w:val="auto"/>
        </w:rPr>
      </w:pPr>
      <w:r>
        <w:rPr>
          <w:rFonts w:ascii="Arial" w:cs="Arial" w:eastAsia="Arial" w:hAnsi="Arial"/>
          <w:sz w:val="16"/>
          <w:szCs w:val="16"/>
          <w:color w:val="auto"/>
        </w:rPr>
        <w:t>As the global healthcare community responded to the COVID-19 pandemic, in 2020 many hospitals, including our clinical sites, temporarily paused elective medical procedures, including dosing of new patients in clinical trials of our investigational gene therapies. While dosing of new patients and data collection from enrolled patients have begun to resume at clinical sites, the extent to which clinical activities continue to be delayed or interrupted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 We have continued our work-from-home policy for most employees, excluding our laboratory staff and a limited number of non-laboratory employees. For those employees, we have implemented safety measures designed to comply with applicable federal, state and local guidelines in response to the COVID-</w:t>
      </w:r>
    </w:p>
    <w:p>
      <w:pPr>
        <w:spacing w:after="0" w:line="2"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19 pandemic. We may be required to take additional actions that impact our operations as required by applicable laws or regulations, or which we determine to be in the best interests of our employees.</w:t>
      </w:r>
    </w:p>
    <w:p>
      <w:pPr>
        <w:spacing w:after="0" w:line="185"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We continue to closely monitor this rapidly evolving situation and the potential impact on our Company. For additional information regarding the impact of the COVID-19 pandemic on our business, please see the section titled “Risk Factors” in Part II, Section 1.A of this Quarterly Report.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Updates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19, 2021, we announced the appointment of Diana M. Escolar, M.D., FAAN, as our Chief Medical Officer.</w:t>
      </w:r>
    </w:p>
    <w:p>
      <w:pPr>
        <w:spacing w:after="0" w:line="225"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On February 8, 2021, we announced new data from our clinical trials of AVR-RD-01 for the treatment of Fabry disease, AVR-RD-01 for the treatment of Gaucher disease type 1 and AVR-RD-04 for the treatment of cystinosis. We presented these data virtually at the 17th annual WORLD</w:t>
      </w:r>
      <w:r>
        <w:rPr>
          <w:rFonts w:ascii="Arial" w:cs="Arial" w:eastAsia="Arial" w:hAnsi="Arial"/>
          <w:sz w:val="18"/>
          <w:szCs w:val="18"/>
          <w:i w:val="1"/>
          <w:iCs w:val="1"/>
          <w:color w:val="auto"/>
        </w:rPr>
        <w:t>Symposium</w:t>
      </w:r>
      <w:r>
        <w:rPr>
          <w:rFonts w:ascii="Arial" w:cs="Arial" w:eastAsia="Arial" w:hAnsi="Arial"/>
          <w:sz w:val="18"/>
          <w:szCs w:val="18"/>
          <w:color w:val="auto"/>
        </w:rPr>
        <w:t>™, held the week of February 8, 2021.</w:t>
      </w:r>
    </w:p>
    <w:p>
      <w:pPr>
        <w:spacing w:after="0" w:line="184"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On February 25, 2021, we announced that the European Commission has granted orphan drug designation for AVR-RD-04 for the treatment of cystinosis.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6"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44" w:lineRule="exact"/>
        <w:rPr>
          <w:rFonts w:ascii="Arial" w:cs="Arial" w:eastAsia="Arial" w:hAnsi="Arial"/>
          <w:sz w:val="18"/>
          <w:szCs w:val="18"/>
          <w:color w:val="auto"/>
        </w:rPr>
      </w:pPr>
    </w:p>
    <w:p>
      <w:pPr>
        <w:ind w:left="880" w:hanging="373"/>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880" w:right="4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62" w:lineRule="exact"/>
        <w:rPr>
          <w:rFonts w:ascii="Arial" w:cs="Arial" w:eastAsia="Arial" w:hAnsi="Arial"/>
          <w:sz w:val="18"/>
          <w:szCs w:val="18"/>
          <w:color w:val="auto"/>
        </w:rPr>
      </w:pPr>
    </w:p>
    <w:p>
      <w:pPr>
        <w:ind w:left="880" w:hanging="373"/>
        <w:spacing w:after="0" w:line="207" w:lineRule="exact"/>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our preclinical activities;</w:t>
      </w:r>
    </w:p>
    <w:p>
      <w:pPr>
        <w:spacing w:after="0" w:line="144"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5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4" w:name="page25"/>
    <w:bookmarkEnd w:id="24"/>
    <w:p>
      <w:pPr>
        <w:ind w:right="280" w:firstLine="510"/>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our research and development expenses related to our product candidates (in thousands):</w:t>
      </w:r>
    </w:p>
    <w:p>
      <w:pPr>
        <w:spacing w:after="0" w:line="230"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Three Months Ended</w:t>
      </w:r>
    </w:p>
    <w:p>
      <w:pPr>
        <w:jc w:val="center"/>
        <w:ind w:left="6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5"/>
        </w:trPr>
        <w:tc>
          <w:tcPr>
            <w:tcW w:w="510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FF0FC"/>
            </w:tcBorders>
          </w:tcPr>
          <w:p>
            <w:pPr>
              <w:spacing w:after="0"/>
              <w:rPr>
                <w:sz w:val="13"/>
                <w:szCs w:val="13"/>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16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3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Gaucher</w:t>
            </w:r>
          </w:p>
        </w:tc>
        <w:tc>
          <w:tcPr>
            <w:tcW w:w="1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2,305</w:t>
            </w:r>
          </w:p>
        </w:tc>
        <w:tc>
          <w:tcPr>
            <w:tcW w:w="3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16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38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Cystinosis</w:t>
            </w:r>
          </w:p>
        </w:tc>
        <w:tc>
          <w:tcPr>
            <w:tcW w:w="1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w:t>
            </w:r>
          </w:p>
        </w:tc>
        <w:tc>
          <w:tcPr>
            <w:tcW w:w="3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Hunter</w:t>
            </w:r>
          </w:p>
        </w:tc>
        <w:tc>
          <w:tcPr>
            <w:tcW w:w="16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Other research activities</w:t>
            </w:r>
          </w:p>
        </w:tc>
        <w:tc>
          <w:tcPr>
            <w:tcW w:w="1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2,206</w:t>
            </w:r>
          </w:p>
        </w:tc>
        <w:tc>
          <w:tcPr>
            <w:tcW w:w="380" w:type="dxa"/>
            <w:vAlign w:val="bottom"/>
          </w:tcPr>
          <w:p>
            <w:pPr>
              <w:spacing w:after="0"/>
              <w:rPr>
                <w:sz w:val="19"/>
                <w:szCs w:val="19"/>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16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13,903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10,790</w:t>
            </w:r>
          </w:p>
        </w:tc>
        <w:tc>
          <w:tcPr>
            <w:tcW w:w="380" w:type="dxa"/>
            <w:vAlign w:val="bottom"/>
            <w:shd w:val="clear" w:color="auto" w:fill="CFF0FC"/>
          </w:tcPr>
          <w:p>
            <w:pPr>
              <w:spacing w:after="0"/>
              <w:rPr>
                <w:sz w:val="19"/>
                <w:szCs w:val="19"/>
                <w:color w:val="auto"/>
              </w:rPr>
            </w:pPr>
          </w:p>
        </w:tc>
      </w:tr>
      <w:tr>
        <w:trPr>
          <w:trHeight w:val="223"/>
        </w:trPr>
        <w:tc>
          <w:tcPr>
            <w:tcW w:w="510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60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18,527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18,274</w:t>
            </w:r>
          </w:p>
        </w:tc>
        <w:tc>
          <w:tcPr>
            <w:tcW w:w="38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the COVID-19 pandemic on our preclinical development activities, clinical trials and other research and development activities;</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5" w:name="page26"/>
    <w:bookmarkEnd w:id="25"/>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52"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(expense) income, net primarily consists of interest income earned on our cash and cash equivalents and changes in foreign currency.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8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18,527</w:t>
            </w:r>
          </w:p>
        </w:tc>
        <w:tc>
          <w:tcPr>
            <w:tcW w:w="12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18,274</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(expense) income:</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(expense) income, net</w:t>
            </w:r>
          </w:p>
        </w:tc>
        <w:tc>
          <w:tcPr>
            <w:tcW w:w="16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60" w:type="dxa"/>
            <w:vAlign w:val="bottom"/>
            <w:vMerge w:val="restart"/>
          </w:tcPr>
          <w:p>
            <w:pPr>
              <w:jc w:val="right"/>
              <w:ind w:right="63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Research and development expenses increased by approximately $0.3 million to $18.5 million for the three months ended March 31, 2021, from $18.3 million for the three months ended March 31, 2020. This increase was attributable to increased program development activities related to the advancement of our pipeline programs, including a $1.8 million increase in personnel-related costs, a $0.8 million increase in consulting fees, a $0.7 million increase in non-cash stock-based compensation and a $0.6 million increase in clinical costs. These increases were partially offset by a $2.1 million decrease in manufacturing costs and a $1.4 million decrease in preclinical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General and administrative expenses were $8.4 million for the three months ended March 31, 2021, compared to $8.3 million for the three months ended March 31, 2020. The increase of $0.1 million was attributable to an increase of $1.1 million in personnel-related costs and a $1.1 million increase in non-cash stock-based compensation, offset by a decrease of $1.1 million in consulting costs and a decrease in other expenses, primarily related to facilities costs, professional fees and legal fees, of $1.0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Other (expense), net, was less than $0.1 million for the three months ended March 31, 2021, which primarily consists of foreign currency losses recognized during the period, compared to other income, net of $0.6 million for the three months ended March 31, 2020. The decrease was primarily a result of lower yields on our money market funds.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280" w:lineRule="auto"/>
        <w:rPr>
          <w:sz w:val="20"/>
          <w:szCs w:val="20"/>
          <w:color w:val="auto"/>
        </w:rPr>
      </w:pPr>
      <w:r>
        <w:rPr>
          <w:rFonts w:ascii="Arial" w:cs="Arial" w:eastAsia="Arial" w:hAnsi="Arial"/>
          <w:sz w:val="17"/>
          <w:szCs w:val="17"/>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subsequent follow-on offerings and our “at-the-market” facility, or ATM facility. Through March 31, 2021,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and gross cash proceeds, before deducting commissions and expenses, of $8.5 million from sales of our common stock under our ATM facility.</w:t>
      </w:r>
    </w:p>
    <w:p>
      <w:pPr>
        <w:spacing w:after="0" w:line="171"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w:t>
      </w:r>
    </w:p>
    <w:p>
      <w:pPr>
        <w:spacing w:after="0" w:line="15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4"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offering expenses payable by us, were $129.5 million.</w:t>
      </w:r>
    </w:p>
    <w:p>
      <w:pPr>
        <w:spacing w:after="0" w:line="15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In February 2020, we closed an underwritten public offering, or the February 2020 Follow-On Offering, under the December 2019 Shelf of 4,350,000 shares of our common stock at a public offering price of $23.00 per share, less underwriting discounts and commissions. The net proceeds to us from this offering, after deducting underwriting discounts and commissions and other offering expenses payable by us, were $93.6 million.</w:t>
      </w:r>
    </w:p>
    <w:p>
      <w:pPr>
        <w:spacing w:after="0" w:line="149"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June 2020, we sold an aggregate of 384,140 shares of common stock under the ATM Facility for net proceeds, after deducting commissions and other offering expenses payable by us, of $8.1 million. As of December 31, 2020, approximately $41.5 million of common stock remained available for future issuance under the ATM Facility.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ind w:right="20" w:firstLine="510"/>
        <w:spacing w:after="0" w:line="286" w:lineRule="auto"/>
        <w:rPr>
          <w:sz w:val="20"/>
          <w:szCs w:val="20"/>
          <w:color w:val="auto"/>
        </w:rPr>
      </w:pPr>
      <w:r>
        <w:rPr>
          <w:rFonts w:ascii="Arial" w:cs="Arial" w:eastAsia="Arial" w:hAnsi="Arial"/>
          <w:sz w:val="17"/>
          <w:szCs w:val="17"/>
          <w:color w:val="auto"/>
        </w:rPr>
        <w:t>In November 2020, we closed an underwritten public offering, or the November 2020 Follow-On Offering, of 5,000,000 shares of our common stock at a public offering price of $15.00 per share, less underwriting discounts and commissions. The net proceeds to us from the November 2020 Follow-On Offering, after deducting underwriting discounts and commissions and other offering expenses payable by us, were $70.2 million.</w:t>
      </w:r>
    </w:p>
    <w:p>
      <w:pPr>
        <w:spacing w:after="0" w:line="16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As of March 31, 2021, we had cash and cash equivalents of $233.0 million. Cash in excess of immediate requirements is invested primarily with a view to liquidity and capital preservation. We believe that our existing cash and cash equivalents as of March 31, 2021 will enable us to fund our operating expenses and capital expenditure requirements into the first quarter of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30"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jc w:val="center"/>
        <w:ind w:left="52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93,663</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70,652</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During the three months ended March 31, 2021, operating activities used $27.3 million of cash, cash equivalents and restricted cash, resulting from our net loss of $26.9 million and cash used by changes in our operating assets and liabilities of $5.3 million partially offset by non-cash charges of $4.9 million. The net changes in our operating assets and liabilities were primarily due to a decrease in accrued expenses and other liabilities of $3.8 million and a $1.5 million increase in prepaids and other current assets. The non-cash charges primarily included $4.6 million of stock-based compensation expense and $0.3 million of depreciation and amortization expense.</w:t>
      </w:r>
    </w:p>
    <w:p>
      <w:pPr>
        <w:spacing w:after="0" w:line="296"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During the three months ended March 31, 2020, operating activities used $22.4 million of cash, cash equivalents and restricted cash, resulting from our net loss of $26.0 million partially offset by cash provided by changes in our operating assets and liabilities of $0.5 million and non-cash charges of $3.1 million. The net changes in our operating assets and liabilities were primarily due to decreases in prepaid expenses and other current assets of $1.0 million due to ongoing preclinical, manufacturing, and clinical trial efforts, a decrease in other assets of $0.3 million and an increase in accrued expenses and other liabilities of $0.6 million, partially offset by a decrease in accounts payable of $1.4 million. The non-cash charges primarily included $2.8 million of stock-based compensation expense and $0.3 million of depreciation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Net cash used in investing activities was $0.1 million for the three months ended March 31, 2021 compared to $0.6 million for the three months ended March 31, 2020. The decrease in cash used in investing activities was primarily due to a reduction in purchases of property and equipment.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Net cash provided by financing activities was $0.8 million for the three months ended March 31, 2021 compared to $93.7 million for the three months ended March 31, 2020. The decrease in cash provided by financing activities was primarily due to the proceeds of $93.6 million raised from the February Follow-On Offering in the comparative period, partially offset an increase of $0.8 million in proceeds from exercises of stock options.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Notwithstanding the impact of the evolving COVID-19 pandemic on our company and the global economy generally, we expect our expenses to increase substantially in connection with our ongoing activities, particularly as we advance the preclinical activities and clinical trials of our product candidates. Our expenses will also increase as we:</w:t>
      </w:r>
    </w:p>
    <w:p>
      <w:pPr>
        <w:spacing w:after="0" w:line="76" w:lineRule="exact"/>
        <w:rPr>
          <w:sz w:val="20"/>
          <w:szCs w:val="20"/>
          <w:color w:val="auto"/>
        </w:rPr>
      </w:pPr>
    </w:p>
    <w:p>
      <w:pPr>
        <w:ind w:left="880" w:right="6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the ongoing investigator-sponsored clinical trial of AVR-RD-04 and our ongoing clinical trial of AVR-RD-02;</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encounter delays or interruptions in our preclinical studies, clinical trials, or supply chain as a result of the COVID-19 pandemic;</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44"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44"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52"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believe that our $233.0 million of existing cash and cash equivalents as of March 31, 2021 will enable us to fund our operating expenses and capital expenditure requirements into the first quarter of 2023.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2020, filed with the SEC on March 18, 2021. There have been no significant changes to the table contained therein as of March 31,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ind w:right="20"/>
        <w:spacing w:after="0" w:line="296" w:lineRule="auto"/>
        <w:rPr>
          <w:sz w:val="20"/>
          <w:szCs w:val="20"/>
          <w:color w:val="auto"/>
        </w:rPr>
      </w:pPr>
      <w:r>
        <w:rPr>
          <w:rFonts w:ascii="Arial" w:cs="Arial" w:eastAsia="Arial" w:hAnsi="Arial"/>
          <w:sz w:val="16"/>
          <w:szCs w:val="16"/>
          <w:color w:val="auto"/>
        </w:rPr>
        <w:t>Our actual results may differ from these estimates under different assumptions or conditions. During the three months ended March 31, 2021,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2020, which was filed with the SEC on March 18, 2021, and the notes to the consolidated financial statements included in Item 1, “</w:t>
      </w:r>
      <w:r>
        <w:rPr>
          <w:rFonts w:ascii="Arial" w:cs="Arial" w:eastAsia="Arial" w:hAnsi="Arial"/>
          <w:sz w:val="16"/>
          <w:szCs w:val="16"/>
          <w:i w:val="1"/>
          <w:iCs w:val="1"/>
          <w:color w:val="auto"/>
        </w:rPr>
        <w:t>Condensed Consolidated Unaudited Financial Statements</w:t>
      </w:r>
      <w:r>
        <w:rPr>
          <w:rFonts w:ascii="Arial" w:cs="Arial" w:eastAsia="Arial" w:hAnsi="Arial"/>
          <w:sz w:val="16"/>
          <w:szCs w:val="16"/>
          <w:color w:val="auto"/>
        </w:rPr>
        <w:t>,” of this Quarterly Report on Form 10-Q.</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20" w:firstLine="510"/>
        <w:spacing w:after="0" w:line="277" w:lineRule="auto"/>
        <w:rPr>
          <w:sz w:val="20"/>
          <w:szCs w:val="20"/>
          <w:color w:val="auto"/>
        </w:rPr>
      </w:pPr>
      <w:r>
        <w:rPr>
          <w:rFonts w:ascii="Arial" w:cs="Arial" w:eastAsia="Arial" w:hAnsi="Arial"/>
          <w:sz w:val="18"/>
          <w:szCs w:val="18"/>
          <w:color w:val="auto"/>
        </w:rPr>
        <w:t>As of March 31, 2021, we did not have any significant off-balance sheet arrangements, as defined in Item 303(a)(4)(ii) of Regulation S-K promulgated under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 xml:space="preserve">A description of recently issued accounting pronouncements that may potentially impact our financial position and results of operations is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at the beginning of this Quarterly Report on Form 10-Q.</w:t>
      </w:r>
    </w:p>
    <w:p>
      <w:pPr>
        <w:spacing w:after="0" w:line="2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20" w:firstLine="510"/>
        <w:spacing w:after="0" w:line="301" w:lineRule="auto"/>
        <w:rPr>
          <w:sz w:val="20"/>
          <w:szCs w:val="20"/>
          <w:color w:val="auto"/>
        </w:rPr>
      </w:pPr>
      <w:r>
        <w:rPr>
          <w:rFonts w:ascii="Arial" w:cs="Arial" w:eastAsia="Arial" w:hAnsi="Arial"/>
          <w:sz w:val="16"/>
          <w:szCs w:val="16"/>
          <w:color w:val="auto"/>
        </w:rPr>
        <w:t>As of March 31, 2021, we had cash and cash equivalents of $233.0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March 31, 2021 and 2020, we recognized foreign currency transaction losses of $25 thousand and $16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Great British Pound, and Canadian dollar would not have a material impact on our financial position or results of operations.</w:t>
      </w:r>
    </w:p>
    <w:p>
      <w:pPr>
        <w:spacing w:after="0" w:line="165"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March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March 31, 2021, our Chief Executive Officer and Chief Financial Officer concluded that our disclosure controls and procedures were effective at the reasonable assurance level as of March 31,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2021 that has materially affected, or is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March 31, 2021,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21"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Since inception, we have incurred net losses. We incurred net losses of $119.7 million and $73.0 million for the years ended December 31, 2020 and 2019, respectively and $26.9 million for the three months ended March 31, 2021. We historically financed our operations primarily through private placements of our preferred stock and, more recently, our initial public offering and follow-on public offerings of our common stock, as well as sales of our common stock under our “at-the-market” facility.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69" w:lineRule="exact"/>
        <w:rPr>
          <w:sz w:val="20"/>
          <w:szCs w:val="20"/>
          <w:color w:val="auto"/>
        </w:rPr>
      </w:pPr>
    </w:p>
    <w:p>
      <w:pPr>
        <w:ind w:left="880" w:right="2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clinical trials, particularly if and as we commence and continue clinical-stage activities for our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delays or interruptions in preclinical studies, clinical trials, or our supply chain due to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ind w:right="40"/>
        <w:spacing w:after="0" w:line="279" w:lineRule="auto"/>
        <w:rPr>
          <w:sz w:val="20"/>
          <w:szCs w:val="20"/>
          <w:color w:val="auto"/>
        </w:rPr>
      </w:pPr>
      <w:r>
        <w:rPr>
          <w:rFonts w:ascii="Arial" w:cs="Arial" w:eastAsia="Arial" w:hAnsi="Arial"/>
          <w:sz w:val="17"/>
          <w:szCs w:val="17"/>
          <w:color w:val="auto"/>
        </w:rPr>
        <w:t>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880" w:right="42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880" w:hanging="373"/>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5"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As of March 31, 2021, we had cash and cash equivalents of $233.0 million. We believe that our existing cash and cash equivalents as of March 31, 2021 will enable us to fund our operating expenses and capital expenditure requirements into the first quarter of 2023.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88"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Furthermore, we have expanded the number of programs in our pipeline to a total of six investigational gene therapies, three of which are in clinical development. As a result, further development of these programs will require us to expend significant resources to advance these candidates.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ind w:left="880" w:right="6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current and future product candidates, including the extent of any impacts from the COVID-19 pandemic on these activities;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60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7"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520" w:right="520"/>
        <w:spacing w:after="0" w:line="342" w:lineRule="auto"/>
        <w:rPr>
          <w:sz w:val="20"/>
          <w:szCs w:val="20"/>
          <w:color w:val="auto"/>
        </w:rPr>
      </w:pPr>
      <w:r>
        <w:rPr>
          <w:rFonts w:ascii="Arial" w:cs="Arial" w:eastAsia="Arial" w:hAnsi="Arial"/>
          <w:sz w:val="16"/>
          <w:szCs w:val="16"/>
          <w:b w:val="1"/>
          <w:bCs w:val="1"/>
          <w:i w:val="1"/>
          <w:iCs w:val="1"/>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16"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Public health crises such as pandemics or similar outbreaks could adversely impact our business. The COVID-19 pandemic has continued to disrupt normal business operations both in and outside of affected areas and has had significant negative impacts on businesses and financial markets worldwide. We continue to monitor our operations and applicable government recommendations and have continued our work-from-home policy for most employees, excluding our laboratory staff and a limited number of non-laboratory employees. Notwithstanding these measures, the COVID-19 pandemic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 We may experience limitations in employee resources, including because of sickness of employees or their families or the desire of employees to avoid contact with individuals or large groups of people.</w:t>
      </w:r>
    </w:p>
    <w:p>
      <w:pPr>
        <w:spacing w:after="0" w:line="178"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addition, clinical trial activities, including patient enrollment and data collection, are dependent upon global clinical trial sites which have been and continue to be adversely affected by the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dosing of new patients has begun to resume, our ability to continue clinical activities without further delay or interruption will depend on future developments that are highly uncertain and cannot be accurately predicted. Additionally, while ongoing data collection has continued for our patients that have been dosed, certain data collection has been delayed and additional delays could result from COVID-19-related interruptions, particularly as new variants of the virus are identified and continue to spread. We are currently conducting clinical trials for our product candidates in the United States, Canada and Australia, and plan to expand to other geographies including Japan, Europe, Israel and Brazil, and each of these regions have been affected by COVID-19.</w:t>
      </w:r>
    </w:p>
    <w:p>
      <w:pPr>
        <w:spacing w:after="0" w:line="18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Additional factors from the COVID-19 pandemic that have delayed and may continue to delay or otherwise adversely affect enrollment in or the progress of the clinical trials of our product candidates, as well as our business generally, include:</w:t>
      </w:r>
    </w:p>
    <w:p>
      <w:pPr>
        <w:spacing w:after="0" w:line="62" w:lineRule="exact"/>
        <w:rPr>
          <w:sz w:val="20"/>
          <w:szCs w:val="20"/>
          <w:color w:val="auto"/>
        </w:rPr>
      </w:pPr>
    </w:p>
    <w:p>
      <w:pPr>
        <w:jc w:val="both"/>
        <w:ind w:left="880" w:right="180" w:hanging="373"/>
        <w:spacing w:after="0" w:line="263"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880" w:right="80" w:hanging="373"/>
        <w:spacing w:after="0" w:line="279"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63" w:lineRule="exact"/>
        <w:rPr>
          <w:rFonts w:ascii="Arial" w:cs="Arial" w:eastAsia="Arial" w:hAnsi="Arial"/>
          <w:sz w:val="17"/>
          <w:szCs w:val="17"/>
          <w:color w:val="auto"/>
        </w:rPr>
      </w:pPr>
    </w:p>
    <w:p>
      <w:pPr>
        <w:ind w:left="880" w:right="52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880" w:right="80" w:hanging="373"/>
        <w:spacing w:after="0" w:line="255"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84" w:lineRule="exact"/>
        <w:rPr>
          <w:rFonts w:ascii="Arial" w:cs="Arial" w:eastAsia="Arial" w:hAnsi="Arial"/>
          <w:sz w:val="18"/>
          <w:szCs w:val="18"/>
          <w:color w:val="auto"/>
        </w:rPr>
      </w:pPr>
    </w:p>
    <w:p>
      <w:pPr>
        <w:ind w:left="880" w:right="140" w:hanging="373"/>
        <w:spacing w:after="0" w:line="342"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15" w:lineRule="exact"/>
        <w:rPr>
          <w:rFonts w:ascii="Arial" w:cs="Arial" w:eastAsia="Arial" w:hAnsi="Arial"/>
          <w:sz w:val="16"/>
          <w:szCs w:val="16"/>
          <w:color w:val="auto"/>
        </w:rPr>
      </w:pPr>
    </w:p>
    <w:p>
      <w:pPr>
        <w:ind w:left="880" w:right="6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Additionally, three vaccines for COVID-19 were granted Emergency Use Authorization by the FDA in late 2020 and early 2021, and more are likely to be authorized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right="80" w:firstLine="510"/>
        <w:spacing w:after="0" w:line="296" w:lineRule="auto"/>
        <w:rPr>
          <w:sz w:val="20"/>
          <w:szCs w:val="20"/>
          <w:color w:val="auto"/>
        </w:rPr>
      </w:pPr>
      <w:r>
        <w:rPr>
          <w:rFonts w:ascii="Arial" w:cs="Arial" w:eastAsia="Arial" w:hAnsi="Arial"/>
          <w:sz w:val="16"/>
          <w:szCs w:val="16"/>
          <w:color w:val="auto"/>
        </w:rPr>
        <w:t>These and other factors arising from the COVID-19 pandemic could worsen and further adversely impact our ability to conduct clinical trials and our business generally, and could have a material adverse impact on our operations and financial condition and results. The extent to which the COVID-19 pandemic impacts our operations or those of our third party partners will depend on future developments, which are highly uncertain and cannot be predicted with confidence, including the duration of the pandemic, the efficacy and safety of vaccines, the ability of third parties to manufacture and distribute vaccines, and new information that may emerge concerning mutations of the coronavirus that causes COVID-19, among others.</w:t>
      </w:r>
    </w:p>
    <w:p>
      <w:pPr>
        <w:spacing w:after="0" w:line="269"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COVID-19 pandemic, especially if a resurgence of cases occurs. In addition, the implementation of our plato platform and upgrades, including our transition to Target Concentration Intervention, or TCI, conditioning using busulfan for our single-agent conditioning regimen,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as of May 6, 2021 we have only dosed five patients using our plato platform, which we plan to utilize for the majority of patients in our ongoing FAB-GT clinical trial for AVR-RD-01 and all patients in the Guard1 clinical trial of AVR-RD-02.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lentiviral gene therapy.</w:t>
      </w:r>
    </w:p>
    <w:p>
      <w:pPr>
        <w:spacing w:after="0" w:line="392"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Europe or other major markets or how long it will take to commercialize our product candidates, if any are approved. Approvals by foreign regulatory authorities may not be indicative of what the FDA may require for approval, and vice versa.</w:t>
      </w:r>
    </w:p>
    <w:p>
      <w:pPr>
        <w:spacing w:after="0" w:line="166" w:lineRule="exact"/>
        <w:rPr>
          <w:sz w:val="20"/>
          <w:szCs w:val="20"/>
          <w:color w:val="auto"/>
        </w:rPr>
      </w:pPr>
    </w:p>
    <w:p>
      <w:pPr>
        <w:jc w:val="both"/>
        <w:ind w:right="40" w:firstLine="510"/>
        <w:spacing w:after="0" w:line="287"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If we were to engage an NIH-funded institution to conduct a clinical trial, that institution’s IBC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firstLine="510"/>
        <w:spacing w:after="0" w:line="301"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5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8" w:lineRule="exact"/>
        <w:rPr>
          <w:sz w:val="20"/>
          <w:szCs w:val="20"/>
          <w:color w:val="auto"/>
        </w:rPr>
      </w:pPr>
    </w:p>
    <w:p>
      <w:pPr>
        <w:ind w:right="180" w:firstLine="510"/>
        <w:spacing w:after="0" w:line="272" w:lineRule="auto"/>
        <w:rPr>
          <w:sz w:val="20"/>
          <w:szCs w:val="20"/>
          <w:color w:val="auto"/>
        </w:rPr>
      </w:pPr>
      <w:r>
        <w:rPr>
          <w:rFonts w:ascii="Arial" w:cs="Arial" w:eastAsia="Arial" w:hAnsi="Arial"/>
          <w:sz w:val="17"/>
          <w:szCs w:val="17"/>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 impact on our gene therapy candidates or the duration or expense of any applicable regulatory development and review processes.</w:t>
      </w:r>
    </w:p>
    <w:p>
      <w:pPr>
        <w:spacing w:after="0" w:line="285" w:lineRule="exact"/>
        <w:rPr>
          <w:sz w:val="20"/>
          <w:szCs w:val="20"/>
          <w:color w:val="auto"/>
        </w:rPr>
      </w:pPr>
    </w:p>
    <w:p>
      <w:pPr>
        <w:jc w:val="both"/>
        <w:ind w:left="520" w:right="220"/>
        <w:spacing w:after="0" w:line="263"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6"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the development of the product candidate may fail or be delayed, or, if the product candidate has received regulatory approval, such approval may be revoked or limited.</w:t>
      </w:r>
    </w:p>
    <w:p>
      <w:pPr>
        <w:spacing w:after="0" w:line="18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There have been several significant adverse side effects in gene therapy treatments in the past, including multiple reported cases of leukemia, myelodysplastic syndrome and death seen in other clinical trials. For example, a case of transfusion-dependent anemia and a separate case of acute myeloid leukemia were recently reported in a third party’s clinical trials of lentiviral gene therapy for the treatment of sickle cell disease. These safety events are currently under investigation, and while several factors have been posited as potential direct or contributing causes, including the use of busulfan in the conditioning process, no definitive conclusion has been made as of the date of this Quarterly Report on Form 10-Q.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oncogenesis by the vectors, leading to malignant transformation of transduced cells. In addition, dominant clonal expansion due to vector integration has been observed in third-party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 gene therapy clinical trials, including one case of thalassemia and two cases of cerebral adrenoleukodystrophy. Although to date there have been no reports of malignant transformation in these patients, these cases and any similar cases will require further monitoring and follow-up. While our lentiviral gene therapy approach is designed to avoid immunogenicity against the vector after administration, there can be no assurance that patients would not create antibodies that may impair treatment. In addition, although we are investigating a plan to potentially implement molecular cytogenetic screening, there can be no assurance that we will successfully implement such screening procedures in a timely manner or at all, or that, if implemented, they will enhance the safety profile of our gene therapy product candidates. If any of our gene therapy product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right="960"/>
        <w:spacing w:after="0" w:line="277" w:lineRule="auto"/>
        <w:rPr>
          <w:sz w:val="20"/>
          <w:szCs w:val="20"/>
          <w:color w:val="auto"/>
        </w:rPr>
      </w:pPr>
      <w:r>
        <w:rPr>
          <w:rFonts w:ascii="Arial" w:cs="Arial" w:eastAsia="Arial" w:hAnsi="Arial"/>
          <w:sz w:val="18"/>
          <w:szCs w:val="18"/>
          <w:color w:val="auto"/>
        </w:rPr>
        <w:t>candidates demonstrates adverse side effects at unacceptable rates or degrees of severity, we may decide or be required to halt or delay clinical development of such product candidates.</w:t>
      </w:r>
    </w:p>
    <w:p>
      <w:pPr>
        <w:spacing w:after="0" w:line="170"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adverse side effects and transiently compromises the patient’s immune system, known as neutropenia, and ability to form blood clots, known as thrombocytopenia.</w:t>
      </w:r>
    </w:p>
    <w:p>
      <w:pPr>
        <w:spacing w:after="0" w:line="17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a precision dosing program, TCI, to achieve a balance between the removal of a sufficient amount of bone marrow cells from a patient against potential risks such as toxicity or graft failure. While we believe that the conditioning regimen could be performed during a limited hospital stay, we cannot guarantee that the conditioning will not require a lengthier hospitalization. Our conditioning regimens may not be successful or may nevertheless result in adverse side effects. For example, in each of our ongoing clinical trials several adverse events, including suppression of neutrophils and platelet counts following the conditioning process, were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our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Although we are investigating a plan to potentially implement molecular cytogenetic screening as an additional risk reduction measure, there can be no guarantees that these procedures will be implemented in a timely manner or would be successful if implemented. Even if we are able to demonstrate that adverse events are not product-related, such occurrences could adversely affect patient recruitment or the ability of enrolled patients to complete the clinical trial, and lead to a decline in our stock price.</w:t>
      </w:r>
    </w:p>
    <w:p>
      <w:pPr>
        <w:spacing w:after="0" w:line="182" w:lineRule="exact"/>
        <w:rPr>
          <w:sz w:val="20"/>
          <w:szCs w:val="20"/>
          <w:color w:val="auto"/>
        </w:rPr>
      </w:pPr>
    </w:p>
    <w:p>
      <w:pPr>
        <w:jc w:val="both"/>
        <w:ind w:right="360" w:firstLine="510"/>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spacing w:after="0" w:line="80"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lead to a decline in our stock price, and significantly harm our business, prospects, financial condition and results of operations.</w:t>
      </w:r>
    </w:p>
    <w:p>
      <w:pPr>
        <w:spacing w:after="0" w:line="278"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b w:val="1"/>
          <w:bCs w:val="1"/>
          <w:i w:val="1"/>
          <w:iCs w:val="1"/>
          <w:color w:val="auto"/>
        </w:rPr>
        <w:t>Our regulatory approach for AVR-RD-01 for the treatment of Fabry disease recently changed, and there can be no assurance that our new, proposed regulatory pathway will be accepted by regulatory agencies.</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On March 11, 2021, approximately three weeks before our End-of-Phase 1 meeting for AVR-RD-01 held on March 31, 2021, the FDA granted full (also referred to as traditional) approval of Fabrazyme</w:t>
      </w:r>
      <w:r>
        <w:rPr>
          <w:rFonts w:ascii="Arial" w:cs="Arial" w:eastAsia="Arial" w:hAnsi="Arial"/>
          <w:sz w:val="13"/>
          <w:szCs w:val="13"/>
          <w:color w:val="auto"/>
        </w:rPr>
        <w:t>®</w:t>
      </w:r>
      <w:r>
        <w:rPr>
          <w:rFonts w:ascii="Arial" w:cs="Arial" w:eastAsia="Arial" w:hAnsi="Arial"/>
          <w:sz w:val="16"/>
          <w:szCs w:val="16"/>
          <w:color w:val="auto"/>
        </w:rPr>
        <w:t xml:space="preserve"> (agalsidase beta) more than 18 years after the ERT received accelerated approval on the basis of a surrogate endpoint: reduction of GL-3 (also referred to as Gb3) inclusions in biopsied PTCs. The conversion to full approval limits the accelerated approval pathways available for new therapies to treat Fabry disease, which must now show clinical benefit over Fabrazyme on a surrogate endpoint. Reduction of GL-3 in PTCs is the only surrogate endpoint that has been accepted as a basis for approval for Fabry ERTs at this time.</w:t>
      </w:r>
    </w:p>
    <w:p>
      <w:pPr>
        <w:spacing w:after="0" w:line="16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a result of the Fabrazyme full approval, together with the FDA’s feedback on our original proposed trial design, we cannot pursue an accelerated approval pathway for AVR-RD-01 with the FAB-GT Phase 2 trial as designed and submitted to the FDA in our briefing book for our End-of-Phase 1 meeting. Instead, we intend to engage with the FDA in the second half of 2021 to discuss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spacing w:after="0" w:line="286" w:lineRule="auto"/>
        <w:rPr>
          <w:sz w:val="20"/>
          <w:szCs w:val="20"/>
          <w:color w:val="auto"/>
        </w:rPr>
      </w:pPr>
      <w:r>
        <w:rPr>
          <w:rFonts w:ascii="Arial" w:cs="Arial" w:eastAsia="Arial" w:hAnsi="Arial"/>
          <w:sz w:val="17"/>
          <w:szCs w:val="17"/>
          <w:color w:val="auto"/>
        </w:rPr>
        <w:t>obtain feedback on a revised regulatory approach. Subject to FDA review and feedback, we intend to conduct a single, head-to-head registration trial versus Fabrazyme using a kidney biopsy surrogate endpoint as the basis for potential full approval of AVR-RD-01, with the goal of initiating the clinical trial in mid-2022. This planned regulatory pathway for AVR-RD-01 is subject to numerous risks, including the following:</w:t>
      </w:r>
    </w:p>
    <w:p>
      <w:pPr>
        <w:spacing w:after="0" w:line="71" w:lineRule="exact"/>
        <w:rPr>
          <w:sz w:val="20"/>
          <w:szCs w:val="20"/>
          <w:color w:val="auto"/>
        </w:rPr>
      </w:pPr>
    </w:p>
    <w:p>
      <w:pPr>
        <w:ind w:left="760" w:hanging="388"/>
        <w:spacing w:after="0" w:line="290"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FDA guidance provides that the acceptability of surrogate endpoints is determined on a case-by-case basis, and a particular surrogate endpoint that may be appropriate for use in a particular drug or biologic clinical development program should not be assumed to be appropriate for use in a different program that is in a different clinical setting. Although we believe the recent full approval of Fabrazyme on the basis of a surrogate endpoint of complete/near complete reduction of GL-3 inclusions in biopsied renal PTCs may potentially support use of this endpoint in a registration trial of AVR-RD-01, we have not discussed this proposed surrogate endpoint with the FDA and there can be no assurance that the FDA will agree with our approach. Moreover, the FDA could require longer clinical or follow-up study requirements for patients, specify patient inclusion criteria that limits our ability to successfully and timely recruit and enroll patients, or require other study design details that will require additional clinical work or render our earlier clinical data of limited utility in support of an application for marketing authorization.</w:t>
      </w:r>
    </w:p>
    <w:p>
      <w:pPr>
        <w:spacing w:after="0" w:line="70" w:lineRule="exact"/>
        <w:rPr>
          <w:rFonts w:ascii="Arial" w:cs="Arial" w:eastAsia="Arial" w:hAnsi="Arial"/>
          <w:sz w:val="16"/>
          <w:szCs w:val="16"/>
          <w:color w:val="auto"/>
        </w:rPr>
      </w:pPr>
    </w:p>
    <w:p>
      <w:pPr>
        <w:ind w:left="760" w:right="40" w:hanging="388"/>
        <w:spacing w:after="0" w:line="289"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Even if we obtain alignment with the FDA on our proposal of a single registration trial using a kidney biopsy surrogate endpoint, without undertaking the special protocol assessment process to obtain FDA agreement on the details of the trial design, including the measurement methodology, number of trial participants and study duration, there is a risk that the FDA may disagree with the final details of our trial design. For example, in our FAB-GT trial we assess kidney biopsies using a quantitative methodology, our adaption of the Barisoni Lipid Inclusion Scoring System (BLISS) histological methodology, whereas the Fabrazyme clinical trials used a semi-quantitative methodology, the Fabrazyme scoring system. In addition, although we would propose to the FDA that the registration trial would enroll a number of patients comparable to other gene therapy trials, the FDA could require us to enroll more patients than we expect. We have previously encountered delays in patient enrollment and recruitment, and any similar delays in the future could affect our ability to successfully complete a registration trial. Furthermore, we will need to submit additional CMC data to the FDA before we can begin our proposed registration trial.</w:t>
      </w:r>
    </w:p>
    <w:p>
      <w:pPr>
        <w:spacing w:after="0" w:line="71" w:lineRule="exact"/>
        <w:rPr>
          <w:rFonts w:ascii="Arial" w:cs="Arial" w:eastAsia="Arial" w:hAnsi="Arial"/>
          <w:sz w:val="16"/>
          <w:szCs w:val="16"/>
          <w:color w:val="auto"/>
        </w:rPr>
      </w:pPr>
    </w:p>
    <w:p>
      <w:pPr>
        <w:ind w:left="760" w:right="20" w:hanging="388"/>
        <w:spacing w:after="0" w:line="270"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our new proposed regulatory pathway is uncertain. Although we intend to engage with the FDA in the second half of 2021 to discuss our proposal, we have not yet requested such meeting and there can be no assurances that the FDA will be available to meet with us in a timely manner, particularly given the agency’s workload during the ongoing COVID-19 pandemic. Even if we obtain alignment with the FDA on our proposed trial design and CMC readiness, we will need to submit a registration study protocol before we can commence a clinical trial, the timing of which will depend in part upon our interactions with the FDA. Our planned engagement with the FDA and submission of the protocol could be delayed, and as a result we may not be able to initiate a clinical trial in mid-2022, if at all. Furthermore, although the kidney biopsy endpoint in our FAB-GT trial has a 48-week follow-up period, even if the FDA agrees to a kidney biopsy surrogate endpoint in our proposed registration trial design, the FDA could require the follow-up period to be longer than 48-weeks, which would increase the length of the trial and delay any submission of a BLA.</w:t>
      </w:r>
    </w:p>
    <w:p>
      <w:pPr>
        <w:spacing w:after="0" w:line="18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Clinical testing is expensive, time-consuming and uncertain as to outcome. We cannot guarantee that any clinical studies, including our proposed registration trial of AVR-RD-01, will be conducted as planned or completed on schedule, if at all. Any inability to successfully conduct our proposed registration trial of AVR-RD-01 using a kidney biopsy surrogate endpoint or other inability to successfully complete our clinical development of AVR-RD-01 could result in additional costs to us and impair our ability to generate revenues.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have never completed a pivotal or registration clinical trial, and may be unable to do so for any product candidates we may develop.</w:t>
      </w:r>
    </w:p>
    <w:p>
      <w:pPr>
        <w:spacing w:after="0" w:line="140"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are at an early stage of development for all of our product candidates. As of May 6, 2021, we have dosed only 16 patients across four ongoing clinical trials. These ongoing clinical trials, as well as potentially additional pivotal clinical trials (also referred to as registration trials), must be completed in order to obtain FDA or other regulatory approval to market these product candidates. We have limited experience in preparing, submitting and prosecuting regulatory filings, and have not previously submitted a biologics license application, or BLA, for any product candidate.</w:t>
      </w:r>
    </w:p>
    <w:p>
      <w:pPr>
        <w:spacing w:after="0" w:line="17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Carrying out later-stage clinical trials is a complicated and lengthy process, and we do not expect that all data from patients participating in the clinical trials will be relevant or meaningful. For example, the primary efficacy endpoint of our Phase 2 clinical trial of AVR-RD-01, which we refer to as the FAB-GT clinical trial, is the change, from baseline to one year post-treatment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40"/>
        <w:spacing w:after="0" w:line="271" w:lineRule="auto"/>
        <w:rPr>
          <w:sz w:val="20"/>
          <w:szCs w:val="20"/>
          <w:color w:val="auto"/>
        </w:rPr>
      </w:pPr>
      <w:r>
        <w:rPr>
          <w:rFonts w:ascii="Arial" w:cs="Arial" w:eastAsia="Arial" w:hAnsi="Arial"/>
          <w:sz w:val="17"/>
          <w:szCs w:val="17"/>
          <w:color w:val="auto"/>
        </w:rPr>
        <w:t>AVR-RD-01, in the average number of Gb3 inclusions per PTC, as measured in a patient kidney biopsy. The second patient in the FAB-GT trial has an N215S genotype, which is associated with a late-onset cardiac variant phenotype and lower plasma lyso-Gb3 levels. This patient’s cardiac variant phenotype does not typically result in Gb3 accumulation in the kidney and skin, and accordingly we do not expect that data obtained from this patient will have a meaningful impact on certain efficacy endpoints in our FAB-GT clinical trial, including kidney and skin biopsies. Nonetheless, there may be other important insights derived from data collected from this patient in the FAB-GT clinical trial. In addition, although a kidney biopsy was performed on the third patient in the FAB-GT clinical trial, as a result of human error in processing the biopsy sample at the external laboratory vendor, the kidney Gb3 inclusions could not be evaluated and will not be available. However, we expect to continue collecting other data from the third patient, including measures of kidney function such as estimated glomerular filtration rate and measured glomerular filtration rate.</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we have not yet conducted any company-sponsored clinical trials of any of our product candidates in the United States, and our interactions with the FDA have generally been limited. We cannot be certain how many additional clinical trials of AVR-RD-01,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AVR-RD-01 and AVR-RD-02, and the sponsor of the investigator-led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any of our product candidates.</w:t>
      </w:r>
    </w:p>
    <w:p>
      <w:pPr>
        <w:spacing w:after="0" w:line="17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and the ongoing Phase 1/2 clinical trial of AVR-RD-04 is also an investigator-sponsored clinical trial, which is being conducted by our collaborators at the University of California, San Diego. In addition, the planned Phase 1/2 clinical trial of AVR-RD-05 will be an investigator-sponsored trial conducted by our collaborators at The University of Manchester.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w:t>
      </w:r>
    </w:p>
    <w:p>
      <w:pPr>
        <w:spacing w:after="0" w:line="185"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We also may experience regulatory delays or rejections as a result of many factors, including due to changes in regulatory policy or the approval of competitive therapies during the period of our product candidate development. Any of our current or future product candidates may fail to show the desired safety and efficacy in clinical development despite positive results in preclinical studies. Any such failure would cause us to abandon the product candidate.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right="20" w:firstLine="510"/>
        <w:spacing w:after="0" w:line="269" w:lineRule="auto"/>
        <w:rPr>
          <w:sz w:val="20"/>
          <w:szCs w:val="20"/>
          <w:color w:val="auto"/>
        </w:rPr>
      </w:pPr>
      <w:r>
        <w:rPr>
          <w:rFonts w:ascii="Arial" w:cs="Arial" w:eastAsia="Arial" w:hAnsi="Arial"/>
          <w:sz w:val="17"/>
          <w:szCs w:val="17"/>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Because our clinical trials are ongoing, the data that we report are preliminary and subject to change. As is typical in open-label studies in which interim reports are provided, the safety and efficacy data are regularly reviewed and validated. As a result, certain data may change over time, including reductions or increases in the number of reported safety events, until the database is locked at the end of the study.</w:t>
      </w:r>
    </w:p>
    <w:p>
      <w:pPr>
        <w:spacing w:after="0" w:line="287" w:lineRule="exact"/>
        <w:rPr>
          <w:sz w:val="20"/>
          <w:szCs w:val="20"/>
          <w:color w:val="auto"/>
        </w:rPr>
      </w:pPr>
    </w:p>
    <w:p>
      <w:pPr>
        <w:ind w:left="520" w:right="58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Although we expect to have dosed an aggregate of 20 to 25 patients across all our clinical programs by the end of 2021, there can be no assurance we will achieve that goal. 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such as the recent announcement from a lentiviral gene therapy company regarding cases of transfusion-dependent anemia and acute myeloid leukemia in its clinical trials for sickle cell disease,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ongoing clinical trials and certain data collection has been delayed. While patient enrollment and dosing activities have begun to resume, there could be additional pauses in the future as a result of the COVID-19 pandemic or other factors.</w:t>
      </w:r>
    </w:p>
    <w:p>
      <w:pPr>
        <w:spacing w:after="0" w:line="186"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which we refer to as the Guard1 clinical trial. While a number of patients had been identified for the Guard1 clinical trial, we encountered patient pre-screening failures that impacted the commencement of enrollment. Additionally, as a result of the COVID-19 pandemic, in 2020 we encountered protracted timelines with our Guard1 investigational site startup activities, which also impacted patient enrollment.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7" w:lineRule="exact"/>
        <w:rPr>
          <w:sz w:val="20"/>
          <w:szCs w:val="20"/>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We have expanded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spacing w:after="0" w:line="19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jc w:val="both"/>
        <w:ind w:right="420" w:firstLine="510"/>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2" w:name="page43"/>
    <w:bookmarkEnd w:id="42"/>
    <w:p>
      <w:pPr>
        <w:ind w:left="880" w:hanging="373"/>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for our FAB-GT clinical trial of AVR-RD-01,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FAB-GT clinical study of AVR-RD-01 for Fabry disease in the United States, which was cleared by the FDA in April 2019, included data to demonstrate comparability between LV1 and LV2 and a transition to an automated manufacturing platform. In addition, our CTA (including amendments) and IND for our Guard1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we expect that the FDA, Health Canada or other regulatory authorities will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investigator-sponsored clinical study of AVR-RD-04 for cystinosis in the United States, which has been cleared by the FDA, does not include our LV2 lentiviral vector or our automated manufacturing platform. Additionally, the study drug for the planned investigator-sponsored clinical study of AVR-RD-05 for Hunter syndrome will not be manufactured using our plato platform, and neither the automated, closed manufacturing system nor LV2 will be used in connection with this clinical trial.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103"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ind w:right="78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8" w:lineRule="exact"/>
        <w:rPr>
          <w:sz w:val="20"/>
          <w:szCs w:val="20"/>
          <w:color w:val="auto"/>
        </w:rPr>
      </w:pPr>
    </w:p>
    <w:p>
      <w:pPr>
        <w:ind w:left="520" w:right="92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3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89"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b w:val="1"/>
          <w:bCs w:val="1"/>
          <w:i w:val="1"/>
          <w:iCs w:val="1"/>
          <w:color w:val="auto"/>
        </w:rPr>
        <w:t>Only certain of our clinical trials, including the Phase 2 FAB-GT clinical trial of AVR-RD-01 for Fabry disease and the Phase 1/2 Guard1 clinical trial of AVR-RD-02 for Gaucher disease type 1, utilize our commercial-scale plato platform.</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While we have submitted and intend to continue to submit comparability studies to the FDA and other regulatory agencies, as needed, with respect to our implementation of our commercial-scale plato platform in these and future clinical trials sponsored by us,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We intend to continue implementing our commercial-scale plato platform, including heightened vector efficiency, our closed, automated manufacturing system and utilization of a TCI conditioning regimen with busulfan, in connection with each of our 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94" w:lineRule="exact"/>
        <w:rPr>
          <w:sz w:val="20"/>
          <w:szCs w:val="20"/>
          <w:color w:val="auto"/>
        </w:rPr>
      </w:pPr>
    </w:p>
    <w:p>
      <w:pPr>
        <w:ind w:left="520" w:right="80"/>
        <w:spacing w:after="0" w:line="311" w:lineRule="auto"/>
        <w:rPr>
          <w:sz w:val="20"/>
          <w:szCs w:val="20"/>
          <w:color w:val="auto"/>
        </w:rPr>
      </w:pPr>
      <w:r>
        <w:rPr>
          <w:rFonts w:ascii="Arial" w:cs="Arial" w:eastAsia="Arial" w:hAnsi="Arial"/>
          <w:sz w:val="16"/>
          <w:szCs w:val="16"/>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4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61"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In March 2021, Fabrazyme, marketed by Sanofi Genzyme, received full (also referred to as traditional) approval more than 18 years after the ERT received accelerated approval on the basis of a surrogate endpoint. Amicus has secured regulatory approval in the United States and Europe for Migalastat, its oral chaperone therapy for Fabry disease. In addition, Protalix BioTherapeutics, together with Chiesi Global Rare Diseases, is developing pegunigalsidase alfa, their investigational product candidate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and Shire markets an enzyme replacement therapy for Hunter syndrome. Cystinosis is currently treated by therapies marketed by Horizon Orphan, Mylan, Chiesi, Recordati and Sigma Tau Pharmaceuticals, and Eloxx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color w:val="auto"/>
        </w:rPr>
        <w:t>Pharmaceuticals has been advancing a new treatment in clinical trials. In addition, we may compete with other gene therapy companies in our industry such as bluebird bio and Spark Therapeutics (which was acquired by Roche in 2019). In particular, a number of gene therapy companies have announced preclinical or clinical non-viral and adeno-associated viral based gene therapy programs that, if successful in obtaining regulatory approval, could compete with our gene therapies.</w:t>
      </w:r>
    </w:p>
    <w:p>
      <w:pPr>
        <w:spacing w:after="0" w:line="187" w:lineRule="exact"/>
        <w:rPr>
          <w:sz w:val="20"/>
          <w:szCs w:val="20"/>
          <w:color w:val="auto"/>
        </w:rPr>
      </w:pPr>
    </w:p>
    <w:p>
      <w:pPr>
        <w:jc w:val="both"/>
        <w:ind w:right="120" w:firstLine="510"/>
        <w:spacing w:after="0" w:line="287"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8"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5"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7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9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In addition, we may seek a regenerative medicine advanced therapy, or RMAT, designation for some of our product candidates. An RMAT is defined as cell therapies, therapeutic tissue engineering products, human cell and tissue products, and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20"/>
        <w:spacing w:after="0" w:line="268" w:lineRule="auto"/>
        <w:rPr>
          <w:sz w:val="20"/>
          <w:szCs w:val="20"/>
          <w:color w:val="auto"/>
        </w:rPr>
      </w:pPr>
      <w:r>
        <w:rPr>
          <w:rFonts w:ascii="Arial" w:cs="Arial" w:eastAsia="Arial" w:hAnsi="Arial"/>
          <w:sz w:val="17"/>
          <w:szCs w:val="17"/>
          <w:color w:val="auto"/>
        </w:rPr>
        <w:t>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8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FAB-GT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0" w:lineRule="exact"/>
        <w:rPr>
          <w:sz w:val="20"/>
          <w:szCs w:val="20"/>
          <w:color w:val="auto"/>
        </w:rPr>
      </w:pPr>
    </w:p>
    <w:p>
      <w:pPr>
        <w:ind w:left="520" w:right="10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9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December 2018, October 2019 and March 2020, the FDA granted our requests for orphan drug designation for AVR-RD-01 for the treatment of Fabry disease, AVR-RD-02 for the treatment of Gaucher disease and AVR-RD-04 for the treatment of cystinosis, respectively. In September 2020, October 2020 and March 2021 we announced that the European Commission granted our request for orphan drug designation for AVR-RD-02 for the treatment of Gaucher disease, AVR-RD-01 for the treatment of Fabry disease, and AVR-RD-04 for the treatment of cystinosis, respectively. If we request orphan drug designation (or the foreign equivalent) for any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right="100" w:firstLine="510"/>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0" w:lineRule="exact"/>
        <w:rPr>
          <w:sz w:val="20"/>
          <w:szCs w:val="20"/>
          <w:color w:val="auto"/>
        </w:rPr>
      </w:pPr>
    </w:p>
    <w:p>
      <w:pPr>
        <w:ind w:left="880" w:right="6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6"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6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left="520" w:right="82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100"/>
        <w:spacing w:after="0" w:line="275" w:lineRule="auto"/>
        <w:rPr>
          <w:sz w:val="20"/>
          <w:szCs w:val="20"/>
          <w:color w:val="auto"/>
        </w:rPr>
      </w:pPr>
      <w:r>
        <w:rPr>
          <w:rFonts w:ascii="Arial" w:cs="Arial" w:eastAsia="Arial" w:hAnsi="Arial"/>
          <w:sz w:val="17"/>
          <w:szCs w:val="17"/>
          <w:color w:val="auto"/>
        </w:rPr>
        <w:t>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20" w:right="58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have moved our cell processing to an automated, closed system with a single third-party supplier.</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will not be available. Although our quality assurance personnel have worked closely with the external vendor to identify the cause of the vendor error and to identify additional protocols for implementation by the vendor that are designed to prevent similar errors in the future, there can be no assurances that such protocols will be successfully implemented by the vendor.</w:t>
      </w:r>
    </w:p>
    <w:p>
      <w:pPr>
        <w:spacing w:after="0" w:line="174"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62"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880" w:right="56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9" w:name="page50"/>
    <w:bookmarkEnd w:id="49"/>
    <w:p>
      <w:pPr>
        <w:ind w:right="120" w:firstLine="510"/>
        <w:spacing w:after="0" w:line="263"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9"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6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4"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380" w:firstLine="510"/>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8" w:lineRule="exact"/>
        <w:rPr>
          <w:sz w:val="20"/>
          <w:szCs w:val="20"/>
          <w:color w:val="auto"/>
        </w:rPr>
      </w:pPr>
    </w:p>
    <w:p>
      <w:pPr>
        <w:ind w:left="520" w:right="56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the FDA may issue a complete response letter or defer action on our applications, and approval of the products may be delayed or may not be granted.</w:t>
      </w:r>
    </w:p>
    <w:p>
      <w:pPr>
        <w:spacing w:after="0" w:line="18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2"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Despite the contractual provisions employed when working with third parties, the need to share trade secrets and other confidential information increases the risk that such trade secrets become known by our competitors, are inadvertently incorporated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1" w:name="page52"/>
    <w:bookmarkEnd w:id="51"/>
    <w:p>
      <w:pPr>
        <w:ind w:right="60"/>
        <w:spacing w:after="0" w:line="263" w:lineRule="auto"/>
        <w:rPr>
          <w:sz w:val="20"/>
          <w:szCs w:val="20"/>
          <w:color w:val="auto"/>
        </w:rPr>
      </w:pPr>
      <w:r>
        <w:rPr>
          <w:rFonts w:ascii="Arial" w:cs="Arial" w:eastAsia="Arial" w:hAnsi="Arial"/>
          <w:sz w:val="18"/>
          <w:szCs w:val="18"/>
          <w:color w:val="auto"/>
        </w:rPr>
        <w:t>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4"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in the preliminary stages of building our commercial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90"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focus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300"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80"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880" w:right="440" w:hanging="373"/>
        <w:spacing w:after="0" w:line="308"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61"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4"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including Japan, Europe, Israel and Brazil.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9"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140"/>
        <w:spacing w:after="0" w:line="255" w:lineRule="auto"/>
        <w:rPr>
          <w:sz w:val="20"/>
          <w:szCs w:val="20"/>
          <w:color w:val="auto"/>
        </w:rPr>
      </w:pPr>
      <w:r>
        <w:rPr>
          <w:rFonts w:ascii="Arial" w:cs="Arial" w:eastAsia="Arial" w:hAnsi="Arial"/>
          <w:sz w:val="18"/>
          <w:szCs w:val="18"/>
          <w:color w:val="auto"/>
        </w:rPr>
        <w:t>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9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84"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700"/>
        <w:spacing w:after="0" w:line="277" w:lineRule="auto"/>
        <w:rPr>
          <w:sz w:val="20"/>
          <w:szCs w:val="20"/>
          <w:color w:val="auto"/>
        </w:rPr>
      </w:pPr>
      <w:r>
        <w:rPr>
          <w:rFonts w:ascii="Arial" w:cs="Arial" w:eastAsia="Arial" w:hAnsi="Arial"/>
          <w:sz w:val="18"/>
          <w:szCs w:val="18"/>
          <w:color w:val="auto"/>
        </w:rPr>
        <w:t>and surgical procedures and other treatments, has become very intense. As a result, increasingly high barriers are being erected to the entry of new products.</w:t>
      </w:r>
    </w:p>
    <w:p>
      <w:pPr>
        <w:spacing w:after="0" w:line="278"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84"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2010, the Patient Protection and Affordable Care Act,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creates a new Medicare Part D coverage gap discount program, in which manufacturers must agree to offer 70% (as of 2019)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72"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States Supreme Court and members of Congress have introduced several pieces of legislation aimed at significantly revising or repealing the ACA. The United States Supreme Court is expected to rule on a legal challenge to the constitutionality of the ACA in early 2021. The implementation of the ACA is ongoing, the law appears likely to continue the downward pressure on pharmaceutical pricing, especially under the Medicare program, and may also increase our regulatory burdens and operating costs. Litigation and legislation related to the ACA are likely to continue, with unpredictable and uncertain results.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2030 unless additional Congressional action is taken; however, pursuant to the Coronavirus Aid, Relief, and Economic Security Act, also known as the CARES Act, these reductions have been suspended from May 1, 2020 through December 31, 2020 due to the COVID-19 pandemic. The Consolidated Appropriations Act of 2021, extended the suspension period to March 31, 2021. An Act to Prevent Across-the-Board Direct Spending Cuts, and for Other Purposes, signed into law on April 14, 2021, has extended the suspension period to December 31, 2021.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400" w:firstLine="510"/>
        <w:spacing w:after="0" w:line="279"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71"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In 2020, the former President signed four Executive Orders aimed at lowering drug prices.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w:t>
      </w:r>
    </w:p>
    <w:p>
      <w:pPr>
        <w:spacing w:after="0" w:line="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2027. However, in response to a lawsuit filed by several industry groups, on December 28,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 The regulatory and market implications of the Executive Orders are unknown at this time, but could decrease the price we receive for any products that we may develop and commercialize and could adversely affect our future revenues and prospects for profitability. Additionally, HHS, has already implemented certain measures. For example, in May 2019, CMS issued a final rule to allow Medicare Advantage Plans the option of using step therapy, a type of prior authorization,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98"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4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left="5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appropriate, the FDA has stated that it generally intends to issue a complete response letter. Further, if there is inadequate information to make a determination on the acceptability of a facility, the FDA may defer action on the application until an inspection can be completed. 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83" w:lineRule="exact"/>
        <w:rPr>
          <w:sz w:val="20"/>
          <w:szCs w:val="20"/>
          <w:color w:val="auto"/>
        </w:rPr>
      </w:pPr>
    </w:p>
    <w:p>
      <w:pPr>
        <w:ind w:left="520" w:right="120"/>
        <w:spacing w:after="0" w:line="375"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 w:lineRule="exact"/>
        <w:rPr>
          <w:sz w:val="20"/>
          <w:szCs w:val="20"/>
          <w:color w:val="auto"/>
        </w:rPr>
      </w:pPr>
    </w:p>
    <w:p>
      <w:pPr>
        <w:jc w:val="both"/>
        <w:ind w:right="160" w:firstLine="510"/>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520" w:right="18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right="700" w:firstLine="510"/>
        <w:spacing w:after="0" w:line="308" w:lineRule="auto"/>
        <w:rPr>
          <w:sz w:val="20"/>
          <w:szCs w:val="20"/>
          <w:color w:val="auto"/>
        </w:rPr>
      </w:pPr>
      <w:r>
        <w:rPr>
          <w:rFonts w:ascii="Arial" w:cs="Arial" w:eastAsia="Arial" w:hAnsi="Arial"/>
          <w:sz w:val="17"/>
          <w:szCs w:val="17"/>
          <w:color w:val="auto"/>
        </w:rPr>
        <w:t>Gene therapy remains a novel technology, with only a limited number of gene therapy products approved to date. Public perception may be influenced by claims that gene therapy is unsafe, and gene therapy may not gain the acceptance of the public or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spacing w:after="0" w:line="269" w:lineRule="auto"/>
        <w:rPr>
          <w:sz w:val="20"/>
          <w:szCs w:val="20"/>
          <w:color w:val="auto"/>
        </w:rPr>
      </w:pPr>
      <w:r>
        <w:rPr>
          <w:rFonts w:ascii="Arial" w:cs="Arial" w:eastAsia="Arial" w:hAnsi="Arial"/>
          <w:sz w:val="17"/>
          <w:szCs w:val="17"/>
          <w:color w:val="auto"/>
        </w:rPr>
        <w:t>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In addition, a lentiviral gene therapy company recently reported a case of transfusion-dependent anemia and another case of acute myeloid leukemia in their clinical trials for sickle cell disease, and these cases remain under investigation. Adverse events in our clinical studies or discovered in long-term follow-up, even if not ultimately attributable to our product candidates (such as the many adverse events that typically arise from the conditioning process), or adverse events in other lentiviral gene therapy trials, and the resulting publicity could result in a decline in our stock price,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7"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140"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As we mature, we expect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left="520" w:right="1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7" w:lineRule="exact"/>
        <w:rPr>
          <w:sz w:val="20"/>
          <w:szCs w:val="20"/>
          <w:color w:val="auto"/>
        </w:rPr>
      </w:pPr>
    </w:p>
    <w:p>
      <w:pPr>
        <w:jc w:val="both"/>
        <w:ind w:left="520" w:right="100"/>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4" w:lineRule="exact"/>
        <w:rPr>
          <w:sz w:val="20"/>
          <w:szCs w:val="20"/>
          <w:color w:val="auto"/>
        </w:rPr>
      </w:pPr>
    </w:p>
    <w:p>
      <w:pPr>
        <w:ind w:left="880" w:right="80" w:hanging="373"/>
        <w:spacing w:after="0" w:line="287"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9" w:name="page60"/>
    <w:bookmarkEnd w:id="59"/>
    <w:p>
      <w:pPr>
        <w:ind w:left="880" w:right="180"/>
        <w:spacing w:after="0" w:line="257" w:lineRule="auto"/>
        <w:rPr>
          <w:sz w:val="20"/>
          <w:szCs w:val="20"/>
          <w:color w:val="auto"/>
        </w:rPr>
      </w:pPr>
      <w:r>
        <w:rPr>
          <w:rFonts w:ascii="Arial" w:cs="Arial" w:eastAsia="Arial" w:hAnsi="Arial"/>
          <w:sz w:val="18"/>
          <w:szCs w:val="18"/>
          <w:color w:val="auto"/>
        </w:rPr>
        <w:t>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w:t>
      </w:r>
    </w:p>
    <w:p>
      <w:pPr>
        <w:spacing w:after="0" w:line="80" w:lineRule="exact"/>
        <w:rPr>
          <w:sz w:val="20"/>
          <w:szCs w:val="20"/>
          <w:color w:val="auto"/>
        </w:rPr>
      </w:pPr>
    </w:p>
    <w:p>
      <w:pPr>
        <w:ind w:left="880" w:right="60" w:hanging="373"/>
        <w:spacing w:after="0" w:line="271"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rFonts w:ascii="Arial" w:cs="Arial" w:eastAsia="Arial" w:hAnsi="Arial"/>
          <w:sz w:val="17"/>
          <w:szCs w:val="17"/>
          <w:color w:val="auto"/>
        </w:rPr>
      </w:pPr>
    </w:p>
    <w:p>
      <w:pPr>
        <w:ind w:left="880" w:right="80" w:hanging="373"/>
        <w:spacing w:after="0" w:line="259"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880" w:right="40" w:hanging="373"/>
        <w:spacing w:after="0" w:line="291"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880" w:right="100" w:hanging="373"/>
        <w:spacing w:after="0" w:line="279"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880" w:right="100" w:hanging="373"/>
        <w:spacing w:after="0" w:line="293"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physician assistants, nurse practitioners, clinical nurse specialists, certified registered nurse anesthetists and teaching hospitals, as well as ownership and investment interests held by the physicians described above and their immediate family members.</w:t>
      </w:r>
    </w:p>
    <w:p>
      <w:pPr>
        <w:spacing w:after="0" w:line="56" w:lineRule="exact"/>
        <w:rPr>
          <w:rFonts w:ascii="Arial" w:cs="Arial" w:eastAsia="Arial" w:hAnsi="Arial"/>
          <w:sz w:val="16"/>
          <w:szCs w:val="16"/>
          <w:color w:val="auto"/>
        </w:rPr>
      </w:pPr>
    </w:p>
    <w:p>
      <w:pPr>
        <w:ind w:left="880" w:right="10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right="320" w:firstLine="51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6"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73"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currently plan to conduct clinical trials in the European Union, or EU, and the United Kingdom, or UK, and as a result will be subject to additional privacy restrictions. The collection, use, disclosure, transfer or other processing of personal health data in the EU is governed by the provisions of the General Data Protection Regulation, or GDPR.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 obligations with respect to any clinical trials conducted in the European Economic Area by expanding the definition of personal data to include coded data and requiring changes to informed consent practices and more detailed notices for clinical trial subjects and investigators. In addition, the GDPR imposes strict rules on the transfer of personal data out of the European Union, including to the United States, and as a result increases scrutiny that such rules may apply to transfers of personal data from any clinical trial sites located in the EU and the UK to the United States. The GDPR also permits data protection authorities to require destruction of improperly gathered or used personal data and/or impose substantial fines for violations of the GDPR, which can be up to four percent of global revenues or 20 million Euros,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72"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European Union.</w:t>
      </w:r>
    </w:p>
    <w:p>
      <w:pPr>
        <w:spacing w:after="0" w:line="76"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Further, the UK exited the EU effective January 31, 2020, subject to a transition period that ended December 31, 2020. Following the UK’s withdrawal from the EU on January 31, 2020, pursuant to the transitional arrangements agreed to between the UK and EU, the GDPR continued to have effect under law in the UK, and continued to do so until December 31, 2020 as if the UK remained a member state of the EU for such purposes. Following December 31, 2020, and the expiry of those transitional arrangements, the data protection obligations of the GDPR continue to apply to UK-related processing of personal data in substantially unvaried form and fashion under the so-called “UK GDPR” (i.e., the GDPR as it continues to form part of UK law by virtue of section 3 of the European Union (Withdrawal) Act 2018, as amended (including by the various Data Protection, Privacy and Electronic Communications (Amendments etc.) (EU Exit) Regulations)).</w:t>
      </w:r>
    </w:p>
    <w:p>
      <w:pPr>
        <w:spacing w:after="0" w:line="303" w:lineRule="exact"/>
        <w:rPr>
          <w:sz w:val="20"/>
          <w:szCs w:val="20"/>
          <w:color w:val="auto"/>
        </w:rPr>
      </w:pPr>
    </w:p>
    <w:p>
      <w:pPr>
        <w:jc w:val="both"/>
        <w:ind w:left="520" w:right="4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right="40" w:firstLine="510"/>
        <w:spacing w:after="0" w:line="271" w:lineRule="auto"/>
        <w:rPr>
          <w:sz w:val="20"/>
          <w:szCs w:val="20"/>
          <w:color w:val="auto"/>
        </w:rPr>
      </w:pPr>
      <w:r>
        <w:rPr>
          <w:rFonts w:ascii="Arial" w:cs="Arial" w:eastAsia="Arial" w:hAnsi="Arial"/>
          <w:sz w:val="17"/>
          <w:szCs w:val="17"/>
          <w:color w:val="auto"/>
        </w:rPr>
        <w:t>We carry master product liability insurance of $5.0 million per occurrence and $5.0 million in the aggregate in the United States. For studies conducted in Australia and Canada,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7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9"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0" w:lineRule="exact"/>
        <w:rPr>
          <w:sz w:val="20"/>
          <w:szCs w:val="20"/>
          <w:color w:val="auto"/>
        </w:rPr>
      </w:pPr>
    </w:p>
    <w:p>
      <w:pPr>
        <w:ind w:left="520" w:right="94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As of December 31, 2020, we had federal and state net operating loss carryforwards of $214.0 million and $201.6 million, respectively, and federal and state research and development tax credit carryforwards of approximately $3.7 million and $0.7 million, respectively. If not utilized, the net operating loss carryforwards and research and development credits will generally expire at various dates through 2038 (other than federal net operating loss carryforwards generated in taxable years ending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3" w:name="page64"/>
    <w:bookmarkEnd w:id="63"/>
    <w:p>
      <w:pPr>
        <w:ind w:right="820"/>
        <w:spacing w:after="0" w:line="342" w:lineRule="auto"/>
        <w:rPr>
          <w:sz w:val="20"/>
          <w:szCs w:val="20"/>
          <w:color w:val="auto"/>
        </w:rPr>
      </w:pPr>
      <w:r>
        <w:rPr>
          <w:rFonts w:ascii="Arial" w:cs="Arial" w:eastAsia="Arial" w:hAnsi="Arial"/>
          <w:sz w:val="16"/>
          <w:szCs w:val="16"/>
          <w:color w:val="auto"/>
        </w:rPr>
        <w:t>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64"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5"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type 1 program). In addition, we have in-licensed patents and patent applications from BioMarin Pharmaceutical Inc., or BioMarin (relevant to AVR-RD-03 and our Pompe program), GenStem Therapeutics, Inc., or GenStem (relevant to AVR-RD-04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right="40"/>
        <w:spacing w:after="0" w:line="263" w:lineRule="auto"/>
        <w:rPr>
          <w:sz w:val="20"/>
          <w:szCs w:val="20"/>
          <w:color w:val="auto"/>
        </w:rPr>
      </w:pPr>
      <w:r>
        <w:rPr>
          <w:rFonts w:ascii="Arial" w:cs="Arial" w:eastAsia="Arial" w:hAnsi="Arial"/>
          <w:sz w:val="18"/>
          <w:szCs w:val="18"/>
          <w:color w:val="auto"/>
        </w:rPr>
        <w:t>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p>
    <w:p>
      <w:pPr>
        <w:spacing w:after="0" w:line="1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cystinosis,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6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303" w:lineRule="exact"/>
        <w:rPr>
          <w:sz w:val="20"/>
          <w:szCs w:val="20"/>
          <w:color w:val="auto"/>
        </w:rPr>
      </w:pPr>
    </w:p>
    <w:p>
      <w:pPr>
        <w:ind w:left="520" w:right="40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AVR-RD-02 or AVR-RD-06, and the patent applications that we in-licensed related to AVR-RD-04 and AVR-RD-05 are at a very early stage. Many of our product candidates are in-licensed from third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ind w:right="480"/>
        <w:spacing w:after="0" w:line="277" w:lineRule="auto"/>
        <w:rPr>
          <w:sz w:val="20"/>
          <w:szCs w:val="20"/>
          <w:color w:val="auto"/>
        </w:rPr>
      </w:pPr>
      <w:r>
        <w:rPr>
          <w:rFonts w:ascii="Arial" w:cs="Arial" w:eastAsia="Arial" w:hAnsi="Arial"/>
          <w:sz w:val="18"/>
          <w:szCs w:val="18"/>
          <w:color w:val="auto"/>
        </w:rPr>
        <w:t>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2"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4"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86"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have adequate remedies for any breach. In addition, our trade secrets may otherwise become known or be independently discovered by competitors.</w:t>
      </w:r>
    </w:p>
    <w:p>
      <w:pPr>
        <w:spacing w:after="0" w:line="345"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6"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40"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3" w:lineRule="exact"/>
        <w:rPr>
          <w:sz w:val="20"/>
          <w:szCs w:val="20"/>
          <w:color w:val="auto"/>
        </w:rPr>
      </w:pPr>
    </w:p>
    <w:p>
      <w:pPr>
        <w:ind w:left="520" w:right="10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have licensed from GenStem.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40"/>
        <w:spacing w:after="0" w:line="290" w:lineRule="auto"/>
        <w:rPr>
          <w:sz w:val="20"/>
          <w:szCs w:val="20"/>
          <w:color w:val="auto"/>
        </w:rPr>
      </w:pPr>
      <w:r>
        <w:rPr>
          <w:rFonts w:ascii="Arial" w:cs="Arial" w:eastAsia="Arial" w:hAnsi="Arial"/>
          <w:sz w:val="16"/>
          <w:szCs w:val="16"/>
          <w:color w:val="auto"/>
        </w:rPr>
        <w:t>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76"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240"/>
        <w:spacing w:after="0" w:line="277" w:lineRule="auto"/>
        <w:rPr>
          <w:sz w:val="20"/>
          <w:szCs w:val="20"/>
          <w:color w:val="auto"/>
        </w:rPr>
      </w:pPr>
      <w:r>
        <w:rPr>
          <w:rFonts w:ascii="Arial" w:cs="Arial" w:eastAsia="Arial" w:hAnsi="Arial"/>
          <w:sz w:val="18"/>
          <w:szCs w:val="18"/>
          <w:color w:val="auto"/>
        </w:rPr>
        <w:t>or changes in USPTO guidance or procedures could have a material adverse effect on our existing patent rights and our ability to protect and enforce our intellectual property in the future.</w:t>
      </w:r>
    </w:p>
    <w:p>
      <w:pPr>
        <w:spacing w:after="0" w:line="170"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6"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have registered the marks “AVROBIO” and “plato” with the USPTO but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right="54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left="880" w:right="34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880" w:right="40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7" w:lineRule="exact"/>
        <w:rPr>
          <w:rFonts w:ascii="Arial" w:cs="Arial" w:eastAsia="Arial" w:hAnsi="Arial"/>
          <w:sz w:val="18"/>
          <w:szCs w:val="18"/>
          <w:color w:val="auto"/>
        </w:rPr>
      </w:pPr>
    </w:p>
    <w:p>
      <w:pPr>
        <w:ind w:left="880" w:right="820" w:hanging="373"/>
        <w:spacing w:after="0" w:line="308"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880" w:right="78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or IPO, in June 2018, through May 6, 2021, the trading price of our common stock has ranged from $8.50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80" w:lineRule="exact"/>
        <w:rPr>
          <w:sz w:val="20"/>
          <w:szCs w:val="20"/>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0" w:name="page71"/>
    <w:bookmarkEnd w:id="70"/>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4"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Based on shares outstanding as of May 6, 2021, our executive officers, directors, five percent stockholders and their affiliates beneficially owned approximately 42%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1" w:name="page72"/>
    <w:bookmarkEnd w:id="71"/>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w:t>
      </w:r>
    </w:p>
    <w:p>
      <w:pPr>
        <w:spacing w:after="0" w:line="2" w:lineRule="exact"/>
        <w:rPr>
          <w:sz w:val="20"/>
          <w:szCs w:val="20"/>
          <w:color w:val="auto"/>
        </w:rPr>
      </w:pPr>
    </w:p>
    <w:p>
      <w:pPr>
        <w:ind w:firstLine="8"/>
        <w:spacing w:after="0" w:line="253"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84" w:lineRule="exact"/>
        <w:rPr>
          <w:rFonts w:ascii="Arial" w:cs="Arial" w:eastAsia="Arial" w:hAnsi="Arial"/>
          <w:sz w:val="18"/>
          <w:szCs w:val="18"/>
          <w:color w:val="auto"/>
        </w:rPr>
      </w:pPr>
    </w:p>
    <w:p>
      <w:pPr>
        <w:ind w:left="880" w:hanging="373"/>
        <w:spacing w:after="0"/>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880" w:right="580" w:hanging="373"/>
        <w:spacing w:after="0" w:line="263" w:lineRule="auto"/>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880" w:right="240" w:hanging="373"/>
        <w:spacing w:after="0" w:line="342" w:lineRule="auto"/>
        <w:tabs>
          <w:tab w:leader="none" w:pos="8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Annual Report on Form 10-K. In particular, we have not included in this Annual Report, and do not intend to include in our 2021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92" w:lineRule="exact"/>
        <w:rPr>
          <w:sz w:val="20"/>
          <w:szCs w:val="20"/>
          <w:color w:val="auto"/>
        </w:rPr>
      </w:pPr>
    </w:p>
    <w:p>
      <w:pPr>
        <w:ind w:left="520" w:right="78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ind w:right="20" w:firstLine="510"/>
        <w:spacing w:after="0" w:line="27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jc w:val="both"/>
        <w:ind w:left="520" w:right="4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9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0" w:lineRule="exact"/>
        <w:rPr>
          <w:sz w:val="20"/>
          <w:szCs w:val="20"/>
          <w:color w:val="auto"/>
        </w:rPr>
      </w:pPr>
    </w:p>
    <w:p>
      <w:pPr>
        <w:ind w:left="520" w:right="40"/>
        <w:spacing w:after="0" w:line="327" w:lineRule="auto"/>
        <w:rPr>
          <w:sz w:val="20"/>
          <w:szCs w:val="20"/>
          <w:color w:val="auto"/>
        </w:rPr>
      </w:pPr>
      <w:r>
        <w:rPr>
          <w:rFonts w:ascii="Arial" w:cs="Arial" w:eastAsia="Arial" w:hAnsi="Arial"/>
          <w:sz w:val="15"/>
          <w:szCs w:val="15"/>
          <w:b w:val="1"/>
          <w:bCs w:val="1"/>
          <w:i w:val="1"/>
          <w:iCs w:val="1"/>
          <w:color w:val="auto"/>
        </w:rPr>
        <w:t>We and our independent registered public accounting firm previously identified material weaknesses in our internal control over financial reporting, which have now been remediated. Nevertheless, 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4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our Annual Report on Form 10-K for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During 2018 and 2019, we took a number of actions to improve our internal control over financial reporting to remediate these material weaknesses. As a result of these efforts, management has concluded that the previously disclosed material weaknesses have been remediated as of December 31, 2020.</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If we are unable to successfully remediate any future material weaknesses in our internal control over financial reporting,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3" w:name="page74"/>
    <w:bookmarkEnd w:id="73"/>
    <w:p>
      <w:pPr>
        <w:ind w:left="5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300"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May 6, 2021,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69" w:lineRule="exact"/>
        <w:rPr>
          <w:sz w:val="20"/>
          <w:szCs w:val="20"/>
          <w:color w:val="auto"/>
        </w:rPr>
      </w:pPr>
    </w:p>
    <w:p>
      <w:pPr>
        <w:ind w:left="520" w:right="40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88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4" w:name="page75"/>
    <w:bookmarkEnd w:id="74"/>
    <w:p>
      <w:pPr>
        <w:ind w:left="880" w:right="80" w:hanging="373"/>
        <w:spacing w:after="0" w:line="263"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w:t>
      </w:r>
    </w:p>
    <w:p>
      <w:pPr>
        <w:spacing w:after="0" w:line="2" w:lineRule="exact"/>
        <w:rPr>
          <w:sz w:val="20"/>
          <w:szCs w:val="20"/>
          <w:color w:val="auto"/>
        </w:rPr>
      </w:pPr>
    </w:p>
    <w:p>
      <w:pPr>
        <w:ind w:right="20" w:firstLine="8"/>
        <w:spacing w:after="0" w:line="251"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9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The COVID-19 pandemic has caused extreme volatility and disruptions in the capital and credit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economic climate and financial market conditions could adversely impact our business, financial condition, results of operations and prospects.</w:t>
      </w:r>
    </w:p>
    <w:p>
      <w:pPr>
        <w:spacing w:after="0" w:line="345"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100"/>
          </w:cols>
          <w:pgMar w:left="320" w:top="337" w:right="479" w:bottom="1440" w:gutter="0" w:footer="0" w:header="0"/>
        </w:sect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-3175</wp:posOffset>
            </wp:positionV>
            <wp:extent cx="5657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300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111" w:lineRule="exact"/>
        <w:rPr>
          <w:sz w:val="20"/>
          <w:szCs w:val="20"/>
          <w:color w:val="auto"/>
        </w:rPr>
      </w:pPr>
    </w:p>
    <w:p>
      <w:pPr>
        <w:spacing w:after="0" w:line="277" w:lineRule="auto"/>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Fourth Amended and Restated Certificate of Incorporation of the Registrant (filed as Exhibit 3.1 to our Current Report on Form 8-K filed</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on June 25, 2018 and incorporated herein by reference).</w:t>
        </w:r>
      </w:hyperlink>
    </w:p>
    <w:p>
      <w:pPr>
        <w:spacing w:after="0" w:line="76" w:lineRule="exact"/>
        <w:rPr>
          <w:sz w:val="20"/>
          <w:szCs w:val="20"/>
          <w:color w:val="auto"/>
        </w:rPr>
      </w:pPr>
    </w:p>
    <w:p>
      <w:pPr>
        <w:ind w:right="360"/>
        <w:spacing w:after="0" w:line="277" w:lineRule="auto"/>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Certificate of Change of Registered Agent and/or Registered Office of the Registrant (filed as Exhibit 3.2 to our Quarterly Report on</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Form 10-Q filed on November 5, 2020 (File No. 001-38537) and incorporated herein by reference).</w:t>
        </w:r>
      </w:hyperlink>
    </w:p>
    <w:p>
      <w:pPr>
        <w:spacing w:after="0" w:line="76" w:lineRule="exact"/>
        <w:rPr>
          <w:sz w:val="20"/>
          <w:szCs w:val="20"/>
          <w:color w:val="auto"/>
        </w:rPr>
      </w:pPr>
    </w:p>
    <w:p>
      <w:pPr>
        <w:ind w:right="320"/>
        <w:spacing w:after="0" w:line="277" w:lineRule="auto"/>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Amended and Restated By-laws of the Registrant (filed as Exhibit 3.2 to our Current Report on Form 8-K filed on June 25, 2018 and</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incorporated herein by reference).</w:t>
        </w:r>
      </w:hyperlink>
    </w:p>
    <w:p>
      <w:pPr>
        <w:spacing w:after="0" w:line="59" w:lineRule="exact"/>
        <w:rPr>
          <w:sz w:val="20"/>
          <w:szCs w:val="20"/>
          <w:color w:val="auto"/>
        </w:rPr>
      </w:pPr>
    </w:p>
    <w:p>
      <w:pPr>
        <w:sectPr>
          <w:pgSz w:w="11900" w:h="16838" w:orient="portrait"/>
          <w:cols w:equalWidth="0" w:num="2">
            <w:col w:w="820" w:space="380"/>
            <w:col w:w="9900"/>
          </w:cols>
          <w:pgMar w:left="320" w:top="337" w:right="47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Arial" w:cs="Arial" w:eastAsia="Arial" w:hAnsi="Arial"/>
                <w:sz w:val="18"/>
                <w:szCs w:val="18"/>
                <w:color w:val="auto"/>
              </w:rPr>
              <w:t>10.1#</w:t>
            </w:r>
          </w:p>
        </w:tc>
        <w:tc>
          <w:tcPr>
            <w:tcW w:w="81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Amendment to Employment Agreement, by and between the Registrant and Geoff MacKay, dated April 5, 2021.</w:t>
              </w:r>
            </w:hyperlink>
          </w:p>
        </w:tc>
        <w:tc>
          <w:tcPr>
            <w:tcW w:w="1660" w:type="dxa"/>
            <w:vAlign w:val="bottom"/>
            <w:gridSpan w:val="6"/>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10.2#</w:t>
            </w:r>
          </w:p>
        </w:tc>
        <w:tc>
          <w:tcPr>
            <w:tcW w:w="9780" w:type="dxa"/>
            <w:vAlign w:val="bottom"/>
            <w:gridSpan w:val="1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Amendment to Employment Agreement, by and between the Registrant and Erik Ostrowski, dated April 5, 2021.</w:t>
              </w:r>
            </w:hyperlink>
          </w:p>
        </w:tc>
      </w:tr>
      <w:tr>
        <w:trPr>
          <w:trHeight w:val="412"/>
        </w:trPr>
        <w:tc>
          <w:tcPr>
            <w:tcW w:w="1080" w:type="dxa"/>
            <w:vAlign w:val="bottom"/>
          </w:tcPr>
          <w:p>
            <w:pPr>
              <w:ind w:left="100"/>
              <w:spacing w:after="0"/>
              <w:rPr>
                <w:sz w:val="20"/>
                <w:szCs w:val="20"/>
                <w:color w:val="auto"/>
              </w:rPr>
            </w:pPr>
            <w:r>
              <w:rPr>
                <w:rFonts w:ascii="Arial" w:cs="Arial" w:eastAsia="Arial" w:hAnsi="Arial"/>
                <w:sz w:val="18"/>
                <w:szCs w:val="18"/>
                <w:color w:val="auto"/>
              </w:rPr>
              <w:t>10.3#</w:t>
            </w:r>
          </w:p>
        </w:tc>
        <w:tc>
          <w:tcPr>
            <w:tcW w:w="8140" w:type="dxa"/>
            <w:vAlign w:val="bottom"/>
            <w:tcBorders>
              <w:top w:val="single" w:sz="8" w:color="0000EE"/>
            </w:tcBorders>
            <w:gridSpan w:val="6"/>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Amendment to Employment Agreement, by and between the Registrant and Steven Avruch, dated April 5, 2021.</w:t>
              </w:r>
            </w:hyperlink>
          </w:p>
        </w:tc>
        <w:tc>
          <w:tcPr>
            <w:tcW w:w="1640" w:type="dxa"/>
            <w:vAlign w:val="bottom"/>
            <w:gridSpan w:val="5"/>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080" w:type="dxa"/>
            <w:vAlign w:val="bottom"/>
          </w:tcPr>
          <w:p>
            <w:pPr>
              <w:ind w:left="100"/>
              <w:spacing w:after="0"/>
              <w:rPr>
                <w:sz w:val="20"/>
                <w:szCs w:val="20"/>
                <w:color w:val="auto"/>
              </w:rPr>
            </w:pPr>
            <w:r>
              <w:rPr>
                <w:rFonts w:ascii="Arial" w:cs="Arial" w:eastAsia="Arial" w:hAnsi="Arial"/>
                <w:sz w:val="18"/>
                <w:szCs w:val="18"/>
                <w:color w:val="auto"/>
              </w:rPr>
              <w:t>10.4#</w:t>
            </w:r>
          </w:p>
        </w:tc>
        <w:tc>
          <w:tcPr>
            <w:tcW w:w="84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Amendment to Employment Agreement, by and between the Registrant and Diana Escolar, MD, dated April 5, 2021.</w:t>
              </w:r>
            </w:hyperlink>
          </w:p>
        </w:tc>
        <w:tc>
          <w:tcPr>
            <w:tcW w:w="1340" w:type="dxa"/>
            <w:vAlign w:val="bottom"/>
            <w:gridSpan w:val="3"/>
          </w:tcPr>
          <w:p>
            <w:pPr>
              <w:spacing w:after="0"/>
              <w:rPr>
                <w:sz w:val="24"/>
                <w:szCs w:val="24"/>
                <w:color w:val="auto"/>
              </w:rPr>
            </w:pPr>
          </w:p>
        </w:tc>
      </w:tr>
      <w:tr>
        <w:trPr>
          <w:trHeight w:val="412"/>
        </w:trPr>
        <w:tc>
          <w:tcPr>
            <w:tcW w:w="1080" w:type="dxa"/>
            <w:vAlign w:val="bottom"/>
          </w:tcPr>
          <w:p>
            <w:pPr>
              <w:ind w:left="100"/>
              <w:spacing w:after="0"/>
              <w:rPr>
                <w:sz w:val="20"/>
                <w:szCs w:val="20"/>
                <w:color w:val="auto"/>
              </w:rPr>
            </w:pPr>
            <w:r>
              <w:rPr>
                <w:rFonts w:ascii="Arial" w:cs="Arial" w:eastAsia="Arial" w:hAnsi="Arial"/>
                <w:sz w:val="18"/>
                <w:szCs w:val="18"/>
                <w:color w:val="auto"/>
              </w:rPr>
              <w:t>10.5#</w:t>
            </w:r>
          </w:p>
        </w:tc>
        <w:tc>
          <w:tcPr>
            <w:tcW w:w="79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Amendment to Employment Agreement, by and between the Registrant and Chris Mason, dated April 5, 2021.</w:t>
              </w:r>
            </w:hyperlink>
          </w:p>
        </w:tc>
        <w:tc>
          <w:tcPr>
            <w:tcW w:w="1800" w:type="dxa"/>
            <w:vAlign w:val="bottom"/>
            <w:gridSpan w:val="8"/>
          </w:tcPr>
          <w:p>
            <w:pPr>
              <w:spacing w:after="0"/>
              <w:rPr>
                <w:sz w:val="24"/>
                <w:szCs w:val="24"/>
                <w:color w:val="auto"/>
              </w:rPr>
            </w:pPr>
          </w:p>
        </w:tc>
      </w:tr>
      <w:tr>
        <w:trPr>
          <w:trHeight w:val="412"/>
        </w:trPr>
        <w:tc>
          <w:tcPr>
            <w:tcW w:w="1080" w:type="dxa"/>
            <w:vAlign w:val="bottom"/>
          </w:tcPr>
          <w:p>
            <w:pPr>
              <w:ind w:left="100"/>
              <w:spacing w:after="0"/>
              <w:rPr>
                <w:sz w:val="20"/>
                <w:szCs w:val="20"/>
                <w:color w:val="auto"/>
              </w:rPr>
            </w:pPr>
            <w:r>
              <w:rPr>
                <w:rFonts w:ascii="Arial" w:cs="Arial" w:eastAsia="Arial" w:hAnsi="Arial"/>
                <w:sz w:val="18"/>
                <w:szCs w:val="18"/>
                <w:color w:val="auto"/>
              </w:rPr>
              <w:t>10.6#</w:t>
            </w:r>
          </w:p>
        </w:tc>
        <w:tc>
          <w:tcPr>
            <w:tcW w:w="82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Amendment to Employment Agreement, by and between the Registrant and Deanna Petersen, dated April 5, 2021.</w:t>
              </w:r>
            </w:hyperlink>
          </w:p>
        </w:tc>
        <w:tc>
          <w:tcPr>
            <w:tcW w:w="1520" w:type="dxa"/>
            <w:vAlign w:val="bottom"/>
            <w:gridSpan w:val="4"/>
          </w:tcPr>
          <w:p>
            <w:pPr>
              <w:spacing w:after="0"/>
              <w:rPr>
                <w:sz w:val="24"/>
                <w:szCs w:val="24"/>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16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780" w:type="dxa"/>
            <w:vAlign w:val="bottom"/>
            <w:gridSpan w:val="11"/>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Adopted Pursuant to 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9780" w:type="dxa"/>
            <w:vAlign w:val="bottom"/>
            <w:gridSpan w:val="11"/>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Certification of Principal Financial Officer Pursuant to Rules 13a-14(a) and 15d-14(a) under the Securities Exchange Act of 1934, as</w:t>
              </w:r>
            </w:hyperlink>
          </w:p>
        </w:tc>
      </w:tr>
      <w:tr>
        <w:trPr>
          <w:trHeight w:val="196"/>
        </w:trPr>
        <w:tc>
          <w:tcPr>
            <w:tcW w:w="1080" w:type="dxa"/>
            <w:vAlign w:val="bottom"/>
          </w:tcPr>
          <w:p>
            <w:pPr>
              <w:spacing w:after="0"/>
              <w:rPr>
                <w:sz w:val="17"/>
                <w:szCs w:val="17"/>
                <w:color w:val="auto"/>
              </w:rPr>
            </w:pPr>
          </w:p>
        </w:tc>
        <w:tc>
          <w:tcPr>
            <w:tcW w:w="9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Adopted Pursuant to Section 302 of the Sarbanes-Oxley Act of 2002.</w:t>
              </w:r>
            </w:hyperlink>
          </w:p>
        </w:tc>
        <w:tc>
          <w:tcPr>
            <w:tcW w:w="22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97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r>
      <w:tr>
        <w:trPr>
          <w:trHeight w:val="196"/>
        </w:trPr>
        <w:tc>
          <w:tcPr>
            <w:tcW w:w="1080" w:type="dxa"/>
            <w:vAlign w:val="bottom"/>
          </w:tcPr>
          <w:p>
            <w:pPr>
              <w:spacing w:after="0"/>
              <w:rPr>
                <w:sz w:val="17"/>
                <w:szCs w:val="17"/>
                <w:color w:val="auto"/>
              </w:rPr>
            </w:pPr>
          </w:p>
        </w:tc>
        <w:tc>
          <w:tcPr>
            <w:tcW w:w="9780" w:type="dxa"/>
            <w:vAlign w:val="bottom"/>
            <w:gridSpan w:val="1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Section 906 of the Sarbanes-Oxley Act of 2002.</w:t>
              </w:r>
            </w:hyperlink>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320" w:type="dxa"/>
            <w:vAlign w:val="bottom"/>
            <w:gridSpan w:val="10"/>
          </w:tcPr>
          <w:p>
            <w:pPr>
              <w:spacing w:after="0" w:line="20" w:lineRule="exact"/>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gridSpan w:val="11"/>
          </w:tcPr>
          <w:p>
            <w:pPr>
              <w:spacing w:after="0"/>
              <w:rPr>
                <w:sz w:val="20"/>
                <w:szCs w:val="20"/>
                <w:color w:val="auto"/>
              </w:rPr>
            </w:pPr>
            <w:r>
              <w:rPr>
                <w:rFonts w:ascii="Arial" w:cs="Arial" w:eastAsia="Arial" w:hAnsi="Arial"/>
                <w:sz w:val="18"/>
                <w:szCs w:val="18"/>
                <w:color w:val="auto"/>
                <w:w w:val="94"/>
              </w:rPr>
              <w:t>Interactive Data Files pursuant to Rule 405 of Regulation S-T formatted in Inline Extensible Business Reporting Language (“Inline</w:t>
            </w:r>
          </w:p>
        </w:tc>
      </w:tr>
      <w:tr>
        <w:trPr>
          <w:trHeight w:val="230"/>
        </w:trPr>
        <w:tc>
          <w:tcPr>
            <w:tcW w:w="1080" w:type="dxa"/>
            <w:vAlign w:val="bottom"/>
          </w:tcPr>
          <w:p>
            <w:pPr>
              <w:spacing w:after="0"/>
              <w:rPr>
                <w:sz w:val="20"/>
                <w:szCs w:val="20"/>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XBRL”).</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200" w:right="440" w:hanging="1077"/>
        <w:spacing w:after="0" w:line="277" w:lineRule="auto"/>
        <w:tabs>
          <w:tab w:leader="none" w:pos="12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the exhibit is being furnished, not 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6769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30" w:lineRule="exact"/>
        <w:rPr>
          <w:sz w:val="20"/>
          <w:szCs w:val="20"/>
          <w:color w:val="auto"/>
        </w:rPr>
      </w:pPr>
    </w:p>
    <w:p>
      <w:pPr>
        <w:ind w:left="5540" w:right="4720" w:hanging="5532"/>
        <w:spacing w:after="0" w:line="976" w:lineRule="auto"/>
        <w:tabs>
          <w:tab w:leader="none" w:pos="257"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type w:val="continuous"/>
        </w:sectPr>
      </w:pPr>
    </w:p>
    <w:bookmarkStart w:id="77" w:name="page78"/>
    <w:bookmarkEnd w:id="7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President, Chief Executive Officer, and Principal Executive Officer</w:t>
      </w:r>
    </w:p>
    <w:p>
      <w:pPr>
        <w:spacing w:after="0" w:line="222"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Chief Financial Officer and 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320" w:top="553" w:right="39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EMPLOYMENT AGREEMENT</w:t>
      </w:r>
    </w:p>
    <w:p>
      <w:pPr>
        <w:spacing w:after="0" w:line="398" w:lineRule="exact"/>
        <w:rPr>
          <w:sz w:val="20"/>
          <w:szCs w:val="20"/>
          <w:color w:val="auto"/>
        </w:rPr>
      </w:pPr>
    </w:p>
    <w:p>
      <w:pPr>
        <w:ind w:right="720"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AVROBIO, Inc. and Geoff MacKay (the “Executive”) (collectively the “Parties”) entered into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dated June 8, 2018 (the “Employment Agreement”); and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have agreed to modify the Employment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pursuant to Section 17 of the Employment Agreement, the Parties hereby amend the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Employment Agreement as follows:</w:t>
      </w:r>
    </w:p>
    <w:p>
      <w:pPr>
        <w:spacing w:after="0" w:line="188" w:lineRule="exact"/>
        <w:rPr>
          <w:sz w:val="20"/>
          <w:szCs w:val="20"/>
          <w:color w:val="auto"/>
        </w:rPr>
      </w:pPr>
    </w:p>
    <w:p>
      <w:pPr>
        <w:ind w:left="1680" w:hanging="808"/>
        <w:spacing w:after="0"/>
        <w:tabs>
          <w:tab w:leader="none" w:pos="16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Section 2(e) of the Employment Agreement is deleted in its entirety and replaced by the following provision:</w:t>
      </w:r>
    </w:p>
    <w:p>
      <w:pPr>
        <w:spacing w:after="0" w:line="241" w:lineRule="exact"/>
        <w:rPr>
          <w:sz w:val="20"/>
          <w:szCs w:val="20"/>
          <w:color w:val="auto"/>
        </w:rPr>
      </w:pPr>
    </w:p>
    <w:p>
      <w:pPr>
        <w:ind w:left="1300" w:right="80"/>
        <w:spacing w:after="0" w:line="238" w:lineRule="auto"/>
        <w:rPr>
          <w:sz w:val="20"/>
          <w:szCs w:val="20"/>
          <w:color w:val="auto"/>
        </w:rPr>
      </w:pPr>
      <w:r>
        <w:rPr>
          <w:rFonts w:ascii="Arial" w:cs="Arial" w:eastAsia="Arial" w:hAnsi="Arial"/>
          <w:sz w:val="22"/>
          <w:szCs w:val="22"/>
          <w:color w:val="auto"/>
        </w:rPr>
        <w:t>During the Term, the Executive shall be entitled to a paid vacation in accordance with the Company’s policies and procedures which, for the Company’s Executive Team Members (including the Executive), is a flexible, nonaccrual policy which became effective on January 1, 2020. The Executive shall also be entitled to all paid holidays given by the Company to its executive officers.</w:t>
      </w:r>
    </w:p>
    <w:p>
      <w:pPr>
        <w:spacing w:after="0" w:line="185" w:lineRule="exact"/>
        <w:rPr>
          <w:sz w:val="20"/>
          <w:szCs w:val="20"/>
          <w:color w:val="auto"/>
        </w:rPr>
      </w:pPr>
    </w:p>
    <w:p>
      <w:pPr>
        <w:ind w:left="1680" w:hanging="808"/>
        <w:spacing w:after="0"/>
        <w:tabs>
          <w:tab w:leader="none" w:pos="16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All other provisions of the Employment Agreement shall remain in full force and effect.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hereby have executed this Amendment on April 5, 2021.</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AVROBIO, INC.</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Bruce Booth</w:t>
      </w:r>
      <w:r>
        <w:rPr>
          <w:rFonts w:ascii="Arial" w:cs="Arial" w:eastAsia="Arial" w:hAnsi="Arial"/>
          <w:sz w:val="22"/>
          <w:szCs w:val="22"/>
          <w:color w:val="auto"/>
        </w:rPr>
        <w:t>_________________________</w:t>
      </w:r>
    </w:p>
    <w:p>
      <w:pPr>
        <w:ind w:left="5200"/>
        <w:spacing w:after="0" w:line="238" w:lineRule="auto"/>
        <w:rPr>
          <w:sz w:val="20"/>
          <w:szCs w:val="20"/>
          <w:color w:val="auto"/>
        </w:rPr>
      </w:pPr>
      <w:r>
        <w:rPr>
          <w:rFonts w:ascii="Arial" w:cs="Arial" w:eastAsia="Arial" w:hAnsi="Arial"/>
          <w:sz w:val="22"/>
          <w:szCs w:val="22"/>
          <w:color w:val="auto"/>
        </w:rPr>
        <w:t>By: Bruce Booth</w:t>
      </w:r>
    </w:p>
    <w:p>
      <w:pPr>
        <w:ind w:left="5200"/>
        <w:spacing w:after="0"/>
        <w:rPr>
          <w:sz w:val="20"/>
          <w:szCs w:val="20"/>
          <w:color w:val="auto"/>
        </w:rPr>
      </w:pPr>
      <w:r>
        <w:rPr>
          <w:rFonts w:ascii="Arial" w:cs="Arial" w:eastAsia="Arial" w:hAnsi="Arial"/>
          <w:sz w:val="22"/>
          <w:szCs w:val="22"/>
          <w:color w:val="auto"/>
        </w:rPr>
        <w:t>Its: Chairman of the Board of Directors</w:t>
      </w: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Geoff MacKay</w:t>
      </w:r>
      <w:r>
        <w:rPr>
          <w:rFonts w:ascii="Arial" w:cs="Arial" w:eastAsia="Arial" w:hAnsi="Arial"/>
          <w:sz w:val="22"/>
          <w:szCs w:val="22"/>
          <w:color w:val="auto"/>
        </w:rPr>
        <w:t>_______________________</w:t>
      </w:r>
    </w:p>
    <w:p>
      <w:pPr>
        <w:spacing w:after="0" w:line="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Geoff MacKay</w:t>
      </w:r>
    </w:p>
    <w:p>
      <w:pPr>
        <w:sectPr>
          <w:pgSz w:w="11900" w:h="16838" w:orient="portrait"/>
          <w:cols w:equalWidth="0" w:num="1">
            <w:col w:w="11240"/>
          </w:cols>
          <w:pgMar w:left="320" w:top="11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10.2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EMPLOYMENT AGREEMENT</w:t>
      </w:r>
    </w:p>
    <w:p>
      <w:pPr>
        <w:spacing w:after="0" w:line="398" w:lineRule="exact"/>
        <w:rPr>
          <w:sz w:val="20"/>
          <w:szCs w:val="20"/>
          <w:color w:val="auto"/>
        </w:rPr>
      </w:pPr>
    </w:p>
    <w:p>
      <w:pPr>
        <w:ind w:right="700"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AVROBIO, Inc. and Erik Ostrowski (the “Executive”) (collectively the “Parties”) entered into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dated December 17, 2018 (the “Employment Agreement”); and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have agreed to modify the Employment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pursuant to Section 17 of the Employment Agreement, the Parties hereby amend the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Employment Agreement as follows:</w:t>
      </w:r>
    </w:p>
    <w:p>
      <w:pPr>
        <w:spacing w:after="0" w:line="188" w:lineRule="exact"/>
        <w:rPr>
          <w:sz w:val="20"/>
          <w:szCs w:val="20"/>
          <w:color w:val="auto"/>
        </w:rPr>
      </w:pPr>
    </w:p>
    <w:p>
      <w:pPr>
        <w:ind w:left="1680" w:hanging="808"/>
        <w:spacing w:after="0"/>
        <w:tabs>
          <w:tab w:leader="none" w:pos="16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Section 2(e) of the Employment Agreement is deleted in its entirety and replaced by the following provision:</w:t>
      </w:r>
    </w:p>
    <w:p>
      <w:pPr>
        <w:spacing w:after="0" w:line="241" w:lineRule="exact"/>
        <w:rPr>
          <w:sz w:val="20"/>
          <w:szCs w:val="20"/>
          <w:color w:val="auto"/>
        </w:rPr>
      </w:pPr>
    </w:p>
    <w:p>
      <w:pPr>
        <w:ind w:left="1300" w:right="80"/>
        <w:spacing w:after="0" w:line="238" w:lineRule="auto"/>
        <w:rPr>
          <w:sz w:val="20"/>
          <w:szCs w:val="20"/>
          <w:color w:val="auto"/>
        </w:rPr>
      </w:pPr>
      <w:r>
        <w:rPr>
          <w:rFonts w:ascii="Arial" w:cs="Arial" w:eastAsia="Arial" w:hAnsi="Arial"/>
          <w:sz w:val="22"/>
          <w:szCs w:val="22"/>
          <w:color w:val="auto"/>
        </w:rPr>
        <w:t>During the Term, the Executive shall be entitled to a paid vacation in accordance with the Company’s policies and procedures which, for the Company’s Executive Team Members (including the Executive), is a flexible, nonaccrual policy which became effective on January 1, 2020. The Executive shall also be entitled to all paid holidays given by the Company to its executive officers.</w:t>
      </w:r>
    </w:p>
    <w:p>
      <w:pPr>
        <w:spacing w:after="0" w:line="185" w:lineRule="exact"/>
        <w:rPr>
          <w:sz w:val="20"/>
          <w:szCs w:val="20"/>
          <w:color w:val="auto"/>
        </w:rPr>
      </w:pPr>
    </w:p>
    <w:p>
      <w:pPr>
        <w:ind w:left="1680" w:hanging="808"/>
        <w:spacing w:after="0"/>
        <w:tabs>
          <w:tab w:leader="none" w:pos="16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other provisions of the Employment Agreement shall remain in full force and effect.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hereby have executed this Amendment on April 5, 2021.</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AVROBIO, INC.</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Geoff MacKay</w:t>
      </w:r>
      <w:r>
        <w:rPr>
          <w:rFonts w:ascii="Arial" w:cs="Arial" w:eastAsia="Arial" w:hAnsi="Arial"/>
          <w:sz w:val="22"/>
          <w:szCs w:val="22"/>
          <w:color w:val="auto"/>
        </w:rPr>
        <w:t>________________________</w:t>
      </w:r>
    </w:p>
    <w:p>
      <w:pPr>
        <w:ind w:left="5200"/>
        <w:spacing w:after="0" w:line="238" w:lineRule="auto"/>
        <w:rPr>
          <w:sz w:val="20"/>
          <w:szCs w:val="20"/>
          <w:color w:val="auto"/>
        </w:rPr>
      </w:pPr>
      <w:r>
        <w:rPr>
          <w:rFonts w:ascii="Arial" w:cs="Arial" w:eastAsia="Arial" w:hAnsi="Arial"/>
          <w:sz w:val="22"/>
          <w:szCs w:val="22"/>
          <w:color w:val="auto"/>
        </w:rPr>
        <w:t>By: Geoff MacKay</w:t>
      </w:r>
    </w:p>
    <w:p>
      <w:pPr>
        <w:ind w:left="5200"/>
        <w:spacing w:after="0"/>
        <w:rPr>
          <w:sz w:val="20"/>
          <w:szCs w:val="20"/>
          <w:color w:val="auto"/>
        </w:rPr>
      </w:pPr>
      <w:r>
        <w:rPr>
          <w:rFonts w:ascii="Arial" w:cs="Arial" w:eastAsia="Arial" w:hAnsi="Arial"/>
          <w:sz w:val="22"/>
          <w:szCs w:val="22"/>
          <w:color w:val="auto"/>
        </w:rPr>
        <w:t>Its: Chief Executive Officer</w:t>
      </w: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Erik Ostrowski</w:t>
      </w:r>
      <w:r>
        <w:rPr>
          <w:rFonts w:ascii="Arial" w:cs="Arial" w:eastAsia="Arial" w:hAnsi="Arial"/>
          <w:sz w:val="22"/>
          <w:szCs w:val="22"/>
          <w:color w:val="auto"/>
        </w:rPr>
        <w:t>________________________</w:t>
      </w:r>
    </w:p>
    <w:p>
      <w:pPr>
        <w:spacing w:after="0" w:line="8"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Erik Ostrowski</w:t>
      </w:r>
    </w:p>
    <w:p>
      <w:pPr>
        <w:sectPr>
          <w:pgSz w:w="11900" w:h="16838" w:orient="portrait"/>
          <w:cols w:equalWidth="0" w:num="1">
            <w:col w:w="11240"/>
          </w:cols>
          <w:pgMar w:left="320" w:top="11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10.3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EMPLOYMENT AGREEMENT</w:t>
      </w:r>
    </w:p>
    <w:p>
      <w:pPr>
        <w:spacing w:after="0" w:line="398" w:lineRule="exact"/>
        <w:rPr>
          <w:sz w:val="20"/>
          <w:szCs w:val="20"/>
          <w:color w:val="auto"/>
        </w:rPr>
      </w:pPr>
    </w:p>
    <w:p>
      <w:pPr>
        <w:ind w:right="740"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AVROBIO, Inc. and Steven Avruch (the “Executive”) (collectively the “Parties”) entered into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dated December 17, 2018 (the “Employment Agreement”); and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have agreed to modify the Employment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pursuant to Section 17 of the Employment Agreement, the Parties hereby amend the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Employment Agreement as follows:</w:t>
      </w:r>
    </w:p>
    <w:p>
      <w:pPr>
        <w:spacing w:after="0" w:line="188" w:lineRule="exact"/>
        <w:rPr>
          <w:sz w:val="20"/>
          <w:szCs w:val="20"/>
          <w:color w:val="auto"/>
        </w:rPr>
      </w:pPr>
    </w:p>
    <w:p>
      <w:pPr>
        <w:ind w:left="1680" w:hanging="808"/>
        <w:spacing w:after="0"/>
        <w:tabs>
          <w:tab w:leader="none" w:pos="16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Section 2(e) of the Employment Agreement is deleted in its entirety and replaced by the following provision:</w:t>
      </w:r>
    </w:p>
    <w:p>
      <w:pPr>
        <w:spacing w:after="0" w:line="241" w:lineRule="exact"/>
        <w:rPr>
          <w:sz w:val="20"/>
          <w:szCs w:val="20"/>
          <w:color w:val="auto"/>
        </w:rPr>
      </w:pPr>
    </w:p>
    <w:p>
      <w:pPr>
        <w:ind w:left="1300" w:right="80"/>
        <w:spacing w:after="0" w:line="238" w:lineRule="auto"/>
        <w:rPr>
          <w:sz w:val="20"/>
          <w:szCs w:val="20"/>
          <w:color w:val="auto"/>
        </w:rPr>
      </w:pPr>
      <w:r>
        <w:rPr>
          <w:rFonts w:ascii="Arial" w:cs="Arial" w:eastAsia="Arial" w:hAnsi="Arial"/>
          <w:sz w:val="22"/>
          <w:szCs w:val="22"/>
          <w:color w:val="auto"/>
        </w:rPr>
        <w:t>During the Term, the Executive shall be entitled to a paid vacation in accordance with the Company’s policies and procedures which, for the Company’s Executive Team Members (including the Executive), is a flexible, nonaccrual policy which became effective on January 1, 2020. The Executive shall also be entitled to all paid holidays given by the Company to its executive officers.</w:t>
      </w:r>
    </w:p>
    <w:p>
      <w:pPr>
        <w:spacing w:after="0" w:line="185" w:lineRule="exact"/>
        <w:rPr>
          <w:sz w:val="20"/>
          <w:szCs w:val="20"/>
          <w:color w:val="auto"/>
        </w:rPr>
      </w:pPr>
    </w:p>
    <w:p>
      <w:pPr>
        <w:ind w:left="1680" w:hanging="808"/>
        <w:spacing w:after="0"/>
        <w:tabs>
          <w:tab w:leader="none" w:pos="16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All other provisions of the Employment Agreement shall remain in full force and effect.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hereby have executed this Amendment on April 5, 2021.</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AVROBIO, INC.</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Geoff MacKay</w:t>
      </w:r>
      <w:r>
        <w:rPr>
          <w:rFonts w:ascii="Arial" w:cs="Arial" w:eastAsia="Arial" w:hAnsi="Arial"/>
          <w:sz w:val="22"/>
          <w:szCs w:val="22"/>
          <w:color w:val="auto"/>
        </w:rPr>
        <w:t>________________________</w:t>
      </w:r>
    </w:p>
    <w:p>
      <w:pPr>
        <w:ind w:left="5200"/>
        <w:spacing w:after="0" w:line="238" w:lineRule="auto"/>
        <w:rPr>
          <w:sz w:val="20"/>
          <w:szCs w:val="20"/>
          <w:color w:val="auto"/>
        </w:rPr>
      </w:pPr>
      <w:r>
        <w:rPr>
          <w:rFonts w:ascii="Arial" w:cs="Arial" w:eastAsia="Arial" w:hAnsi="Arial"/>
          <w:sz w:val="22"/>
          <w:szCs w:val="22"/>
          <w:color w:val="auto"/>
        </w:rPr>
        <w:t>By: Geoff MacKay</w:t>
      </w:r>
    </w:p>
    <w:p>
      <w:pPr>
        <w:ind w:left="5200"/>
        <w:spacing w:after="0"/>
        <w:rPr>
          <w:sz w:val="20"/>
          <w:szCs w:val="20"/>
          <w:color w:val="auto"/>
        </w:rPr>
      </w:pPr>
      <w:r>
        <w:rPr>
          <w:rFonts w:ascii="Arial" w:cs="Arial" w:eastAsia="Arial" w:hAnsi="Arial"/>
          <w:sz w:val="22"/>
          <w:szCs w:val="22"/>
          <w:color w:val="auto"/>
        </w:rPr>
        <w:t>Its: Chief Executive Officer</w:t>
      </w: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Steven Avruch</w:t>
      </w:r>
      <w:r>
        <w:rPr>
          <w:rFonts w:ascii="Arial" w:cs="Arial" w:eastAsia="Arial" w:hAnsi="Arial"/>
          <w:sz w:val="22"/>
          <w:szCs w:val="22"/>
          <w:color w:val="auto"/>
        </w:rPr>
        <w:t>________________________</w:t>
      </w:r>
    </w:p>
    <w:p>
      <w:pPr>
        <w:spacing w:after="0" w:line="8" w:lineRule="exact"/>
        <w:rPr>
          <w:sz w:val="20"/>
          <w:szCs w:val="20"/>
          <w:color w:val="auto"/>
        </w:rPr>
      </w:pPr>
    </w:p>
    <w:p>
      <w:pPr>
        <w:jc w:val="center"/>
        <w:ind w:left="400"/>
        <w:spacing w:after="0"/>
        <w:rPr>
          <w:sz w:val="20"/>
          <w:szCs w:val="20"/>
          <w:color w:val="auto"/>
        </w:rPr>
      </w:pPr>
      <w:r>
        <w:rPr>
          <w:rFonts w:ascii="Arial" w:cs="Arial" w:eastAsia="Arial" w:hAnsi="Arial"/>
          <w:sz w:val="22"/>
          <w:szCs w:val="22"/>
          <w:color w:val="auto"/>
        </w:rPr>
        <w:t>Steven Avruch</w:t>
      </w:r>
    </w:p>
    <w:p>
      <w:pPr>
        <w:sectPr>
          <w:pgSz w:w="11900" w:h="16838" w:orient="portrait"/>
          <w:cols w:equalWidth="0" w:num="1">
            <w:col w:w="11240"/>
          </w:cols>
          <w:pgMar w:left="320" w:top="11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Exhibit 10.4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EMPLOYMENT AGREEMENT</w:t>
      </w:r>
    </w:p>
    <w:p>
      <w:pPr>
        <w:spacing w:after="0" w:line="398" w:lineRule="exact"/>
        <w:rPr>
          <w:sz w:val="20"/>
          <w:szCs w:val="20"/>
          <w:color w:val="auto"/>
        </w:rPr>
      </w:pPr>
    </w:p>
    <w:p>
      <w:pPr>
        <w:ind w:right="360"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AVROBIO, Inc. and Diana Escolar, MD (the “Executive”) (collectively the “Parties”) entered into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dated December 4, 2020 (the “Employment Agreement”); and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have agreed to modify the Employment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pursuant to Section 17 of the Employment Agreement, the Parties hereby amend the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Employment Agreement as follows:</w:t>
      </w:r>
    </w:p>
    <w:p>
      <w:pPr>
        <w:spacing w:after="0" w:line="188" w:lineRule="exact"/>
        <w:rPr>
          <w:sz w:val="20"/>
          <w:szCs w:val="20"/>
          <w:color w:val="auto"/>
        </w:rPr>
      </w:pPr>
    </w:p>
    <w:p>
      <w:pPr>
        <w:ind w:left="1680" w:hanging="808"/>
        <w:spacing w:after="0"/>
        <w:tabs>
          <w:tab w:leader="none" w:pos="16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Section 2(e) of the Employment Agreement is deleted in its entirety and replaced by the following provision:</w:t>
      </w:r>
    </w:p>
    <w:p>
      <w:pPr>
        <w:spacing w:after="0" w:line="241" w:lineRule="exact"/>
        <w:rPr>
          <w:sz w:val="20"/>
          <w:szCs w:val="20"/>
          <w:color w:val="auto"/>
        </w:rPr>
      </w:pPr>
    </w:p>
    <w:p>
      <w:pPr>
        <w:ind w:left="1300" w:right="80"/>
        <w:spacing w:after="0" w:line="238" w:lineRule="auto"/>
        <w:rPr>
          <w:sz w:val="20"/>
          <w:szCs w:val="20"/>
          <w:color w:val="auto"/>
        </w:rPr>
      </w:pPr>
      <w:r>
        <w:rPr>
          <w:rFonts w:ascii="Arial" w:cs="Arial" w:eastAsia="Arial" w:hAnsi="Arial"/>
          <w:sz w:val="22"/>
          <w:szCs w:val="22"/>
          <w:color w:val="auto"/>
        </w:rPr>
        <w:t>During the Term, the Executive shall be entitled to a paid vacation in accordance with the Company’s policies and procedures which, for the Company’s Executive Team Members (including the Executive), is a flexible, nonaccrual policy which became effective on January 1, 2020. The Executive shall also be entitled to all paid holidays given by the Company to its executive officers.</w:t>
      </w:r>
    </w:p>
    <w:p>
      <w:pPr>
        <w:spacing w:after="0" w:line="185" w:lineRule="exact"/>
        <w:rPr>
          <w:sz w:val="20"/>
          <w:szCs w:val="20"/>
          <w:color w:val="auto"/>
        </w:rPr>
      </w:pPr>
    </w:p>
    <w:p>
      <w:pPr>
        <w:ind w:left="1680" w:hanging="808"/>
        <w:spacing w:after="0"/>
        <w:tabs>
          <w:tab w:leader="none" w:pos="16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other provisions of the Employment Agreement shall remain in full force and effect.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hereby have executed this Amendment on April 5, 2021.</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AVROBIO, INC.</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Geoff MacKay</w:t>
      </w:r>
      <w:r>
        <w:rPr>
          <w:rFonts w:ascii="Arial" w:cs="Arial" w:eastAsia="Arial" w:hAnsi="Arial"/>
          <w:sz w:val="22"/>
          <w:szCs w:val="22"/>
          <w:color w:val="auto"/>
        </w:rPr>
        <w:t>________________________</w:t>
      </w:r>
    </w:p>
    <w:p>
      <w:pPr>
        <w:ind w:left="5200"/>
        <w:spacing w:after="0" w:line="238" w:lineRule="auto"/>
        <w:rPr>
          <w:sz w:val="20"/>
          <w:szCs w:val="20"/>
          <w:color w:val="auto"/>
        </w:rPr>
      </w:pPr>
      <w:r>
        <w:rPr>
          <w:rFonts w:ascii="Arial" w:cs="Arial" w:eastAsia="Arial" w:hAnsi="Arial"/>
          <w:sz w:val="22"/>
          <w:szCs w:val="22"/>
          <w:color w:val="auto"/>
        </w:rPr>
        <w:t>By: Geoff MacKay</w:t>
      </w:r>
    </w:p>
    <w:p>
      <w:pPr>
        <w:ind w:left="5200"/>
        <w:spacing w:after="0"/>
        <w:rPr>
          <w:sz w:val="20"/>
          <w:szCs w:val="20"/>
          <w:color w:val="auto"/>
        </w:rPr>
      </w:pPr>
      <w:r>
        <w:rPr>
          <w:rFonts w:ascii="Arial" w:cs="Arial" w:eastAsia="Arial" w:hAnsi="Arial"/>
          <w:sz w:val="22"/>
          <w:szCs w:val="22"/>
          <w:color w:val="auto"/>
        </w:rPr>
        <w:t>Its: Chief Executive Officer</w:t>
      </w: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Diana Escolar, MD</w:t>
      </w:r>
      <w:r>
        <w:rPr>
          <w:rFonts w:ascii="Arial" w:cs="Arial" w:eastAsia="Arial" w:hAnsi="Arial"/>
          <w:sz w:val="22"/>
          <w:szCs w:val="22"/>
          <w:color w:val="auto"/>
        </w:rPr>
        <w:t>____________________</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Diana Escolar, MD</w:t>
      </w:r>
    </w:p>
    <w:p>
      <w:pPr>
        <w:sectPr>
          <w:pgSz w:w="11900" w:h="16838" w:orient="portrait"/>
          <w:cols w:equalWidth="0" w:num="1">
            <w:col w:w="11240"/>
          </w:cols>
          <w:pgMar w:left="320" w:top="11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10.5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EMPLOYMENT AGREEMENT</w:t>
      </w:r>
    </w:p>
    <w:p>
      <w:pPr>
        <w:spacing w:after="0" w:line="398" w:lineRule="exact"/>
        <w:rPr>
          <w:sz w:val="20"/>
          <w:szCs w:val="20"/>
          <w:color w:val="auto"/>
        </w:rPr>
      </w:pPr>
    </w:p>
    <w:p>
      <w:pPr>
        <w:ind w:right="900"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AVROBIO, Inc. and Chris Mason (the “Executive”) (collectively the “Parties”) entered into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dated September 1, 2018 (the “Employment Agreement”); and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have agreed to modify the Employment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pursuant to Section 17 of the Employment Agreement, the Parties hereby amend the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Employment Agreement as follows:</w:t>
      </w:r>
    </w:p>
    <w:p>
      <w:pPr>
        <w:spacing w:after="0" w:line="188" w:lineRule="exact"/>
        <w:rPr>
          <w:sz w:val="20"/>
          <w:szCs w:val="20"/>
          <w:color w:val="auto"/>
        </w:rPr>
      </w:pPr>
    </w:p>
    <w:p>
      <w:pPr>
        <w:ind w:left="1680" w:hanging="808"/>
        <w:spacing w:after="0"/>
        <w:tabs>
          <w:tab w:leader="none" w:pos="16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Section 2(e) of the Employment Agreement is deleted in its entirety and replaced by the following provision:</w:t>
      </w:r>
    </w:p>
    <w:p>
      <w:pPr>
        <w:spacing w:after="0" w:line="241" w:lineRule="exact"/>
        <w:rPr>
          <w:sz w:val="20"/>
          <w:szCs w:val="20"/>
          <w:color w:val="auto"/>
        </w:rPr>
      </w:pPr>
    </w:p>
    <w:p>
      <w:pPr>
        <w:ind w:left="1300" w:right="80"/>
        <w:spacing w:after="0" w:line="238" w:lineRule="auto"/>
        <w:rPr>
          <w:sz w:val="20"/>
          <w:szCs w:val="20"/>
          <w:color w:val="auto"/>
        </w:rPr>
      </w:pPr>
      <w:r>
        <w:rPr>
          <w:rFonts w:ascii="Arial" w:cs="Arial" w:eastAsia="Arial" w:hAnsi="Arial"/>
          <w:sz w:val="22"/>
          <w:szCs w:val="22"/>
          <w:color w:val="auto"/>
        </w:rPr>
        <w:t>During the Term, the Executive shall be entitled to a paid vacation in accordance with the Company’s policies and procedures which, for the Company’s Executive Team Members (including the Executive), is a flexible, nonaccrual policy which became effective on January 1, 2020. The Executive shall also be entitled to all paid holidays given by the Company to its executive officers.</w:t>
      </w:r>
    </w:p>
    <w:p>
      <w:pPr>
        <w:spacing w:after="0" w:line="185" w:lineRule="exact"/>
        <w:rPr>
          <w:sz w:val="20"/>
          <w:szCs w:val="20"/>
          <w:color w:val="auto"/>
        </w:rPr>
      </w:pPr>
    </w:p>
    <w:p>
      <w:pPr>
        <w:ind w:left="1680" w:hanging="808"/>
        <w:spacing w:after="0"/>
        <w:tabs>
          <w:tab w:leader="none" w:pos="16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All other provisions of the Employment Agreement shall remain in full force and effect.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hereby have executed this Amendment on April 5, 2021.</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AVROBIO, INC.</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Geoff MacKay</w:t>
      </w:r>
      <w:r>
        <w:rPr>
          <w:rFonts w:ascii="Arial" w:cs="Arial" w:eastAsia="Arial" w:hAnsi="Arial"/>
          <w:sz w:val="22"/>
          <w:szCs w:val="22"/>
          <w:color w:val="auto"/>
        </w:rPr>
        <w:t>_______________________</w:t>
      </w:r>
    </w:p>
    <w:p>
      <w:pPr>
        <w:ind w:left="5200"/>
        <w:spacing w:after="0" w:line="238" w:lineRule="auto"/>
        <w:rPr>
          <w:sz w:val="20"/>
          <w:szCs w:val="20"/>
          <w:color w:val="auto"/>
        </w:rPr>
      </w:pPr>
      <w:r>
        <w:rPr>
          <w:rFonts w:ascii="Arial" w:cs="Arial" w:eastAsia="Arial" w:hAnsi="Arial"/>
          <w:sz w:val="22"/>
          <w:szCs w:val="22"/>
          <w:color w:val="auto"/>
        </w:rPr>
        <w:t>By: Geoff MacKay</w:t>
      </w:r>
    </w:p>
    <w:p>
      <w:pPr>
        <w:ind w:left="5200"/>
        <w:spacing w:after="0"/>
        <w:rPr>
          <w:sz w:val="20"/>
          <w:szCs w:val="20"/>
          <w:color w:val="auto"/>
        </w:rPr>
      </w:pPr>
      <w:r>
        <w:rPr>
          <w:rFonts w:ascii="Arial" w:cs="Arial" w:eastAsia="Arial" w:hAnsi="Arial"/>
          <w:sz w:val="22"/>
          <w:szCs w:val="22"/>
          <w:color w:val="auto"/>
        </w:rPr>
        <w:t>Its: Chief Executive Officer</w:t>
      </w: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Chris Mason</w:t>
      </w:r>
      <w:r>
        <w:rPr>
          <w:rFonts w:ascii="Arial" w:cs="Arial" w:eastAsia="Arial" w:hAnsi="Arial"/>
          <w:sz w:val="22"/>
          <w:szCs w:val="22"/>
          <w:color w:val="auto"/>
        </w:rPr>
        <w:t>__________________________</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Chris Mason</w:t>
      </w:r>
    </w:p>
    <w:p>
      <w:pPr>
        <w:sectPr>
          <w:pgSz w:w="11900" w:h="16838" w:orient="portrait"/>
          <w:cols w:equalWidth="0" w:num="1">
            <w:col w:w="11240"/>
          </w:cols>
          <w:pgMar w:left="320" w:top="11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10.6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EMPLOYMENT AGREEMENT</w:t>
      </w:r>
    </w:p>
    <w:p>
      <w:pPr>
        <w:spacing w:after="0" w:line="398" w:lineRule="exact"/>
        <w:rPr>
          <w:sz w:val="20"/>
          <w:szCs w:val="20"/>
          <w:color w:val="auto"/>
        </w:rPr>
      </w:pPr>
    </w:p>
    <w:p>
      <w:pPr>
        <w:ind w:right="580"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AVROBIO, Inc. and Deanna Petersen (the “Executive”) (collectively the “Parties”) entered into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dated September 1, 2018 (the “Employment Agreement”); and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have agreed to modify the Employment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pursuant to Section 17 of the Employment Agreement, the Parties hereby amend the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Employment Agreement as follows:</w:t>
      </w:r>
    </w:p>
    <w:p>
      <w:pPr>
        <w:spacing w:after="0" w:line="188" w:lineRule="exact"/>
        <w:rPr>
          <w:sz w:val="20"/>
          <w:szCs w:val="20"/>
          <w:color w:val="auto"/>
        </w:rPr>
      </w:pPr>
    </w:p>
    <w:p>
      <w:pPr>
        <w:ind w:left="1680" w:hanging="808"/>
        <w:spacing w:after="0"/>
        <w:tabs>
          <w:tab w:leader="none" w:pos="16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Section 2(e) of the Employment Agreement is deleted in its entirety and replaced by the following provision:</w:t>
      </w:r>
    </w:p>
    <w:p>
      <w:pPr>
        <w:spacing w:after="0" w:line="241" w:lineRule="exact"/>
        <w:rPr>
          <w:sz w:val="20"/>
          <w:szCs w:val="20"/>
          <w:color w:val="auto"/>
        </w:rPr>
      </w:pPr>
    </w:p>
    <w:p>
      <w:pPr>
        <w:ind w:left="1300" w:right="80"/>
        <w:spacing w:after="0" w:line="238" w:lineRule="auto"/>
        <w:rPr>
          <w:sz w:val="20"/>
          <w:szCs w:val="20"/>
          <w:color w:val="auto"/>
        </w:rPr>
      </w:pPr>
      <w:r>
        <w:rPr>
          <w:rFonts w:ascii="Arial" w:cs="Arial" w:eastAsia="Arial" w:hAnsi="Arial"/>
          <w:sz w:val="22"/>
          <w:szCs w:val="22"/>
          <w:color w:val="auto"/>
        </w:rPr>
        <w:t>During the Term, the Executive shall be entitled to a paid vacation in accordance with the Company’s policies and procedures which, for the Company’s Executive Team Members (including the Executive), is a flexible, nonaccrual policy which became effective on January 1, 2020. The Executive shall also be entitled to all paid holidays given by the Company to its executive officers.</w:t>
      </w:r>
    </w:p>
    <w:p>
      <w:pPr>
        <w:spacing w:after="0" w:line="185" w:lineRule="exact"/>
        <w:rPr>
          <w:sz w:val="20"/>
          <w:szCs w:val="20"/>
          <w:color w:val="auto"/>
        </w:rPr>
      </w:pPr>
    </w:p>
    <w:p>
      <w:pPr>
        <w:ind w:left="1680" w:hanging="808"/>
        <w:spacing w:after="0"/>
        <w:tabs>
          <w:tab w:leader="none" w:pos="16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other provisions of the Employment Agreement shall remain in full force and effect.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hereby have executed this Amendment on April 5, 2021.</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AVROBIO, INC.</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Geoff MacKay</w:t>
      </w:r>
      <w:r>
        <w:rPr>
          <w:rFonts w:ascii="Arial" w:cs="Arial" w:eastAsia="Arial" w:hAnsi="Arial"/>
          <w:sz w:val="22"/>
          <w:szCs w:val="22"/>
          <w:color w:val="auto"/>
        </w:rPr>
        <w:t>________________________</w:t>
      </w:r>
    </w:p>
    <w:p>
      <w:pPr>
        <w:ind w:left="5200"/>
        <w:spacing w:after="0" w:line="238" w:lineRule="auto"/>
        <w:rPr>
          <w:sz w:val="20"/>
          <w:szCs w:val="20"/>
          <w:color w:val="auto"/>
        </w:rPr>
      </w:pPr>
      <w:r>
        <w:rPr>
          <w:rFonts w:ascii="Arial" w:cs="Arial" w:eastAsia="Arial" w:hAnsi="Arial"/>
          <w:sz w:val="22"/>
          <w:szCs w:val="22"/>
          <w:color w:val="auto"/>
        </w:rPr>
        <w:t>By: Geoff MacKay</w:t>
      </w:r>
    </w:p>
    <w:p>
      <w:pPr>
        <w:ind w:left="5200"/>
        <w:spacing w:after="0"/>
        <w:rPr>
          <w:sz w:val="20"/>
          <w:szCs w:val="20"/>
          <w:color w:val="auto"/>
        </w:rPr>
      </w:pPr>
      <w:r>
        <w:rPr>
          <w:rFonts w:ascii="Arial" w:cs="Arial" w:eastAsia="Arial" w:hAnsi="Arial"/>
          <w:sz w:val="22"/>
          <w:szCs w:val="22"/>
          <w:color w:val="auto"/>
        </w:rPr>
        <w:t>Its: Chief Executive Officer</w:t>
      </w: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Deanna Petersen</w:t>
      </w:r>
      <w:r>
        <w:rPr>
          <w:rFonts w:ascii="Arial" w:cs="Arial" w:eastAsia="Arial" w:hAnsi="Arial"/>
          <w:sz w:val="22"/>
          <w:szCs w:val="22"/>
          <w:color w:val="auto"/>
        </w:rPr>
        <w:t>_______________________</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Deanna Petersen</w:t>
      </w:r>
    </w:p>
    <w:p>
      <w:pPr>
        <w:sectPr>
          <w:pgSz w:w="11900" w:h="16838" w:orient="portrait"/>
          <w:cols w:equalWidth="0" w:num="1">
            <w:col w:w="11240"/>
          </w:cols>
          <w:pgMar w:left="320" w:top="11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of AVROBIO, Inc. (the “Company”) on Form 10-Q for the period ending March 31, 2021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76" w:lineRule="exact"/>
        <w:rPr>
          <w:sz w:val="20"/>
          <w:szCs w:val="20"/>
          <w:color w:val="auto"/>
        </w:rPr>
      </w:pPr>
    </w:p>
    <w:p>
      <w:pPr>
        <w:ind w:left="880" w:hanging="373"/>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Executive Officer</w:t>
      </w:r>
    </w:p>
    <w:p>
      <w:pPr>
        <w:spacing w:after="0" w:line="251"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0"/>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lowerRoman"/>
      <w:start w:val="4"/>
    </w:lvl>
    <w:lvl w:ilvl="1">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decimal"/>
      <w:start w:val="3"/>
    </w:lvl>
  </w:abstractNum>
  <w:abstractNum w:abstractNumId="44">
    <w:nsid w:val="70C6A529"/>
    <w:multiLevelType w:val="hybridMultilevel"/>
    <w:lvl w:ilvl="0">
      <w:lvlJc w:val="left"/>
      <w:lvlText w:val="*"/>
      <w:numFmt w:val="bullet"/>
      <w:start w:val="1"/>
    </w:lvl>
    <w:lvl w:ilvl="1">
      <w:lvlJc w:val="left"/>
      <w:lvlText w:val="%2"/>
      <w:numFmt w:val="decimal"/>
      <w:start w:val="104"/>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2"/>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2"/>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2"/>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2"/>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2"/>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2"/>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99" Type="http://schemas.openxmlformats.org/officeDocument/2006/relationships/hyperlink" Target="http://www.sec.gov/Archives/edgar/data/1681087/000119312518202460/d153924dex31.htm" TargetMode="External"/><Relationship Id="rId100" Type="http://schemas.openxmlformats.org/officeDocument/2006/relationships/hyperlink" Target="http://www.sec.gov/Archives/edgar/data/1681087/000156459020051456/avro-ex32_90.htm" TargetMode="External"/><Relationship Id="rId101" Type="http://schemas.openxmlformats.org/officeDocument/2006/relationships/hyperlink" Target="http://www.sec.gov/Archives/edgar/data/1681087/000119312518202460/d153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2021-05-13T16:02:53Z</dcterms:created>
  <dcterms:modified xsi:type="dcterms:W3CDTF">2021-05-13T16:02:53Z</dcterms:modified>
</cp:coreProperties>
</file>