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277100" cy="938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02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460"/>
            <w:col w:w="878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SVLSF VI, LLC</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80"/>
        <w:spacing w:after="0" w:line="379" w:lineRule="auto"/>
        <w:rPr>
          <w:sz w:val="20"/>
          <w:szCs w:val="20"/>
          <w:color w:val="auto"/>
        </w:rPr>
      </w:pPr>
      <w:r>
        <w:rPr>
          <w:rFonts w:ascii="Arial" w:cs="Arial" w:eastAsia="Arial" w:hAnsi="Arial"/>
          <w:sz w:val="16"/>
          <w:szCs w:val="16"/>
          <w:color w:val="0000FF"/>
        </w:rPr>
        <w:t>ONE BOSTON PLACE, SUITE 3900 201 WASHINGTON STREET</w:t>
      </w:r>
    </w:p>
    <w:p>
      <w:pPr>
        <w:spacing w:after="0" w:line="16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7"/>
          <w:szCs w:val="17"/>
          <w:color w:val="0000FF"/>
        </w:rPr>
        <w:t>BOSTON</w:t>
      </w:r>
      <w:r>
        <w:rPr>
          <w:sz w:val="20"/>
          <w:szCs w:val="20"/>
          <w:color w:val="auto"/>
        </w:rPr>
        <w:tab/>
      </w:r>
      <w:r>
        <w:rPr>
          <w:rFonts w:ascii="Arial" w:cs="Arial" w:eastAsia="Arial" w:hAnsi="Arial"/>
          <w:sz w:val="17"/>
          <w:szCs w:val="17"/>
          <w:color w:val="0000FF"/>
        </w:rPr>
        <w:t>MA</w:t>
      </w:r>
      <w:r>
        <w:rPr>
          <w:sz w:val="20"/>
          <w:szCs w:val="20"/>
          <w:color w:val="auto"/>
        </w:rPr>
        <w:tab/>
      </w:r>
      <w:r>
        <w:rPr>
          <w:rFonts w:ascii="Arial" w:cs="Arial" w:eastAsia="Arial" w:hAnsi="Arial"/>
          <w:sz w:val="15"/>
          <w:szCs w:val="15"/>
          <w:color w:val="0000FF"/>
        </w:rPr>
        <w:t>02108</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26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92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AVROBIO,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AVRO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720" w:type="dxa"/>
            <w:vAlign w:val="bottom"/>
            <w:vMerge w:val="restart"/>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25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720" w:type="dxa"/>
            <w:vAlign w:val="bottom"/>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540" w:type="dxa"/>
            <w:vAlign w:val="bottom"/>
          </w:tcPr>
          <w:p>
            <w:pPr>
              <w:ind w:left="420"/>
              <w:spacing w:after="0"/>
              <w:rPr>
                <w:sz w:val="20"/>
                <w:szCs w:val="20"/>
                <w:color w:val="auto"/>
              </w:rPr>
            </w:pPr>
            <w:r>
              <w:rPr>
                <w:rFonts w:ascii="Arial" w:cs="Arial" w:eastAsia="Arial" w:hAnsi="Arial"/>
                <w:sz w:val="13"/>
                <w:szCs w:val="13"/>
                <w:color w:val="auto"/>
              </w:rPr>
              <w:t>below)</w:t>
            </w:r>
          </w:p>
        </w:tc>
        <w:tc>
          <w:tcPr>
            <w:tcW w:w="1720" w:type="dxa"/>
            <w:vAlign w:val="bottom"/>
          </w:tcPr>
          <w:p>
            <w:pPr>
              <w:ind w:left="5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400" w:type="dxa"/>
            <w:vAlign w:val="bottom"/>
            <w:gridSpan w:val="3"/>
          </w:tcPr>
          <w:p>
            <w:pPr>
              <w:ind w:left="60"/>
              <w:spacing w:after="0"/>
              <w:rPr>
                <w:sz w:val="20"/>
                <w:szCs w:val="20"/>
                <w:color w:val="auto"/>
              </w:rPr>
            </w:pPr>
            <w:r>
              <w:rPr>
                <w:rFonts w:ascii="Arial" w:cs="Arial" w:eastAsia="Arial" w:hAnsi="Arial"/>
                <w:sz w:val="17"/>
                <w:szCs w:val="17"/>
                <w:color w:val="0000FF"/>
              </w:rPr>
              <w:t>06/25/2018</w:t>
            </w:r>
          </w:p>
        </w:tc>
        <w:tc>
          <w:tcPr>
            <w:tcW w:w="2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26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7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One Reporting Person</w:t>
      </w:r>
    </w:p>
    <w:p>
      <w:pPr>
        <w:ind w:left="4260"/>
        <w:spacing w:after="0" w:line="23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2">
            <w:col w:w="3280" w:space="720"/>
            <w:col w:w="7520"/>
          </w:cols>
          <w:pgMar w:left="240" w:top="222" w:right="139" w:bottom="0" w:gutter="0" w:footer="0" w:header="0"/>
          <w:type w:val="continuous"/>
        </w:sectPr>
      </w:pPr>
    </w:p>
    <w:p>
      <w:pPr>
        <w:spacing w:after="0" w:line="6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 w:type="dxa"/>
            <w:vAlign w:val="bottom"/>
          </w:tcPr>
          <w:p>
            <w:pPr>
              <w:spacing w:after="0"/>
              <w:rPr>
                <w:sz w:val="13"/>
                <w:szCs w:val="13"/>
                <w:color w:val="auto"/>
              </w:rPr>
            </w:pPr>
          </w:p>
        </w:tc>
        <w:tc>
          <w:tcPr>
            <w:tcW w:w="17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720"/>
              <w:spacing w:after="0" w:line="128" w:lineRule="exact"/>
              <w:rPr>
                <w:sz w:val="20"/>
                <w:szCs w:val="20"/>
                <w:color w:val="auto"/>
              </w:rPr>
            </w:pPr>
            <w:r>
              <w:rPr>
                <w:rFonts w:ascii="Arial" w:cs="Arial" w:eastAsia="Arial" w:hAnsi="Arial"/>
                <w:sz w:val="12"/>
                <w:szCs w:val="12"/>
                <w:b w:val="1"/>
                <w:bCs w:val="1"/>
                <w:color w:val="auto"/>
                <w:w w:val="99"/>
              </w:rPr>
              <w:t>Date</w:t>
            </w:r>
          </w:p>
        </w:tc>
        <w:tc>
          <w:tcPr>
            <w:tcW w:w="720" w:type="dxa"/>
            <w:vAlign w:val="bottom"/>
          </w:tcPr>
          <w:p>
            <w:pPr>
              <w:spacing w:after="0"/>
              <w:rPr>
                <w:sz w:val="11"/>
                <w:szCs w:val="11"/>
                <w:color w:val="auto"/>
              </w:rPr>
            </w:pPr>
          </w:p>
        </w:tc>
        <w:tc>
          <w:tcPr>
            <w:tcW w:w="10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10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jc w:val="center"/>
              <w:ind w:left="615"/>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840" w:type="dxa"/>
            <w:vAlign w:val="bottom"/>
            <w:gridSpan w:val="4"/>
            <w:vMerge w:val="restart"/>
          </w:tcPr>
          <w:p>
            <w:pPr>
              <w:jc w:val="center"/>
              <w:ind w:left="746"/>
              <w:spacing w:after="0"/>
              <w:rPr>
                <w:sz w:val="20"/>
                <w:szCs w:val="20"/>
                <w:color w:val="auto"/>
              </w:rPr>
            </w:pPr>
            <w:r>
              <w:rPr>
                <w:rFonts w:ascii="Arial" w:cs="Arial" w:eastAsia="Arial" w:hAnsi="Arial"/>
                <w:sz w:val="17"/>
                <w:szCs w:val="17"/>
                <w:color w:val="0000FF"/>
                <w:w w:val="91"/>
              </w:rPr>
              <w:t>06/25/2018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40" w:type="dxa"/>
            <w:vAlign w:val="bottom"/>
            <w:gridSpan w:val="2"/>
            <w:vMerge w:val="restart"/>
          </w:tcPr>
          <w:p>
            <w:pPr>
              <w:jc w:val="center"/>
              <w:ind w:right="46"/>
              <w:spacing w:after="0"/>
              <w:rPr>
                <w:sz w:val="20"/>
                <w:szCs w:val="20"/>
                <w:color w:val="auto"/>
              </w:rPr>
            </w:pPr>
            <w:r>
              <w:rPr>
                <w:rFonts w:ascii="Arial" w:cs="Arial" w:eastAsia="Arial" w:hAnsi="Arial"/>
                <w:sz w:val="17"/>
                <w:szCs w:val="17"/>
                <w:color w:val="0000FF"/>
                <w:w w:val="89"/>
              </w:rPr>
              <w:t>2,207,843</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right"/>
              <w:ind w:right="174"/>
              <w:spacing w:after="0"/>
              <w:rPr>
                <w:sz w:val="20"/>
                <w:szCs w:val="20"/>
                <w:color w:val="auto"/>
              </w:rPr>
            </w:pPr>
            <w:r>
              <w:rPr>
                <w:rFonts w:ascii="Arial" w:cs="Arial" w:eastAsia="Arial" w:hAnsi="Arial"/>
                <w:sz w:val="11"/>
                <w:szCs w:val="11"/>
                <w:color w:val="008000"/>
              </w:rPr>
              <w:t>(1)</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2,207,843</w:t>
            </w:r>
          </w:p>
        </w:tc>
        <w:tc>
          <w:tcPr>
            <w:tcW w:w="36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840" w:type="dxa"/>
            <w:vAlign w:val="bottom"/>
            <w:gridSpan w:val="4"/>
            <w:vMerge w:val="restart"/>
          </w:tcPr>
          <w:p>
            <w:pPr>
              <w:jc w:val="center"/>
              <w:ind w:left="746"/>
              <w:spacing w:after="0"/>
              <w:rPr>
                <w:sz w:val="20"/>
                <w:szCs w:val="20"/>
                <w:color w:val="auto"/>
              </w:rPr>
            </w:pPr>
            <w:r>
              <w:rPr>
                <w:rFonts w:ascii="Arial" w:cs="Arial" w:eastAsia="Arial" w:hAnsi="Arial"/>
                <w:sz w:val="17"/>
                <w:szCs w:val="17"/>
                <w:color w:val="0000FF"/>
                <w:w w:val="91"/>
              </w:rPr>
              <w:t>06/25/2018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40" w:type="dxa"/>
            <w:vAlign w:val="bottom"/>
            <w:gridSpan w:val="2"/>
            <w:vMerge w:val="restart"/>
          </w:tcPr>
          <w:p>
            <w:pPr>
              <w:jc w:val="center"/>
              <w:ind w:right="26"/>
              <w:spacing w:after="0"/>
              <w:rPr>
                <w:sz w:val="20"/>
                <w:szCs w:val="20"/>
                <w:color w:val="auto"/>
              </w:rPr>
            </w:pPr>
            <w:r>
              <w:rPr>
                <w:rFonts w:ascii="Arial" w:cs="Arial" w:eastAsia="Arial" w:hAnsi="Arial"/>
                <w:sz w:val="17"/>
                <w:szCs w:val="17"/>
                <w:color w:val="0000FF"/>
                <w:w w:val="88"/>
              </w:rPr>
              <w:t>75,591</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right"/>
              <w:ind w:right="174"/>
              <w:spacing w:after="0"/>
              <w:rPr>
                <w:sz w:val="20"/>
                <w:szCs w:val="20"/>
                <w:color w:val="auto"/>
              </w:rPr>
            </w:pPr>
            <w:r>
              <w:rPr>
                <w:rFonts w:ascii="Arial" w:cs="Arial" w:eastAsia="Arial" w:hAnsi="Arial"/>
                <w:sz w:val="11"/>
                <w:szCs w:val="11"/>
                <w:color w:val="008000"/>
              </w:rPr>
              <w:t>(3)</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75,591</w:t>
            </w:r>
          </w:p>
        </w:tc>
        <w:tc>
          <w:tcPr>
            <w:tcW w:w="36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(4)</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840" w:type="dxa"/>
            <w:vAlign w:val="bottom"/>
            <w:gridSpan w:val="4"/>
            <w:vMerge w:val="restart"/>
          </w:tcPr>
          <w:p>
            <w:pPr>
              <w:jc w:val="center"/>
              <w:ind w:left="746"/>
              <w:spacing w:after="0"/>
              <w:rPr>
                <w:sz w:val="20"/>
                <w:szCs w:val="20"/>
                <w:color w:val="auto"/>
              </w:rPr>
            </w:pPr>
            <w:r>
              <w:rPr>
                <w:rFonts w:ascii="Arial" w:cs="Arial" w:eastAsia="Arial" w:hAnsi="Arial"/>
                <w:sz w:val="17"/>
                <w:szCs w:val="17"/>
                <w:color w:val="0000FF"/>
                <w:w w:val="91"/>
              </w:rPr>
              <w:t>06/25/2018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40" w:type="dxa"/>
            <w:vAlign w:val="bottom"/>
            <w:gridSpan w:val="2"/>
            <w:vMerge w:val="restart"/>
          </w:tcPr>
          <w:p>
            <w:pPr>
              <w:jc w:val="center"/>
              <w:ind w:right="26"/>
              <w:spacing w:after="0"/>
              <w:rPr>
                <w:sz w:val="20"/>
                <w:szCs w:val="20"/>
                <w:color w:val="auto"/>
              </w:rPr>
            </w:pPr>
            <w:r>
              <w:rPr>
                <w:rFonts w:ascii="Arial" w:cs="Arial" w:eastAsia="Arial" w:hAnsi="Arial"/>
                <w:sz w:val="17"/>
                <w:szCs w:val="17"/>
                <w:color w:val="0000FF"/>
                <w:w w:val="87"/>
              </w:rPr>
              <w:t>437,611</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right"/>
              <w:ind w:right="174"/>
              <w:spacing w:after="0"/>
              <w:rPr>
                <w:sz w:val="20"/>
                <w:szCs w:val="20"/>
                <w:color w:val="auto"/>
              </w:rPr>
            </w:pPr>
            <w:r>
              <w:rPr>
                <w:rFonts w:ascii="Arial" w:cs="Arial" w:eastAsia="Arial" w:hAnsi="Arial"/>
                <w:sz w:val="11"/>
                <w:szCs w:val="11"/>
                <w:color w:val="008000"/>
              </w:rPr>
              <w:t>(5)</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2,645,454</w:t>
            </w:r>
          </w:p>
        </w:tc>
        <w:tc>
          <w:tcPr>
            <w:tcW w:w="36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2"/>
              </w:rPr>
              <w:t>Footnote</w:t>
            </w:r>
            <w:r>
              <w:rPr>
                <w:rFonts w:ascii="Arial" w:cs="Arial" w:eastAsia="Arial" w:hAnsi="Arial"/>
                <w:sz w:val="21"/>
                <w:szCs w:val="21"/>
                <w:color w:val="008000"/>
                <w:w w:val="92"/>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1"/>
                <w:szCs w:val="21"/>
                <w:color w:val="auto"/>
              </w:rPr>
            </w:pPr>
          </w:p>
        </w:tc>
        <w:tc>
          <w:tcPr>
            <w:tcW w:w="1840" w:type="dxa"/>
            <w:vAlign w:val="bottom"/>
            <w:gridSpan w:val="4"/>
            <w:vMerge w:val="restart"/>
          </w:tcPr>
          <w:p>
            <w:pPr>
              <w:jc w:val="center"/>
              <w:ind w:left="746"/>
              <w:spacing w:after="0"/>
              <w:rPr>
                <w:sz w:val="20"/>
                <w:szCs w:val="20"/>
                <w:color w:val="auto"/>
              </w:rPr>
            </w:pPr>
            <w:r>
              <w:rPr>
                <w:rFonts w:ascii="Arial" w:cs="Arial" w:eastAsia="Arial" w:hAnsi="Arial"/>
                <w:sz w:val="17"/>
                <w:szCs w:val="17"/>
                <w:color w:val="0000FF"/>
                <w:w w:val="91"/>
              </w:rPr>
              <w:t>06/25/2018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1140" w:type="dxa"/>
            <w:vAlign w:val="bottom"/>
            <w:gridSpan w:val="2"/>
            <w:vMerge w:val="restart"/>
          </w:tcPr>
          <w:p>
            <w:pPr>
              <w:jc w:val="center"/>
              <w:ind w:right="26"/>
              <w:spacing w:after="0"/>
              <w:rPr>
                <w:sz w:val="20"/>
                <w:szCs w:val="20"/>
                <w:color w:val="auto"/>
              </w:rPr>
            </w:pPr>
            <w:r>
              <w:rPr>
                <w:rFonts w:ascii="Arial" w:cs="Arial" w:eastAsia="Arial" w:hAnsi="Arial"/>
                <w:sz w:val="17"/>
                <w:szCs w:val="17"/>
                <w:color w:val="0000FF"/>
                <w:w w:val="88"/>
              </w:rPr>
              <w:t>14,982</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right"/>
              <w:ind w:right="174"/>
              <w:spacing w:after="0"/>
              <w:rPr>
                <w:sz w:val="20"/>
                <w:szCs w:val="20"/>
                <w:color w:val="auto"/>
              </w:rPr>
            </w:pPr>
            <w:r>
              <w:rPr>
                <w:rFonts w:ascii="Arial" w:cs="Arial" w:eastAsia="Arial" w:hAnsi="Arial"/>
                <w:sz w:val="11"/>
                <w:szCs w:val="11"/>
                <w:color w:val="008000"/>
              </w:rPr>
              <w:t>(6)</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90,573</w:t>
            </w:r>
          </w:p>
        </w:tc>
        <w:tc>
          <w:tcPr>
            <w:tcW w:w="36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520" w:type="dxa"/>
            <w:vAlign w:val="bottom"/>
            <w:gridSpan w:val="13"/>
          </w:tcPr>
          <w:p>
            <w:pPr>
              <w:jc w:val="center"/>
              <w:ind w:right="177"/>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gridSpan w:val="11"/>
          </w:tcPr>
          <w:p>
            <w:pPr>
              <w:jc w:val="center"/>
              <w:ind w:left="33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0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or Disposed of</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4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9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(7)</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ind w:right="14"/>
              <w:spacing w:after="0"/>
              <w:rPr>
                <w:sz w:val="20"/>
                <w:szCs w:val="20"/>
                <w:color w:val="auto"/>
              </w:rPr>
            </w:pPr>
            <w:r>
              <w:rPr>
                <w:rFonts w:ascii="Arial" w:cs="Arial" w:eastAsia="Arial" w:hAnsi="Arial"/>
                <w:sz w:val="17"/>
                <w:szCs w:val="17"/>
                <w:color w:val="0000FF"/>
                <w:w w:val="87"/>
              </w:rPr>
              <w:t>2,207,843</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Preferred</w:t>
            </w:r>
          </w:p>
        </w:tc>
        <w:tc>
          <w:tcPr>
            <w:tcW w:w="800" w:type="dxa"/>
            <w:vAlign w:val="bottom"/>
            <w:vMerge w:val="continue"/>
          </w:tcPr>
          <w:p>
            <w:pPr>
              <w:spacing w:after="0"/>
              <w:rPr>
                <w:sz w:val="4"/>
                <w:szCs w:val="4"/>
                <w:color w:val="auto"/>
              </w:rPr>
            </w:pPr>
          </w:p>
        </w:tc>
        <w:tc>
          <w:tcPr>
            <w:tcW w:w="1100" w:type="dxa"/>
            <w:vAlign w:val="bottom"/>
            <w:vMerge w:val="restart"/>
          </w:tcPr>
          <w:p>
            <w:pPr>
              <w:ind w:left="220"/>
              <w:spacing w:after="0" w:line="100" w:lineRule="exact"/>
              <w:rPr>
                <w:sz w:val="20"/>
                <w:szCs w:val="20"/>
                <w:color w:val="auto"/>
              </w:rPr>
            </w:pPr>
            <w:r>
              <w:rPr>
                <w:rFonts w:ascii="Arial" w:cs="Arial" w:eastAsia="Arial" w:hAnsi="Arial"/>
                <w:sz w:val="11"/>
                <w:szCs w:val="11"/>
                <w:color w:val="0000FF"/>
              </w:rPr>
              <w:t>06/25/2018</w:t>
            </w: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1060" w:type="dxa"/>
            <w:vAlign w:val="bottom"/>
            <w:gridSpan w:val="2"/>
            <w:vMerge w:val="restart"/>
          </w:tcPr>
          <w:p>
            <w:pPr>
              <w:jc w:val="center"/>
              <w:ind w:left="202"/>
              <w:spacing w:after="0" w:line="100" w:lineRule="exact"/>
              <w:rPr>
                <w:sz w:val="20"/>
                <w:szCs w:val="20"/>
                <w:color w:val="auto"/>
              </w:rPr>
            </w:pPr>
            <w:r>
              <w:rPr>
                <w:rFonts w:ascii="Arial" w:cs="Arial" w:eastAsia="Arial" w:hAnsi="Arial"/>
                <w:sz w:val="11"/>
                <w:szCs w:val="11"/>
                <w:color w:val="0000FF"/>
              </w:rPr>
              <w:t>9,122,809</w:t>
            </w: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restart"/>
          </w:tcPr>
          <w:p>
            <w:pPr>
              <w:ind w:left="200"/>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400"/>
              <w:spacing w:after="0" w:line="100"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20" w:type="dxa"/>
            <w:vAlign w:val="bottom"/>
            <w:vMerge w:val="restart"/>
          </w:tcPr>
          <w:p>
            <w:pPr>
              <w:ind w:left="380"/>
              <w:spacing w:after="0" w:line="100"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480" w:type="dxa"/>
            <w:vAlign w:val="bottom"/>
          </w:tcPr>
          <w:p>
            <w:pPr>
              <w:ind w:left="160"/>
              <w:spacing w:after="0" w:line="52" w:lineRule="exact"/>
              <w:rPr>
                <w:sz w:val="20"/>
                <w:szCs w:val="20"/>
                <w:color w:val="auto"/>
              </w:rPr>
            </w:pPr>
            <w:r>
              <w:rPr>
                <w:rFonts w:ascii="Arial" w:cs="Arial" w:eastAsia="Arial" w:hAnsi="Arial"/>
                <w:sz w:val="5"/>
                <w:szCs w:val="5"/>
                <w:color w:val="0000FF"/>
              </w:rPr>
              <w:t>Stock</w:t>
            </w: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3"/>
          </w:tcPr>
          <w:p>
            <w:pPr>
              <w:ind w:left="60"/>
              <w:spacing w:after="0" w:line="52"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(7)</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ind w:right="14"/>
              <w:spacing w:after="0"/>
              <w:rPr>
                <w:sz w:val="20"/>
                <w:szCs w:val="20"/>
                <w:color w:val="auto"/>
              </w:rPr>
            </w:pPr>
            <w:r>
              <w:rPr>
                <w:rFonts w:ascii="Arial" w:cs="Arial" w:eastAsia="Arial" w:hAnsi="Arial"/>
                <w:sz w:val="17"/>
                <w:szCs w:val="17"/>
                <w:color w:val="0000FF"/>
                <w:w w:val="88"/>
              </w:rPr>
              <w:t>75,591</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Preferred</w:t>
            </w:r>
          </w:p>
        </w:tc>
        <w:tc>
          <w:tcPr>
            <w:tcW w:w="800" w:type="dxa"/>
            <w:vAlign w:val="bottom"/>
            <w:vMerge w:val="continue"/>
          </w:tcPr>
          <w:p>
            <w:pPr>
              <w:spacing w:after="0"/>
              <w:rPr>
                <w:sz w:val="4"/>
                <w:szCs w:val="4"/>
                <w:color w:val="auto"/>
              </w:rPr>
            </w:pPr>
          </w:p>
        </w:tc>
        <w:tc>
          <w:tcPr>
            <w:tcW w:w="1100" w:type="dxa"/>
            <w:vAlign w:val="bottom"/>
            <w:vMerge w:val="restart"/>
          </w:tcPr>
          <w:p>
            <w:pPr>
              <w:ind w:left="220"/>
              <w:spacing w:after="0" w:line="100" w:lineRule="exact"/>
              <w:rPr>
                <w:sz w:val="20"/>
                <w:szCs w:val="20"/>
                <w:color w:val="auto"/>
              </w:rPr>
            </w:pPr>
            <w:r>
              <w:rPr>
                <w:rFonts w:ascii="Arial" w:cs="Arial" w:eastAsia="Arial" w:hAnsi="Arial"/>
                <w:sz w:val="11"/>
                <w:szCs w:val="11"/>
                <w:color w:val="0000FF"/>
              </w:rPr>
              <w:t>06/25/2018</w:t>
            </w: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1060" w:type="dxa"/>
            <w:vAlign w:val="bottom"/>
            <w:gridSpan w:val="2"/>
            <w:vMerge w:val="restart"/>
          </w:tcPr>
          <w:p>
            <w:pPr>
              <w:jc w:val="center"/>
              <w:ind w:left="222"/>
              <w:spacing w:after="0" w:line="100" w:lineRule="exact"/>
              <w:rPr>
                <w:sz w:val="20"/>
                <w:szCs w:val="20"/>
                <w:color w:val="auto"/>
              </w:rPr>
            </w:pPr>
            <w:r>
              <w:rPr>
                <w:rFonts w:ascii="Arial" w:cs="Arial" w:eastAsia="Arial" w:hAnsi="Arial"/>
                <w:sz w:val="11"/>
                <w:szCs w:val="11"/>
                <w:color w:val="0000FF"/>
              </w:rPr>
              <w:t>312,341</w:t>
            </w: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restart"/>
          </w:tcPr>
          <w:p>
            <w:pPr>
              <w:ind w:left="200"/>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400"/>
              <w:spacing w:after="0" w:line="100"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20" w:type="dxa"/>
            <w:vAlign w:val="bottom"/>
            <w:vMerge w:val="restart"/>
          </w:tcPr>
          <w:p>
            <w:pPr>
              <w:ind w:left="380"/>
              <w:spacing w:after="0" w:line="100"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480" w:type="dxa"/>
            <w:vAlign w:val="bottom"/>
          </w:tcPr>
          <w:p>
            <w:pPr>
              <w:ind w:left="160"/>
              <w:spacing w:after="0" w:line="52" w:lineRule="exact"/>
              <w:rPr>
                <w:sz w:val="20"/>
                <w:szCs w:val="20"/>
                <w:color w:val="auto"/>
              </w:rPr>
            </w:pPr>
            <w:r>
              <w:rPr>
                <w:rFonts w:ascii="Arial" w:cs="Arial" w:eastAsia="Arial" w:hAnsi="Arial"/>
                <w:sz w:val="5"/>
                <w:szCs w:val="5"/>
                <w:color w:val="0000FF"/>
              </w:rPr>
              <w:t>Stock</w:t>
            </w: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3"/>
          </w:tcPr>
          <w:p>
            <w:pPr>
              <w:ind w:left="60"/>
              <w:spacing w:after="0" w:line="52"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(7)</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ind w:right="14"/>
              <w:spacing w:after="0"/>
              <w:rPr>
                <w:sz w:val="20"/>
                <w:szCs w:val="20"/>
                <w:color w:val="auto"/>
              </w:rPr>
            </w:pPr>
            <w:r>
              <w:rPr>
                <w:rFonts w:ascii="Arial" w:cs="Arial" w:eastAsia="Arial" w:hAnsi="Arial"/>
                <w:sz w:val="17"/>
                <w:szCs w:val="17"/>
                <w:color w:val="0000FF"/>
                <w:w w:val="87"/>
              </w:rPr>
              <w:t>437,611</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3"/>
            <w:vMerge w:val="restart"/>
          </w:tcPr>
          <w:p>
            <w:pPr>
              <w:ind w:left="60"/>
              <w:spacing w:after="0" w:line="100" w:lineRule="exact"/>
              <w:rPr>
                <w:sz w:val="20"/>
                <w:szCs w:val="20"/>
                <w:color w:val="auto"/>
              </w:rPr>
            </w:pPr>
            <w:r>
              <w:rPr>
                <w:rFonts w:ascii="Arial" w:cs="Arial" w:eastAsia="Arial" w:hAnsi="Arial"/>
                <w:sz w:val="11"/>
                <w:szCs w:val="11"/>
                <w:color w:val="0000FF"/>
              </w:rPr>
              <w:t>Preferred</w:t>
            </w:r>
          </w:p>
        </w:tc>
        <w:tc>
          <w:tcPr>
            <w:tcW w:w="800" w:type="dxa"/>
            <w:vAlign w:val="bottom"/>
            <w:vMerge w:val="continue"/>
          </w:tcPr>
          <w:p>
            <w:pPr>
              <w:spacing w:after="0"/>
              <w:rPr>
                <w:sz w:val="4"/>
                <w:szCs w:val="4"/>
                <w:color w:val="auto"/>
              </w:rPr>
            </w:pPr>
          </w:p>
        </w:tc>
        <w:tc>
          <w:tcPr>
            <w:tcW w:w="1100" w:type="dxa"/>
            <w:vAlign w:val="bottom"/>
            <w:vMerge w:val="restart"/>
          </w:tcPr>
          <w:p>
            <w:pPr>
              <w:ind w:left="220"/>
              <w:spacing w:after="0" w:line="100" w:lineRule="exact"/>
              <w:rPr>
                <w:sz w:val="20"/>
                <w:szCs w:val="20"/>
                <w:color w:val="auto"/>
              </w:rPr>
            </w:pPr>
            <w:r>
              <w:rPr>
                <w:rFonts w:ascii="Arial" w:cs="Arial" w:eastAsia="Arial" w:hAnsi="Arial"/>
                <w:sz w:val="11"/>
                <w:szCs w:val="11"/>
                <w:color w:val="0000FF"/>
              </w:rPr>
              <w:t>06/25/2018</w:t>
            </w: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1060" w:type="dxa"/>
            <w:vAlign w:val="bottom"/>
            <w:gridSpan w:val="2"/>
            <w:vMerge w:val="restart"/>
          </w:tcPr>
          <w:p>
            <w:pPr>
              <w:jc w:val="center"/>
              <w:ind w:left="222"/>
              <w:spacing w:after="0" w:line="100" w:lineRule="exact"/>
              <w:rPr>
                <w:sz w:val="20"/>
                <w:szCs w:val="20"/>
                <w:color w:val="auto"/>
              </w:rPr>
            </w:pPr>
            <w:r>
              <w:rPr>
                <w:rFonts w:ascii="Arial" w:cs="Arial" w:eastAsia="Arial" w:hAnsi="Arial"/>
                <w:sz w:val="11"/>
                <w:szCs w:val="11"/>
                <w:color w:val="0000FF"/>
              </w:rPr>
              <w:t>1,808,211</w:t>
            </w: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restart"/>
          </w:tcPr>
          <w:p>
            <w:pPr>
              <w:ind w:left="200"/>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00" w:type="dxa"/>
            <w:vAlign w:val="bottom"/>
            <w:vMerge w:val="restart"/>
          </w:tcPr>
          <w:p>
            <w:pPr>
              <w:ind w:left="400"/>
              <w:spacing w:after="0" w:line="100" w:lineRule="exact"/>
              <w:rPr>
                <w:sz w:val="20"/>
                <w:szCs w:val="20"/>
                <w:color w:val="auto"/>
              </w:rPr>
            </w:pPr>
            <w:r>
              <w:rPr>
                <w:rFonts w:ascii="Arial" w:cs="Arial" w:eastAsia="Arial" w:hAnsi="Arial"/>
                <w:sz w:val="11"/>
                <w:szCs w:val="11"/>
                <w:color w:val="0000FF"/>
              </w:rPr>
              <w:t>0</w:t>
            </w:r>
          </w:p>
        </w:tc>
        <w:tc>
          <w:tcPr>
            <w:tcW w:w="360" w:type="dxa"/>
            <w:vAlign w:val="bottom"/>
          </w:tcPr>
          <w:p>
            <w:pPr>
              <w:spacing w:after="0"/>
              <w:rPr>
                <w:sz w:val="4"/>
                <w:szCs w:val="4"/>
                <w:color w:val="auto"/>
              </w:rPr>
            </w:pPr>
          </w:p>
        </w:tc>
        <w:tc>
          <w:tcPr>
            <w:tcW w:w="520" w:type="dxa"/>
            <w:vAlign w:val="bottom"/>
            <w:vMerge w:val="restart"/>
          </w:tcPr>
          <w:p>
            <w:pPr>
              <w:ind w:left="380"/>
              <w:spacing w:after="0" w:line="100" w:lineRule="exact"/>
              <w:rPr>
                <w:sz w:val="20"/>
                <w:szCs w:val="20"/>
                <w:color w:val="auto"/>
              </w:rPr>
            </w:pPr>
            <w:r>
              <w:rPr>
                <w:rFonts w:ascii="Arial" w:cs="Arial" w:eastAsia="Arial" w:hAnsi="Arial"/>
                <w:sz w:val="11"/>
                <w:szCs w:val="11"/>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480" w:type="dxa"/>
            <w:vAlign w:val="bottom"/>
          </w:tcPr>
          <w:p>
            <w:pPr>
              <w:ind w:left="160"/>
              <w:spacing w:after="0" w:line="52" w:lineRule="exact"/>
              <w:rPr>
                <w:sz w:val="20"/>
                <w:szCs w:val="20"/>
                <w:color w:val="auto"/>
              </w:rPr>
            </w:pPr>
            <w:r>
              <w:rPr>
                <w:rFonts w:ascii="Arial" w:cs="Arial" w:eastAsia="Arial" w:hAnsi="Arial"/>
                <w:sz w:val="5"/>
                <w:szCs w:val="5"/>
                <w:color w:val="0000FF"/>
              </w:rPr>
              <w:t>Stock</w:t>
            </w: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3"/>
          </w:tcPr>
          <w:p>
            <w:pPr>
              <w:ind w:left="60"/>
              <w:spacing w:after="0" w:line="52"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(7)</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ind w:right="14"/>
              <w:spacing w:after="0"/>
              <w:rPr>
                <w:sz w:val="20"/>
                <w:szCs w:val="20"/>
                <w:color w:val="auto"/>
              </w:rPr>
            </w:pPr>
            <w:r>
              <w:rPr>
                <w:rFonts w:ascii="Arial" w:cs="Arial" w:eastAsia="Arial" w:hAnsi="Arial"/>
                <w:sz w:val="17"/>
                <w:szCs w:val="17"/>
                <w:color w:val="0000FF"/>
                <w:w w:val="88"/>
              </w:rPr>
              <w:t>14,982</w:t>
            </w: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800" w:type="dxa"/>
            <w:vAlign w:val="bottom"/>
            <w:vMerge w:val="continue"/>
          </w:tcPr>
          <w:p>
            <w:pPr>
              <w:spacing w:after="0"/>
              <w:rPr>
                <w:sz w:val="4"/>
                <w:szCs w:val="4"/>
                <w:color w:val="auto"/>
              </w:rPr>
            </w:pPr>
          </w:p>
        </w:tc>
        <w:tc>
          <w:tcPr>
            <w:tcW w:w="1100" w:type="dxa"/>
            <w:vAlign w:val="bottom"/>
            <w:vMerge w:val="restart"/>
          </w:tcPr>
          <w:p>
            <w:pPr>
              <w:ind w:left="220"/>
              <w:spacing w:after="0"/>
              <w:rPr>
                <w:sz w:val="20"/>
                <w:szCs w:val="20"/>
                <w:color w:val="auto"/>
              </w:rPr>
            </w:pPr>
            <w:r>
              <w:rPr>
                <w:rFonts w:ascii="Arial" w:cs="Arial" w:eastAsia="Arial" w:hAnsi="Arial"/>
                <w:sz w:val="13"/>
                <w:szCs w:val="13"/>
                <w:color w:val="0000FF"/>
              </w:rPr>
              <w:t>06/25/2018</w:t>
            </w: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1060" w:type="dxa"/>
            <w:vAlign w:val="bottom"/>
            <w:gridSpan w:val="2"/>
            <w:vMerge w:val="restart"/>
          </w:tcPr>
          <w:p>
            <w:pPr>
              <w:jc w:val="center"/>
              <w:ind w:left="202"/>
              <w:spacing w:after="0"/>
              <w:rPr>
                <w:sz w:val="20"/>
                <w:szCs w:val="20"/>
                <w:color w:val="auto"/>
              </w:rPr>
            </w:pPr>
            <w:r>
              <w:rPr>
                <w:rFonts w:ascii="Arial" w:cs="Arial" w:eastAsia="Arial" w:hAnsi="Arial"/>
                <w:sz w:val="13"/>
                <w:szCs w:val="13"/>
                <w:color w:val="0000FF"/>
                <w:w w:val="90"/>
              </w:rPr>
              <w:t>61,908</w:t>
            </w:r>
          </w:p>
        </w:tc>
        <w:tc>
          <w:tcPr>
            <w:tcW w:w="7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4"/>
                <w:szCs w:val="4"/>
                <w:color w:val="auto"/>
              </w:rPr>
            </w:pP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gridSpan w:val="3"/>
            <w:vMerge w:val="restart"/>
          </w:tcPr>
          <w:p>
            <w:pPr>
              <w:ind w:left="60"/>
              <w:spacing w:after="0" w:line="156" w:lineRule="exact"/>
              <w:rPr>
                <w:sz w:val="20"/>
                <w:szCs w:val="20"/>
                <w:color w:val="auto"/>
              </w:rPr>
            </w:pPr>
            <w:r>
              <w:rPr>
                <w:rFonts w:ascii="Arial" w:cs="Arial" w:eastAsia="Arial" w:hAnsi="Arial"/>
                <w:sz w:val="12"/>
                <w:szCs w:val="12"/>
                <w:color w:val="0000FF"/>
              </w:rPr>
              <w:t>footnote</w:t>
            </w:r>
            <w:r>
              <w:rPr>
                <w:rFonts w:ascii="Arial" w:cs="Arial" w:eastAsia="Arial" w:hAnsi="Arial"/>
                <w:sz w:val="18"/>
                <w:szCs w:val="18"/>
                <w:color w:val="008000"/>
                <w:vertAlign w:val="superscript"/>
              </w:rPr>
              <w:t>(4)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5"/>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bottom w:val="single" w:sz="8" w:color="0000EE"/>
            </w:tcBorders>
            <w:gridSpan w:val="2"/>
          </w:tcPr>
          <w:p>
            <w:pPr>
              <w:spacing w:after="0" w:line="217" w:lineRule="exact"/>
              <w:rPr>
                <w:rFonts w:ascii="Arial" w:cs="Arial" w:eastAsia="Arial" w:hAnsi="Arial"/>
                <w:sz w:val="21"/>
                <w:szCs w:val="21"/>
                <w:color w:val="0000EE"/>
                <w:w w:val="96"/>
              </w:rPr>
            </w:pPr>
            <w:hyperlink r:id="rId12">
              <w:r>
                <w:rPr>
                  <w:rFonts w:ascii="Arial" w:cs="Arial" w:eastAsia="Arial" w:hAnsi="Arial"/>
                  <w:sz w:val="21"/>
                  <w:szCs w:val="21"/>
                  <w:color w:val="0000EE"/>
                  <w:w w:val="96"/>
                </w:rPr>
                <w:t>SVLSF VI, LLC</w:t>
              </w:r>
            </w:hyperlink>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20" w:type="dxa"/>
            <w:vAlign w:val="bottom"/>
            <w:gridSpan w:val="6"/>
          </w:tcPr>
          <w:p>
            <w:pPr>
              <w:spacing w:after="0"/>
              <w:rPr>
                <w:sz w:val="20"/>
                <w:szCs w:val="20"/>
                <w:color w:val="auto"/>
              </w:rPr>
            </w:pPr>
            <w:r>
              <w:rPr>
                <w:rFonts w:ascii="Arial" w:cs="Arial" w:eastAsia="Arial" w:hAnsi="Arial"/>
                <w:sz w:val="17"/>
                <w:szCs w:val="17"/>
                <w:color w:val="0000FF"/>
              </w:rPr>
              <w:t>ONE BOSTON PLACE, SUITE 3900</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201 WASHINGTON STREET</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00" w:type="dxa"/>
            <w:vAlign w:val="bottom"/>
          </w:tcPr>
          <w:p>
            <w:pPr>
              <w:ind w:left="60"/>
              <w:spacing w:after="0"/>
              <w:rPr>
                <w:sz w:val="20"/>
                <w:szCs w:val="20"/>
                <w:color w:val="auto"/>
              </w:rPr>
            </w:pPr>
            <w:r>
              <w:rPr>
                <w:rFonts w:ascii="Arial" w:cs="Arial" w:eastAsia="Arial" w:hAnsi="Arial"/>
                <w:sz w:val="17"/>
                <w:szCs w:val="17"/>
                <w:color w:val="0000FF"/>
              </w:rPr>
              <w:t>MA</w:t>
            </w:r>
          </w:p>
        </w:tc>
        <w:tc>
          <w:tcPr>
            <w:tcW w:w="1060" w:type="dxa"/>
            <w:vAlign w:val="bottom"/>
            <w:gridSpan w:val="2"/>
          </w:tcPr>
          <w:p>
            <w:pPr>
              <w:ind w:left="420"/>
              <w:spacing w:after="0"/>
              <w:rPr>
                <w:sz w:val="20"/>
                <w:szCs w:val="20"/>
                <w:color w:val="auto"/>
              </w:rPr>
            </w:pPr>
            <w:r>
              <w:rPr>
                <w:rFonts w:ascii="Arial" w:cs="Arial" w:eastAsia="Arial" w:hAnsi="Arial"/>
                <w:sz w:val="17"/>
                <w:szCs w:val="17"/>
                <w:color w:val="0000FF"/>
              </w:rPr>
              <w:t>02108</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gridSpan w:val="2"/>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20" w:type="dxa"/>
            <w:vAlign w:val="bottom"/>
            <w:gridSpan w:val="6"/>
          </w:tcPr>
          <w:p>
            <w:pPr>
              <w:spacing w:after="0" w:line="217" w:lineRule="exact"/>
              <w:rPr>
                <w:rFonts w:ascii="Arial" w:cs="Arial" w:eastAsia="Arial" w:hAnsi="Arial"/>
                <w:sz w:val="21"/>
                <w:szCs w:val="21"/>
                <w:color w:val="0000EE"/>
              </w:rPr>
            </w:pPr>
            <w:hyperlink r:id="rId14">
              <w:r>
                <w:rPr>
                  <w:rFonts w:ascii="Arial" w:cs="Arial" w:eastAsia="Arial" w:hAnsi="Arial"/>
                  <w:sz w:val="21"/>
                  <w:szCs w:val="21"/>
                  <w:color w:val="0000EE"/>
                </w:rPr>
                <w:t>SV Life Sciences Fund VI,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100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-5148580</wp:posOffset>
            </wp:positionV>
            <wp:extent cx="24130" cy="2783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783840"/>
                    </a:xfrm>
                    <a:prstGeom prst="rect">
                      <a:avLst/>
                    </a:prstGeom>
                    <a:noFill/>
                  </pic:spPr>
                </pic:pic>
              </a:graphicData>
            </a:graphic>
          </wp:anchor>
        </w:drawing>
      </w:r>
    </w:p>
    <w:p>
      <w:pPr>
        <w:sectPr>
          <w:pgSz w:w="11900" w:h="16838" w:orient="portrait"/>
          <w:cols w:equalWidth="0" w:num="1">
            <w:col w:w="11520"/>
          </w:cols>
          <w:pgMar w:left="240" w:top="222" w:right="139" w:bottom="0" w:gutter="0" w:footer="0" w:header="0"/>
          <w:type w:val="continuous"/>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ONE BOSTON PLACE, SUITE 3900</w:t>
      </w:r>
    </w:p>
    <w:p>
      <w:pPr>
        <w:sectPr>
          <w:pgSz w:w="11900" w:h="16838" w:orient="portrait"/>
          <w:cols w:equalWidth="0" w:num="1">
            <w:col w:w="11520"/>
          </w:cols>
          <w:pgMar w:left="240" w:top="222" w:right="1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t>201 WASHINGTON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-118110</wp:posOffset>
            </wp:positionV>
            <wp:extent cx="2924175" cy="4415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4175" cy="4415155"/>
                    </a:xfrm>
                    <a:prstGeom prst="rect">
                      <a:avLst/>
                    </a:prstGeom>
                    <a:noFill/>
                  </pic:spPr>
                </pic:pic>
              </a:graphicData>
            </a:graphic>
          </wp:anchor>
        </w:drawing>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BOSTON</w:t>
            </w:r>
          </w:p>
        </w:tc>
        <w:tc>
          <w:tcPr>
            <w:tcW w:w="1320" w:type="dxa"/>
            <w:vAlign w:val="bottom"/>
          </w:tcPr>
          <w:p>
            <w:pPr>
              <w:ind w:left="400"/>
              <w:spacing w:after="0"/>
              <w:rPr>
                <w:sz w:val="20"/>
                <w:szCs w:val="20"/>
                <w:color w:val="auto"/>
              </w:rPr>
            </w:pPr>
            <w:r>
              <w:rPr>
                <w:rFonts w:ascii="Arial" w:cs="Arial" w:eastAsia="Arial" w:hAnsi="Arial"/>
                <w:sz w:val="17"/>
                <w:szCs w:val="17"/>
                <w:color w:val="0000FF"/>
              </w:rPr>
              <w:t>MA</w:t>
            </w:r>
          </w:p>
        </w:tc>
        <w:tc>
          <w:tcPr>
            <w:tcW w:w="1960" w:type="dxa"/>
            <w:vAlign w:val="bottom"/>
          </w:tcPr>
          <w:p>
            <w:pPr>
              <w:ind w:left="540"/>
              <w:spacing w:after="0"/>
              <w:rPr>
                <w:sz w:val="20"/>
                <w:szCs w:val="20"/>
                <w:color w:val="auto"/>
              </w:rPr>
            </w:pPr>
            <w:r>
              <w:rPr>
                <w:rFonts w:ascii="Arial" w:cs="Arial" w:eastAsia="Arial" w:hAnsi="Arial"/>
                <w:sz w:val="17"/>
                <w:szCs w:val="17"/>
                <w:color w:val="0000FF"/>
              </w:rPr>
              <w:t>02108</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4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SV Life Sciences Fund VI Strategic Partners, L.P.</w:t>
        </w:r>
      </w:hyperlink>
    </w:p>
    <w:p>
      <w:pPr>
        <w:spacing w:after="0" w:line="30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ONE BOSTON PLACE, SUITE 3900</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201 WASHINGTON STREET</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BOSTON</w:t>
            </w:r>
          </w:p>
        </w:tc>
        <w:tc>
          <w:tcPr>
            <w:tcW w:w="1320" w:type="dxa"/>
            <w:vAlign w:val="bottom"/>
          </w:tcPr>
          <w:p>
            <w:pPr>
              <w:ind w:left="400"/>
              <w:spacing w:after="0"/>
              <w:rPr>
                <w:sz w:val="20"/>
                <w:szCs w:val="20"/>
                <w:color w:val="auto"/>
              </w:rPr>
            </w:pPr>
            <w:r>
              <w:rPr>
                <w:rFonts w:ascii="Arial" w:cs="Arial" w:eastAsia="Arial" w:hAnsi="Arial"/>
                <w:sz w:val="17"/>
                <w:szCs w:val="17"/>
                <w:color w:val="0000FF"/>
              </w:rPr>
              <w:t>MA</w:t>
            </w:r>
          </w:p>
        </w:tc>
        <w:tc>
          <w:tcPr>
            <w:tcW w:w="1960" w:type="dxa"/>
            <w:vAlign w:val="bottom"/>
          </w:tcPr>
          <w:p>
            <w:pPr>
              <w:ind w:left="540"/>
              <w:spacing w:after="0"/>
              <w:rPr>
                <w:sz w:val="20"/>
                <w:szCs w:val="20"/>
                <w:color w:val="auto"/>
              </w:rPr>
            </w:pPr>
            <w:r>
              <w:rPr>
                <w:rFonts w:ascii="Arial" w:cs="Arial" w:eastAsia="Arial" w:hAnsi="Arial"/>
                <w:sz w:val="17"/>
                <w:szCs w:val="17"/>
                <w:color w:val="0000FF"/>
              </w:rPr>
              <w:t>02108</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4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SV Life Sciences Fund VI (GP), L.P.</w:t>
        </w:r>
      </w:hyperlink>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700" w:type="dxa"/>
            <w:vAlign w:val="bottom"/>
          </w:tcPr>
          <w:p>
            <w:pPr>
              <w:ind w:left="400"/>
              <w:spacing w:after="0"/>
              <w:rPr>
                <w:sz w:val="20"/>
                <w:szCs w:val="20"/>
                <w:color w:val="auto"/>
              </w:rPr>
            </w:pPr>
            <w:r>
              <w:rPr>
                <w:rFonts w:ascii="Arial" w:cs="Arial" w:eastAsia="Arial" w:hAnsi="Arial"/>
                <w:sz w:val="13"/>
                <w:szCs w:val="13"/>
                <w:color w:val="auto"/>
              </w:rPr>
              <w:t>(First)</w:t>
            </w:r>
          </w:p>
        </w:tc>
        <w:tc>
          <w:tcPr>
            <w:tcW w:w="158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780" w:type="dxa"/>
            <w:vAlign w:val="bottom"/>
            <w:gridSpan w:val="2"/>
          </w:tcPr>
          <w:p>
            <w:pPr>
              <w:ind w:left="20"/>
              <w:spacing w:after="0"/>
              <w:rPr>
                <w:sz w:val="20"/>
                <w:szCs w:val="20"/>
                <w:color w:val="auto"/>
              </w:rPr>
            </w:pPr>
            <w:r>
              <w:rPr>
                <w:rFonts w:ascii="Arial" w:cs="Arial" w:eastAsia="Arial" w:hAnsi="Arial"/>
                <w:sz w:val="17"/>
                <w:szCs w:val="17"/>
                <w:color w:val="0000FF"/>
                <w:w w:val="99"/>
              </w:rPr>
              <w:t>ONE BOSTON PLACE, SUITE 3900</w:t>
            </w:r>
          </w:p>
        </w:tc>
        <w:tc>
          <w:tcPr>
            <w:tcW w:w="15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2780" w:type="dxa"/>
            <w:vAlign w:val="bottom"/>
            <w:gridSpan w:val="2"/>
          </w:tcPr>
          <w:p>
            <w:pPr>
              <w:ind w:left="20"/>
              <w:spacing w:after="0"/>
              <w:rPr>
                <w:sz w:val="20"/>
                <w:szCs w:val="20"/>
                <w:color w:val="auto"/>
              </w:rPr>
            </w:pPr>
            <w:r>
              <w:rPr>
                <w:rFonts w:ascii="Arial" w:cs="Arial" w:eastAsia="Arial" w:hAnsi="Arial"/>
                <w:sz w:val="17"/>
                <w:szCs w:val="17"/>
                <w:color w:val="0000FF"/>
              </w:rPr>
              <w:t>201 WASHINGTON STREET</w:t>
            </w:r>
          </w:p>
        </w:tc>
        <w:tc>
          <w:tcPr>
            <w:tcW w:w="158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BOSTON</w:t>
            </w:r>
          </w:p>
        </w:tc>
        <w:tc>
          <w:tcPr>
            <w:tcW w:w="1700" w:type="dxa"/>
            <w:vAlign w:val="bottom"/>
          </w:tcPr>
          <w:p>
            <w:pPr>
              <w:ind w:left="400"/>
              <w:spacing w:after="0"/>
              <w:rPr>
                <w:sz w:val="20"/>
                <w:szCs w:val="20"/>
                <w:color w:val="auto"/>
              </w:rPr>
            </w:pPr>
            <w:r>
              <w:rPr>
                <w:rFonts w:ascii="Arial" w:cs="Arial" w:eastAsia="Arial" w:hAnsi="Arial"/>
                <w:sz w:val="17"/>
                <w:szCs w:val="17"/>
                <w:color w:val="0000FF"/>
              </w:rPr>
              <w:t>MA</w:t>
            </w:r>
          </w:p>
        </w:tc>
        <w:tc>
          <w:tcPr>
            <w:tcW w:w="1580" w:type="dxa"/>
            <w:vAlign w:val="bottom"/>
          </w:tcPr>
          <w:p>
            <w:pPr>
              <w:ind w:left="160"/>
              <w:spacing w:after="0"/>
              <w:rPr>
                <w:sz w:val="20"/>
                <w:szCs w:val="20"/>
                <w:color w:val="auto"/>
              </w:rPr>
            </w:pPr>
            <w:r>
              <w:rPr>
                <w:rFonts w:ascii="Arial" w:cs="Arial" w:eastAsia="Arial" w:hAnsi="Arial"/>
                <w:sz w:val="17"/>
                <w:szCs w:val="17"/>
                <w:color w:val="0000FF"/>
              </w:rPr>
              <w:t>02108</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700" w:type="dxa"/>
            <w:vAlign w:val="bottom"/>
          </w:tcPr>
          <w:p>
            <w:pPr>
              <w:ind w:left="400"/>
              <w:spacing w:after="0"/>
              <w:rPr>
                <w:sz w:val="20"/>
                <w:szCs w:val="20"/>
                <w:color w:val="auto"/>
              </w:rPr>
            </w:pPr>
            <w:r>
              <w:rPr>
                <w:rFonts w:ascii="Arial" w:cs="Arial" w:eastAsia="Arial" w:hAnsi="Arial"/>
                <w:sz w:val="13"/>
                <w:szCs w:val="13"/>
                <w:color w:val="auto"/>
              </w:rPr>
              <w:t>(State)</w:t>
            </w:r>
          </w:p>
        </w:tc>
        <w:tc>
          <w:tcPr>
            <w:tcW w:w="158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firstLine="3"/>
        <w:spacing w:after="0" w:line="252"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SV Life Sciences Fund VI, L.P. ("SV Life LP") upon the conversion of the Issuer's Series A Preferred Stock in connection with the closing of the Issuer's initial public offering.</w:t>
      </w:r>
    </w:p>
    <w:p>
      <w:pPr>
        <w:spacing w:after="0" w:line="24" w:lineRule="exact"/>
        <w:rPr>
          <w:rFonts w:ascii="Arial" w:cs="Arial" w:eastAsia="Arial" w:hAnsi="Arial"/>
          <w:sz w:val="13"/>
          <w:szCs w:val="13"/>
          <w:color w:val="008000"/>
        </w:rPr>
      </w:pPr>
    </w:p>
    <w:p>
      <w:pPr>
        <w:ind w:right="20" w:firstLine="3"/>
        <w:spacing w:after="0" w:line="238"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directly by SV Life LP. SV Health Investors, LLC is the Manager of SV Life LP. SV Life Sciences Fund VI (GP), L.P., ("SV Fund VI GP") is the general partner of SV Life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LP, except to the extent of any pecuniary interest therein.</w:t>
      </w:r>
    </w:p>
    <w:p>
      <w:pPr>
        <w:spacing w:after="0" w:line="31" w:lineRule="exact"/>
        <w:rPr>
          <w:rFonts w:ascii="Arial" w:cs="Arial" w:eastAsia="Arial" w:hAnsi="Arial"/>
          <w:sz w:val="13"/>
          <w:szCs w:val="13"/>
          <w:color w:val="008000"/>
        </w:rPr>
      </w:pPr>
    </w:p>
    <w:p>
      <w:pPr>
        <w:ind w:right="60" w:firstLine="3"/>
        <w:spacing w:after="0" w:line="252" w:lineRule="auto"/>
        <w:tabs>
          <w:tab w:leader="none" w:pos="13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total number of shares of Common Stock received by SV Life Sciences Fund VI Strategic Partners, L.P. ("SV Life SP LP") upon the conversion of the Issuer's Series A Preferred Stock in connection with the closing of the Issuer's initial public offering.</w:t>
      </w:r>
    </w:p>
    <w:p>
      <w:pPr>
        <w:spacing w:after="0" w:line="24" w:lineRule="exact"/>
        <w:rPr>
          <w:rFonts w:ascii="Arial" w:cs="Arial" w:eastAsia="Arial" w:hAnsi="Arial"/>
          <w:sz w:val="13"/>
          <w:szCs w:val="13"/>
          <w:color w:val="008000"/>
        </w:rPr>
      </w:pPr>
    </w:p>
    <w:p>
      <w:pPr>
        <w:jc w:val="both"/>
        <w:ind w:firstLine="3"/>
        <w:spacing w:after="0" w:line="271" w:lineRule="auto"/>
        <w:tabs>
          <w:tab w:leader="none" w:pos="13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directly by SV Life SP LP. SV Health Investors, LLC is the Manager of SV Life SP LP. SV Fund VI GP is the general partner of SV Life SP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SP LP, except to the extent of any pecuniary interest therein.</w:t>
      </w:r>
    </w:p>
    <w:p>
      <w:pPr>
        <w:spacing w:after="0" w:line="13" w:lineRule="exact"/>
        <w:rPr>
          <w:rFonts w:ascii="Arial" w:cs="Arial" w:eastAsia="Arial" w:hAnsi="Arial"/>
          <w:sz w:val="12"/>
          <w:szCs w:val="12"/>
          <w:color w:val="008000"/>
        </w:rPr>
      </w:pPr>
    </w:p>
    <w:p>
      <w:pPr>
        <w:ind w:left="140" w:hanging="137"/>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the total number of shares of Common Stock received by SV Life LP upon the conversion of the Issuer's Series B Preferred Stock in connection with the closing of the Issuer's initial public offering.</w:t>
      </w:r>
    </w:p>
    <w:p>
      <w:pPr>
        <w:spacing w:after="0" w:line="57" w:lineRule="exact"/>
        <w:rPr>
          <w:rFonts w:ascii="Arial" w:cs="Arial" w:eastAsia="Arial" w:hAnsi="Arial"/>
          <w:sz w:val="12"/>
          <w:szCs w:val="12"/>
          <w:color w:val="008000"/>
        </w:rPr>
      </w:pPr>
    </w:p>
    <w:p>
      <w:pPr>
        <w:ind w:left="140" w:hanging="137"/>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the total number of shares of Common Stock received by SV Life SP LP upon the conversion of the Issuer's Series B Preferred Stock in connection with the closing of the Issuer's initial public offering.</w:t>
      </w:r>
    </w:p>
    <w:p>
      <w:pPr>
        <w:spacing w:after="0" w:line="68" w:lineRule="exact"/>
        <w:rPr>
          <w:rFonts w:ascii="Arial" w:cs="Arial" w:eastAsia="Arial" w:hAnsi="Arial"/>
          <w:sz w:val="11"/>
          <w:szCs w:val="11"/>
          <w:color w:val="008000"/>
        </w:rPr>
      </w:pPr>
    </w:p>
    <w:p>
      <w:pPr>
        <w:ind w:left="140" w:hanging="137"/>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series of Convertible Preferred Stock automatically converted into the Issuer's Common Stock on a 4.132-for-1 basis on June 25, 2018 and had no expiration date.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300"/>
          </w:cols>
          <w:pgMar w:left="280" w:top="131" w:right="319" w:bottom="183" w:gutter="0" w:footer="0" w:header="0"/>
        </w:sectPr>
      </w:pPr>
    </w:p>
    <w:p>
      <w:pPr>
        <w:spacing w:after="0" w:line="13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SV Life Sciences Fund VI,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3175</wp:posOffset>
            </wp:positionV>
            <wp:extent cx="1380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SV Life Sciences Fund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315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(GP), L.P.,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186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Partner, By: SVLSF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87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ItsL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2807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Brent M. Faduski,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66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Brent M. 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754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SV Life Sciences Fund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132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328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Strategic Partners, L.P., By: 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0</wp:posOffset>
            </wp:positionV>
            <wp:extent cx="1353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Life Sciences Fund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312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L.P., Its: sole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2839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SVLSF VI,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91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By: 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-7620</wp:posOffset>
            </wp:positionV>
            <wp:extent cx="1295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Faduski, Officer, /s/ 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66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339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SV Life Sciences Fund VI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3175</wp:posOffset>
            </wp:positionV>
            <wp:extent cx="13957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L.P., By: SVLSF VI,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3125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sole General Partner, By: Brent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0</wp:posOffset>
            </wp:positionV>
            <wp:extent cx="1346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M. Faduski, Officer, /s/ 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0</wp:posOffset>
            </wp:positionV>
            <wp:extent cx="14160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339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SVLSF VI, LLC, By: 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-10795</wp:posOffset>
            </wp:positionV>
            <wp:extent cx="13423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Faduski, Officer, /s/ Brent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2668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Faduski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339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0000FF"/>
        </w:rPr>
        <w:t>06/25/2018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8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9040" w:space="60"/>
            <w:col w:w="2200"/>
          </w:cols>
          <w:pgMar w:left="280" w:top="131" w:right="319" w:bottom="183" w:gutter="0" w:footer="0" w:header="0"/>
          <w:type w:val="continuous"/>
        </w:sect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800"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31" w:right="319" w:bottom="1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12" Type="http://schemas.openxmlformats.org/officeDocument/2006/relationships/hyperlink" Target="http://www.sec.gov/cgi-bin/browse-edgar?action=getcompany&amp;CIK=0001717728" TargetMode="External"/><Relationship Id="rId13" Type="http://schemas.openxmlformats.org/officeDocument/2006/relationships/hyperlink" Target="http://www.sec.gov/cgi-bin/browse-edgar?action=getcompany&amp;CIK=0001681087" TargetMode="External"/><Relationship Id="rId14" Type="http://schemas.openxmlformats.org/officeDocument/2006/relationships/hyperlink" Target="http://www.sec.gov/cgi-bin/browse-edgar?action=getcompany&amp;CIK=0001642251" TargetMode="External"/><Relationship Id="rId17" Type="http://schemas.openxmlformats.org/officeDocument/2006/relationships/hyperlink" Target="http://www.sec.gov/cgi-bin/browse-edgar?action=getcompany&amp;CIK=0001667605" TargetMode="External"/><Relationship Id="rId18" Type="http://schemas.openxmlformats.org/officeDocument/2006/relationships/hyperlink" Target="http://www.sec.gov/cgi-bin/browse-edgar?action=getcompany&amp;CIK=0001717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2019-12-23T15:56:35Z</dcterms:created>
  <dcterms:modified xsi:type="dcterms:W3CDTF">2019-12-23T15:56:35Z</dcterms:modified>
</cp:coreProperties>
</file>