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June 18, 2018.</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333-225213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AMENDMENT NO. 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i w:val="1"/>
          <w:iCs w:val="1"/>
          <w:color w:val="auto"/>
        </w:rPr>
        <w:t>Under</w:t>
      </w:r>
    </w:p>
    <w:p>
      <w:pPr>
        <w:jc w:val="center"/>
        <w:ind w:right="-17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AVROBIO,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81-0710585</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One Kendall Square</w:t>
      </w:r>
    </w:p>
    <w:p>
      <w:pPr>
        <w:jc w:val="center"/>
        <w:ind w:right="-179"/>
        <w:spacing w:after="0" w:line="233" w:lineRule="auto"/>
        <w:rPr>
          <w:sz w:val="20"/>
          <w:szCs w:val="20"/>
          <w:color w:val="auto"/>
        </w:rPr>
      </w:pPr>
      <w:r>
        <w:rPr>
          <w:rFonts w:ascii="Arial" w:cs="Arial" w:eastAsia="Arial" w:hAnsi="Arial"/>
          <w:sz w:val="15"/>
          <w:szCs w:val="15"/>
          <w:b w:val="1"/>
          <w:bCs w:val="1"/>
          <w:color w:val="auto"/>
        </w:rPr>
        <w:t>Building 300, Suite 201</w:t>
      </w:r>
    </w:p>
    <w:p>
      <w:pPr>
        <w:jc w:val="center"/>
        <w:ind w:right="-17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7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Geoff MacKay</w:t>
      </w:r>
    </w:p>
    <w:p>
      <w:pPr>
        <w:jc w:val="center"/>
        <w:ind w:right="-17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79"/>
        <w:spacing w:after="0" w:line="225" w:lineRule="auto"/>
        <w:rPr>
          <w:sz w:val="20"/>
          <w:szCs w:val="20"/>
          <w:color w:val="auto"/>
        </w:rPr>
      </w:pPr>
      <w:r>
        <w:rPr>
          <w:rFonts w:ascii="Arial" w:cs="Arial" w:eastAsia="Arial" w:hAnsi="Arial"/>
          <w:sz w:val="15"/>
          <w:szCs w:val="15"/>
          <w:b w:val="1"/>
          <w:bCs w:val="1"/>
          <w:color w:val="auto"/>
        </w:rPr>
        <w:t>One Kendall Square</w:t>
      </w:r>
    </w:p>
    <w:p>
      <w:pPr>
        <w:jc w:val="center"/>
        <w:ind w:right="-179"/>
        <w:spacing w:after="0" w:line="226" w:lineRule="auto"/>
        <w:rPr>
          <w:sz w:val="20"/>
          <w:szCs w:val="20"/>
          <w:color w:val="auto"/>
        </w:rPr>
      </w:pPr>
      <w:r>
        <w:rPr>
          <w:rFonts w:ascii="Arial" w:cs="Arial" w:eastAsia="Arial" w:hAnsi="Arial"/>
          <w:sz w:val="15"/>
          <w:szCs w:val="15"/>
          <w:b w:val="1"/>
          <w:bCs w:val="1"/>
          <w:color w:val="auto"/>
        </w:rPr>
        <w:t>Building 300, Suite 201</w:t>
      </w:r>
    </w:p>
    <w:p>
      <w:pPr>
        <w:jc w:val="center"/>
        <w:ind w:right="-17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7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384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680" w:type="dxa"/>
            <w:vAlign w:val="bottom"/>
          </w:tcPr>
          <w:p>
            <w:pPr>
              <w:spacing w:after="0"/>
              <w:rPr>
                <w:sz w:val="16"/>
                <w:szCs w:val="16"/>
                <w:color w:val="auto"/>
              </w:rPr>
            </w:pPr>
          </w:p>
        </w:tc>
      </w:tr>
      <w:tr>
        <w:trPr>
          <w:trHeight w:val="193"/>
        </w:trPr>
        <w:tc>
          <w:tcPr>
            <w:tcW w:w="2760" w:type="dxa"/>
            <w:vAlign w:val="bottom"/>
          </w:tcPr>
          <w:p>
            <w:pPr>
              <w:jc w:val="center"/>
              <w:ind w:right="783"/>
              <w:spacing w:after="0"/>
              <w:rPr>
                <w:sz w:val="20"/>
                <w:szCs w:val="20"/>
                <w:color w:val="auto"/>
              </w:rPr>
            </w:pPr>
            <w:r>
              <w:rPr>
                <w:rFonts w:ascii="Arial" w:cs="Arial" w:eastAsia="Arial" w:hAnsi="Arial"/>
                <w:sz w:val="15"/>
                <w:szCs w:val="15"/>
                <w:b w:val="1"/>
                <w:bCs w:val="1"/>
                <w:color w:val="auto"/>
                <w:w w:val="97"/>
              </w:rPr>
              <w:t>Arthur McGivern, Esq.</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4"/>
              </w:rPr>
              <w:t>Katina Dorton</w:t>
            </w:r>
          </w:p>
        </w:tc>
        <w:tc>
          <w:tcPr>
            <w:tcW w:w="2680" w:type="dxa"/>
            <w:vAlign w:val="bottom"/>
          </w:tcPr>
          <w:p>
            <w:pPr>
              <w:jc w:val="center"/>
              <w:ind w:left="743"/>
              <w:spacing w:after="0"/>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0"/>
              </w:rPr>
              <w:t>James Xu, Esq.</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AVROBIO, Inc.</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One Kendall Square</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Building 300, Suite 201</w:t>
            </w:r>
          </w:p>
        </w:tc>
        <w:tc>
          <w:tcPr>
            <w:tcW w:w="2680" w:type="dxa"/>
            <w:vAlign w:val="bottom"/>
          </w:tcPr>
          <w:p>
            <w:pPr>
              <w:jc w:val="center"/>
              <w:ind w:left="743"/>
              <w:spacing w:after="0" w:line="162" w:lineRule="exact"/>
              <w:rPr>
                <w:sz w:val="20"/>
                <w:szCs w:val="20"/>
                <w:color w:val="auto"/>
              </w:rPr>
            </w:pPr>
            <w:r>
              <w:rPr>
                <w:rFonts w:ascii="Arial" w:cs="Arial" w:eastAsia="Arial" w:hAnsi="Arial"/>
                <w:sz w:val="15"/>
                <w:szCs w:val="15"/>
                <w:b w:val="1"/>
                <w:bCs w:val="1"/>
                <w:color w:val="auto"/>
                <w:w w:val="89"/>
              </w:rPr>
              <w:t>800 Boylston Street</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Cambridge, Massachusetts 02139</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88"/>
              </w:rPr>
              <w:t>Boston, Massachusetts 02199</w:t>
            </w:r>
          </w:p>
        </w:tc>
      </w:tr>
      <w:tr>
        <w:trPr>
          <w:trHeight w:val="198"/>
        </w:trPr>
        <w:tc>
          <w:tcPr>
            <w:tcW w:w="2760" w:type="dxa"/>
            <w:vAlign w:val="bottom"/>
          </w:tcPr>
          <w:p>
            <w:pPr>
              <w:jc w:val="center"/>
              <w:ind w:right="763"/>
              <w:spacing w:after="0"/>
              <w:rPr>
                <w:sz w:val="20"/>
                <w:szCs w:val="20"/>
                <w:color w:val="auto"/>
              </w:rPr>
            </w:pPr>
            <w:r>
              <w:rPr>
                <w:rFonts w:ascii="Arial" w:cs="Arial" w:eastAsia="Arial" w:hAnsi="Arial"/>
                <w:sz w:val="15"/>
                <w:szCs w:val="15"/>
                <w:b w:val="1"/>
                <w:bCs w:val="1"/>
                <w:color w:val="auto"/>
                <w:w w:val="93"/>
              </w:rPr>
              <w:t>(617) 570-1000</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(617) 914-8420</w:t>
            </w:r>
          </w:p>
        </w:tc>
        <w:tc>
          <w:tcPr>
            <w:tcW w:w="2680" w:type="dxa"/>
            <w:vAlign w:val="bottom"/>
          </w:tcPr>
          <w:p>
            <w:pPr>
              <w:jc w:val="center"/>
              <w:ind w:left="723"/>
              <w:spacing w:after="0"/>
              <w:rPr>
                <w:sz w:val="20"/>
                <w:szCs w:val="20"/>
                <w:color w:val="auto"/>
              </w:rPr>
            </w:pPr>
            <w:r>
              <w:rPr>
                <w:rFonts w:ascii="Arial" w:cs="Arial" w:eastAsia="Arial" w:hAnsi="Arial"/>
                <w:sz w:val="15"/>
                <w:szCs w:val="15"/>
                <w:b w:val="1"/>
                <w:bCs w:val="1"/>
                <w:color w:val="auto"/>
                <w:w w:val="93"/>
              </w:rPr>
              <w:t>(617) 951-7000</w:t>
            </w:r>
          </w:p>
        </w:tc>
      </w:tr>
    </w:tbl>
    <w:p>
      <w:pPr>
        <w:spacing w:after="0" w:line="2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r>
        <w:rPr>
          <w:rFonts w:ascii="Arial" w:cs="Arial" w:eastAsia="Arial" w:hAnsi="Arial"/>
          <w:sz w:val="14"/>
          <w:szCs w:val="14"/>
          <w:color w:val="auto"/>
        </w:rPr>
        <w:t>.</w:t>
      </w:r>
    </w:p>
    <w:p>
      <w:pPr>
        <w:spacing w:after="0" w:line="46" w:lineRule="exact"/>
        <w:rPr>
          <w:sz w:val="24"/>
          <w:szCs w:val="24"/>
          <w:color w:val="auto"/>
        </w:rPr>
      </w:pPr>
    </w:p>
    <w:p>
      <w:pPr>
        <w:ind w:left="200"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11"/>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60" w:type="dxa"/>
            <w:vAlign w:val="bottom"/>
          </w:tcPr>
          <w:p>
            <w:pPr>
              <w:ind w:left="220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60" w:type="dxa"/>
            <w:vAlign w:val="bottom"/>
          </w:tcPr>
          <w:p>
            <w:pPr>
              <w:ind w:left="2200"/>
              <w:spacing w:after="0"/>
              <w:rPr>
                <w:sz w:val="20"/>
                <w:szCs w:val="20"/>
                <w:color w:val="auto"/>
              </w:rPr>
            </w:pPr>
            <w:r>
              <w:rPr>
                <w:rFonts w:ascii="Arial" w:cs="Arial" w:eastAsia="Arial" w:hAnsi="Arial"/>
                <w:sz w:val="14"/>
                <w:szCs w:val="14"/>
                <w:color w:val="auto"/>
                <w:w w:val="94"/>
              </w:rPr>
              <w:t>Emerging Growth Company</w:t>
            </w:r>
          </w:p>
        </w:tc>
      </w:tr>
    </w:tbl>
    <w:p>
      <w:pPr>
        <w:spacing w:after="0" w:line="20" w:lineRule="exact"/>
        <w:rPr>
          <w:sz w:val="24"/>
          <w:szCs w:val="24"/>
          <w:color w:val="auto"/>
        </w:rPr>
      </w:pPr>
    </w:p>
    <w:p>
      <w:pPr>
        <w:ind w:left="2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5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5" w:lineRule="exact"/>
        <w:rPr>
          <w:sz w:val="24"/>
          <w:szCs w:val="24"/>
          <w:color w:val="auto"/>
        </w:rPr>
      </w:pPr>
    </w:p>
    <w:p>
      <w:pPr>
        <w:sectPr>
          <w:pgSz w:w="11900" w:h="16838" w:orient="portrait"/>
          <w:cols w:equalWidth="0" w:num="2">
            <w:col w:w="10880" w:space="200"/>
            <w:col w:w="160"/>
          </w:cols>
          <w:pgMar w:left="240" w:top="230" w:right="419" w:bottom="1440" w:gutter="0" w:footer="0" w:header="0"/>
          <w:type w:val="continuous"/>
        </w:sect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3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AMOUNT</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5"/>
              </w:rPr>
              <w:t>TO BE</w:t>
            </w:r>
          </w:p>
        </w:tc>
        <w:tc>
          <w:tcPr>
            <w:tcW w:w="13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OFFERING PRICE</w:t>
            </w:r>
          </w:p>
        </w:tc>
        <w:tc>
          <w:tcPr>
            <w:tcW w:w="15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5"/>
              </w:rPr>
              <w:t>AGGREGATE</w:t>
            </w:r>
          </w:p>
        </w:tc>
        <w:tc>
          <w:tcPr>
            <w:tcW w:w="16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REGISTERED(1)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OFFERING PRICE(2)</w:t>
            </w:r>
          </w:p>
        </w:tc>
        <w:tc>
          <w:tcPr>
            <w:tcW w:w="164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7"/>
              </w:rPr>
              <w:t>REGISTRATION FEE(3)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200" w:type="dxa"/>
            <w:vAlign w:val="bottom"/>
            <w:tcBorders>
              <w:bottom w:val="single" w:sz="8" w:color="auto"/>
              <w:right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5,073,800</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$18.00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91,328,400</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$11,371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right="180" w:hanging="316"/>
        <w:spacing w:after="0" w:line="230"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 Includes 661,800 shares that the underwriters have an option to purchase to cover over-allotments, if any.</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that the underwriters may purchase pursuant to an option to purchase additional shares.</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200" w:right="30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4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SUBJECT TO COMPLETION, JUNE 18, 2018</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PRELIMINARY PROSPECTUS</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32"/>
          <w:szCs w:val="32"/>
          <w:i w:val="1"/>
          <w:iCs w:val="1"/>
          <w:color w:val="auto"/>
        </w:rPr>
        <w:t>4,412,000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95885</wp:posOffset>
            </wp:positionV>
            <wp:extent cx="155194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b w:val="1"/>
          <w:bCs w:val="1"/>
          <w:i w:val="1"/>
          <w:iCs w:val="1"/>
          <w:color w:val="auto"/>
        </w:rPr>
        <w:t>We are offering 4,412,000 shares of our common stock. This is our initial public offering and no public market currently exists for our common stock. We expect the initial public offering price to be between $16.00 and $18.00 per share. We have applied to list our common stock on The Nasdaq Global Market under the symbol “AVRO.”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as defined in Section 2(a) of the Securities Act of 1933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196215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46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Please read “</w:t>
      </w:r>
      <w:hyperlink w:anchor="page14">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820" w:type="dxa"/>
            <w:vAlign w:val="bottom"/>
            <w:gridSpan w:val="3"/>
          </w:tcPr>
          <w:p>
            <w:pPr>
              <w:ind w:left="2500"/>
              <w:spacing w:after="0"/>
              <w:rPr>
                <w:sz w:val="20"/>
                <w:szCs w:val="20"/>
                <w:color w:val="auto"/>
              </w:rPr>
            </w:pPr>
            <w:r>
              <w:rPr>
                <w:rFonts w:ascii="Arial" w:cs="Arial" w:eastAsia="Arial" w:hAnsi="Arial"/>
                <w:sz w:val="14"/>
                <w:szCs w:val="14"/>
                <w:b w:val="1"/>
                <w:bCs w:val="1"/>
                <w:i w:val="1"/>
                <w:iCs w:val="1"/>
                <w:color w:val="auto"/>
              </w:rPr>
              <w:t>PER SHARE</w:t>
            </w: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94"/>
              </w:rPr>
              <w:t>TOTAL</w:t>
            </w:r>
          </w:p>
        </w:tc>
      </w:tr>
      <w:tr>
        <w:trPr>
          <w:trHeight w:val="182"/>
        </w:trPr>
        <w:tc>
          <w:tcPr>
            <w:tcW w:w="5820" w:type="dxa"/>
            <w:vAlign w:val="bottom"/>
          </w:tcPr>
          <w:p>
            <w:pPr>
              <w:spacing w:after="0" w:line="182" w:lineRule="exact"/>
              <w:rPr>
                <w:sz w:val="20"/>
                <w:szCs w:val="20"/>
                <w:color w:val="auto"/>
              </w:rPr>
            </w:pPr>
            <w:r>
              <w:rPr>
                <w:rFonts w:ascii="Arial" w:cs="Arial" w:eastAsia="Arial" w:hAnsi="Arial"/>
                <w:sz w:val="18"/>
                <w:szCs w:val="18"/>
                <w:i w:val="1"/>
                <w:iCs w:val="1"/>
                <w:color w:val="auto"/>
              </w:rPr>
              <w:t>Public Offering Price</w:t>
            </w:r>
          </w:p>
        </w:tc>
        <w:tc>
          <w:tcPr>
            <w:tcW w:w="2500" w:type="dxa"/>
            <w:vAlign w:val="bottom"/>
          </w:tcPr>
          <w:p>
            <w:pPr>
              <w:spacing w:after="0"/>
              <w:rPr>
                <w:sz w:val="15"/>
                <w:szCs w:val="15"/>
                <w:color w:val="auto"/>
              </w:rPr>
            </w:pPr>
          </w:p>
        </w:tc>
        <w:tc>
          <w:tcPr>
            <w:tcW w:w="8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i w:val="1"/>
                <w:iCs w:val="1"/>
                <w:color w:val="auto"/>
              </w:rPr>
              <w:t>$</w:t>
            </w: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in this prospectus for a description of compensation payable to the underwriters.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We have granted the underwriters an option for a period of 30 days to purchase an additional 661,800 shares of our common stock. If the underwriters</w:t>
      </w:r>
    </w:p>
    <w:p>
      <w:pPr>
        <w:spacing w:after="0" w:line="46" w:lineRule="exact"/>
        <w:rPr>
          <w:sz w:val="20"/>
          <w:szCs w:val="20"/>
          <w:color w:val="auto"/>
        </w:rPr>
      </w:pPr>
    </w:p>
    <w:p>
      <w:pPr>
        <w:ind w:left="200"/>
        <w:spacing w:after="0"/>
        <w:tabs>
          <w:tab w:leader="none" w:pos="7740" w:val="left"/>
        </w:tabs>
        <w:rPr>
          <w:sz w:val="20"/>
          <w:szCs w:val="20"/>
          <w:color w:val="auto"/>
        </w:rPr>
      </w:pPr>
      <w:r>
        <w:rPr>
          <w:rFonts w:ascii="Arial" w:cs="Arial" w:eastAsia="Arial" w:hAnsi="Arial"/>
          <w:sz w:val="18"/>
          <w:szCs w:val="18"/>
          <w:i w:val="1"/>
          <w:iCs w:val="1"/>
          <w:color w:val="auto"/>
        </w:rPr>
        <w:t>exercise the option in full, the total underwriting discounts and commissions payable by us will be $</w:t>
      </w:r>
      <w:r>
        <w:rPr>
          <w:sz w:val="20"/>
          <w:szCs w:val="20"/>
          <w:color w:val="auto"/>
        </w:rPr>
        <w:tab/>
      </w:r>
      <w:r>
        <w:rPr>
          <w:rFonts w:ascii="Arial" w:cs="Arial" w:eastAsia="Arial" w:hAnsi="Arial"/>
          <w:sz w:val="15"/>
          <w:szCs w:val="15"/>
          <w:i w:val="1"/>
          <w:iCs w:val="1"/>
          <w:color w:val="auto"/>
        </w:rPr>
        <w:t>, and the total proceeds to us, before expenses,</w:t>
      </w:r>
    </w:p>
    <w:p>
      <w:pPr>
        <w:spacing w:after="0" w:line="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i w:val="1"/>
          <w:iCs w:val="1"/>
          <w:color w:val="auto"/>
        </w:rPr>
        <w:t>will be $</w:t>
      </w:r>
      <w:r>
        <w:rPr>
          <w:sz w:val="20"/>
          <w:szCs w:val="20"/>
          <w:color w:val="auto"/>
        </w:rPr>
        <w:tab/>
      </w:r>
      <w:r>
        <w:rPr>
          <w:rFonts w:ascii="Arial" w:cs="Arial" w:eastAsia="Arial" w:hAnsi="Arial"/>
          <w:sz w:val="14"/>
          <w:szCs w:val="14"/>
          <w:i w:val="1"/>
          <w:iCs w:val="1"/>
          <w:color w:val="auto"/>
        </w:rPr>
        <w:t>.</w:t>
      </w:r>
    </w:p>
    <w:p>
      <w:pPr>
        <w:spacing w:after="0" w:line="31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9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w w:val="95"/>
              </w:rPr>
              <w:t>Delivery of the shares of common stock is expected to be made on or about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5200" w:val="left"/>
          <w:tab w:leader="none" w:pos="8800" w:val="left"/>
        </w:tabs>
        <w:rPr>
          <w:sz w:val="20"/>
          <w:szCs w:val="20"/>
          <w:color w:val="auto"/>
        </w:rPr>
      </w:pPr>
      <w:r>
        <w:rPr>
          <w:rFonts w:ascii="Arial" w:cs="Arial" w:eastAsia="Arial" w:hAnsi="Arial"/>
          <w:sz w:val="20"/>
          <w:szCs w:val="20"/>
          <w:i w:val="1"/>
          <w:iCs w:val="1"/>
          <w:color w:val="auto"/>
        </w:rPr>
        <w:t>MORGAN STANLEY</w:t>
      </w:r>
      <w:r>
        <w:rPr>
          <w:sz w:val="20"/>
          <w:szCs w:val="20"/>
          <w:color w:val="auto"/>
        </w:rPr>
        <w:tab/>
      </w:r>
      <w:r>
        <w:rPr>
          <w:rFonts w:ascii="Arial" w:cs="Arial" w:eastAsia="Arial" w:hAnsi="Arial"/>
          <w:sz w:val="20"/>
          <w:szCs w:val="20"/>
          <w:i w:val="1"/>
          <w:iCs w:val="1"/>
          <w:color w:val="auto"/>
        </w:rPr>
        <w:t>COWEN</w:t>
      </w:r>
      <w:r>
        <w:rPr>
          <w:sz w:val="20"/>
          <w:szCs w:val="20"/>
          <w:color w:val="auto"/>
        </w:rPr>
        <w:tab/>
      </w:r>
      <w:r>
        <w:rPr>
          <w:rFonts w:ascii="Arial" w:cs="Arial" w:eastAsia="Arial" w:hAnsi="Arial"/>
          <w:sz w:val="16"/>
          <w:szCs w:val="16"/>
          <w:i w:val="1"/>
          <w:iCs w:val="1"/>
          <w:color w:val="auto"/>
        </w:rPr>
        <w:t>WELLS FARGO SECURITIES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WEDBUSH PACGROW</w:t>
      </w:r>
    </w:p>
    <w:p>
      <w:pPr>
        <w:sectPr>
          <w:pgSz w:w="11900" w:h="16838" w:orient="portrait"/>
          <w:cols w:equalWidth="0" w:num="1">
            <w:col w:w="11220"/>
          </w:cols>
          <w:pgMar w:left="240" w:top="459" w:right="439" w:bottom="1440" w:gutter="0" w:footer="0" w:header="0"/>
        </w:sectPr>
      </w:pPr>
    </w:p>
    <w:p>
      <w:pPr>
        <w:spacing w:after="0" w:line="218" w:lineRule="exact"/>
        <w:rPr>
          <w:sz w:val="20"/>
          <w:szCs w:val="20"/>
          <w:color w:val="auto"/>
        </w:rPr>
      </w:pPr>
    </w:p>
    <w:p>
      <w:pPr>
        <w:ind w:left="200"/>
        <w:spacing w:after="0"/>
        <w:tabs>
          <w:tab w:leader="none" w:pos="2180" w:val="left"/>
        </w:tabs>
        <w:rPr>
          <w:sz w:val="20"/>
          <w:szCs w:val="20"/>
          <w:color w:val="auto"/>
        </w:rPr>
      </w:pPr>
      <w:r>
        <w:rPr>
          <w:rFonts w:ascii="Arial" w:cs="Arial" w:eastAsia="Arial" w:hAnsi="Arial"/>
          <w:sz w:val="18"/>
          <w:szCs w:val="18"/>
          <w:i w:val="1"/>
          <w:iCs w:val="1"/>
          <w:color w:val="auto"/>
        </w:rPr>
        <w:t>Prospectus dated</w:t>
      </w:r>
      <w:r>
        <w:rPr>
          <w:sz w:val="20"/>
          <w:szCs w:val="20"/>
          <w:color w:val="auto"/>
        </w:rPr>
        <w:tab/>
      </w:r>
      <w:r>
        <w:rPr>
          <w:rFonts w:ascii="Arial" w:cs="Arial" w:eastAsia="Arial" w:hAnsi="Arial"/>
          <w:sz w:val="16"/>
          <w:szCs w:val="16"/>
          <w:i w:val="1"/>
          <w:i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256540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SUMMARY</w:t>
              </w:r>
            </w:hyperlink>
          </w:p>
        </w:tc>
        <w:tc>
          <w:tcPr>
            <w:tcW w:w="2420" w:type="dxa"/>
            <w:vAlign w:val="bottom"/>
            <w:gridSpan w:val="7"/>
            <w:vMerge w:val="restart"/>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RISK FACTORS</w:t>
              </w:r>
            </w:hyperlink>
          </w:p>
        </w:tc>
        <w:tc>
          <w:tcPr>
            <w:tcW w:w="3260" w:type="dxa"/>
            <w:vAlign w:val="bottom"/>
            <w:gridSpan w:val="1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SPECIAL NOTE REGARDING FORWARD-LOOKING</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STATEMENTS</w:t>
              </w:r>
            </w:hyperlink>
          </w:p>
        </w:tc>
        <w:tc>
          <w:tcPr>
            <w:tcW w:w="36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USE OF PROCEEDS</w:t>
              </w:r>
            </w:hyperlink>
          </w:p>
        </w:tc>
        <w:tc>
          <w:tcPr>
            <w:tcW w:w="2920" w:type="dxa"/>
            <w:vAlign w:val="bottom"/>
            <w:gridSpan w:val="8"/>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CAPITALIZATION</w:t>
              </w:r>
            </w:hyperlink>
          </w:p>
        </w:tc>
        <w:tc>
          <w:tcPr>
            <w:tcW w:w="2940" w:type="dxa"/>
            <w:vAlign w:val="bottom"/>
            <w:gridSpan w:val="9"/>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060" w:type="dxa"/>
            <w:vAlign w:val="bottom"/>
            <w:gridSpan w:val="10"/>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SELECTED FINANCIAL DATA</w:t>
              </w:r>
            </w:hyperlink>
          </w:p>
        </w:tc>
        <w:tc>
          <w:tcPr>
            <w:tcW w:w="208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CONDITION AND RESULTS OF</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OPERATIONS</w:t>
              </w:r>
            </w:hyperlink>
          </w:p>
        </w:tc>
        <w:tc>
          <w:tcPr>
            <w:tcW w:w="800" w:type="dxa"/>
            <w:vAlign w:val="bottom"/>
            <w:gridSpan w:val="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BUSINESS</w:t>
              </w:r>
            </w:hyperlink>
          </w:p>
        </w:tc>
        <w:tc>
          <w:tcPr>
            <w:tcW w:w="3660" w:type="dxa"/>
            <w:vAlign w:val="bottom"/>
            <w:gridSpan w:val="1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MANAGEMENT</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EXECUTIVE COMPENSATION</w:t>
              </w:r>
            </w:hyperlink>
          </w:p>
        </w:tc>
        <w:tc>
          <w:tcPr>
            <w:tcW w:w="20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DIRECTOR COMPENSATION</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15"/>
            <w:vMerge w:val="restart"/>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CERTAIN RELATIONSHIPS AND RELATED PARTY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4960" w:type="dxa"/>
            <w:vAlign w:val="bottom"/>
            <w:gridSpan w:val="15"/>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PRINCIPAL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DESCRIPTION OF CAPITAL STOCK</w:t>
              </w:r>
            </w:hyperlink>
          </w:p>
        </w:tc>
        <w:tc>
          <w:tcPr>
            <w:tcW w:w="2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SHARES ELIGIBLE FOR FUTURE SALE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65">
              <w:r>
                <w:rPr>
                  <w:rFonts w:ascii="Arial" w:cs="Arial" w:eastAsia="Arial" w:hAnsi="Arial"/>
                  <w:sz w:val="18"/>
                  <w:szCs w:val="18"/>
                  <w:color w:val="0000EE"/>
                  <w:w w:val="97"/>
                </w:rPr>
                <w:t>MATERIAL U.S. FEDERAL INCOME TAX</w:t>
              </w:r>
            </w:hyperlink>
          </w:p>
        </w:tc>
        <w:tc>
          <w:tcPr>
            <w:tcW w:w="166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CONSIDERATIONS FOR NON-U.S. HOLDERS OF</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5">
              <w:r>
                <w:rPr>
                  <w:rFonts w:ascii="Arial" w:cs="Arial" w:eastAsia="Arial" w:hAnsi="Arial"/>
                  <w:sz w:val="18"/>
                  <w:szCs w:val="18"/>
                  <w:color w:val="0000EE"/>
                  <w:w w:val="96"/>
                </w:rPr>
                <w:t>COMMON STOCK</w:t>
              </w:r>
            </w:hyperlink>
          </w:p>
        </w:tc>
        <w:tc>
          <w:tcPr>
            <w:tcW w:w="242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UNDERWRITERS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INDEX TO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640"/>
        <w:spacing w:after="0"/>
        <w:tabs>
          <w:tab w:leader="none" w:pos="29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2018 (25 days after the date of this prospectus), all dealers effecting transactions in these securities,</w:t>
      </w:r>
    </w:p>
    <w:p>
      <w:pPr>
        <w:spacing w:after="0" w:line="27"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we file with the Securities and Exchange Commission. Neither we nor the underwriters have authorized anyone to provide you with information other than that contained in this prospectus or any free writing prospectus prepared by or on behalf of us or to which we have referred you. We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As used in this prospectus, unless the context otherwise requires, references to the “company,” “we,” “us” and “our” refer to AVROBIO,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180" w:firstLine="426"/>
        <w:spacing w:after="0" w:line="291" w:lineRule="auto"/>
        <w:rPr>
          <w:sz w:val="20"/>
          <w:szCs w:val="20"/>
          <w:color w:val="auto"/>
        </w:rPr>
      </w:pPr>
      <w:r>
        <w:rPr>
          <w:rFonts w:ascii="Arial" w:cs="Arial" w:eastAsia="Arial" w:hAnsi="Arial"/>
          <w:sz w:val="16"/>
          <w:szCs w:val="16"/>
          <w:color w:val="auto"/>
        </w:rPr>
        <w:t xml:space="preserve">We are a Phase 2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which transforms stem cells from patients into therapeutic products, has the potential to provide curative benefit for a range of diseases in an outpatient setting.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an investigator-sponsored Phase 1 clinical trial and our company-sponsored Phase 2 clinical trial to assess safety and toxicity, as well as preliminary efficacy. In addition, Phase 1/2 clinical trials for both AVR-RD-02 and AVR-RD-04 are being planned and we expect patients will be dosed in 2019.</w:t>
      </w:r>
    </w:p>
    <w:p>
      <w:pPr>
        <w:spacing w:after="0" w:line="188"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The first two patients in the ongoing Phase 1 clinical trial of AVR-RD-01 have been dosed. The primary goal for this clinical trial is to assess the safety and toxicity of AVR-RD-01. In this trial, safety and toxicity are measured by the frequency of clinically notable abnormal vital signs and laboratory results and the frequency of treatment-related adverse events. A secondary objective for this clinical trial is to obtain preliminary efficacy signals of AVR-RD-01 therapy as assessed by a-galactosidase enzyme activity compared to baseline. Enrollment in this clinical trial is ongoing, with up to six patients with Fabry disease who have been treated with ERT expected to be enrolled. Because this is a Phase 1 trial, the currently approved standard of care, ERT, is suspended for enrolled patients one month prior to receiving AVR-RD-01 and is then resumed one month after AVR-RD-01 treatment. We believe the preliminary results from this trial support the potential of AVR-RD-01 to drive active enzyme production for long durations.</w:t>
      </w:r>
    </w:p>
    <w:p>
      <w:pPr>
        <w:spacing w:after="0" w:line="192" w:lineRule="exact"/>
        <w:rPr>
          <w:sz w:val="20"/>
          <w:szCs w:val="20"/>
          <w:color w:val="auto"/>
        </w:rPr>
      </w:pPr>
    </w:p>
    <w:p>
      <w:pPr>
        <w:ind w:left="380" w:right="240" w:firstLine="426"/>
        <w:spacing w:after="0" w:line="259" w:lineRule="auto"/>
        <w:rPr>
          <w:sz w:val="20"/>
          <w:szCs w:val="20"/>
          <w:color w:val="auto"/>
        </w:rPr>
      </w:pPr>
      <w:r>
        <w:rPr>
          <w:rFonts w:ascii="Arial" w:cs="Arial" w:eastAsia="Arial" w:hAnsi="Arial"/>
          <w:sz w:val="18"/>
          <w:szCs w:val="18"/>
          <w:color w:val="auto"/>
        </w:rPr>
        <w:t>On June 7, 2018, we dosed the first patient in our company-sponsored Phase 2 clinical trial of AVR-RD-01. The primary objective for this clinical trial is to assess safety and efficacy, measured by multiple indicators, such as globotriaosylceramide levels in multiple tissues, organ function, gastrointestinal symptoms and pain and quality of life. Enrollment in this trial is ongoing, with up to 12 treatment-naïve patients with Fabry disease expected to be enrolled.</w:t>
      </w:r>
    </w:p>
    <w:p>
      <w:pPr>
        <w:spacing w:after="0" w:line="18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rare disease clinical trials. Historically, the use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3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435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380" w:right="100" w:firstLine="426"/>
        <w:spacing w:after="0" w:line="289" w:lineRule="auto"/>
        <w:rPr>
          <w:sz w:val="20"/>
          <w:szCs w:val="20"/>
          <w:color w:val="auto"/>
        </w:rPr>
      </w:pPr>
      <w:r>
        <w:rPr>
          <w:rFonts w:ascii="Arial" w:cs="Arial" w:eastAsia="Arial" w:hAnsi="Arial"/>
          <w:sz w:val="16"/>
          <w:szCs w:val="16"/>
          <w:color w:val="auto"/>
        </w:rPr>
        <w:t>We are initially targeting rare diseases in which current standard of care provides the mechanistic proof that the enzymes or other proteins produced endogenously following treatment with our gene therapies can offer benefit to patients. Typically in lysosomal storage diseases, a gene mutation results in the deficiency or malfunction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the diseases continue to progress. Further, the frequent, periodic and life-long dosing schedule required for ERTs results in significant costs for the healthcare system and is burdensome for the patient.</w:t>
      </w:r>
    </w:p>
    <w:p>
      <w:pPr>
        <w:spacing w:after="0" w:line="16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efforts. The status of our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291" w:lineRule="auto"/>
        <w:rPr>
          <w:sz w:val="20"/>
          <w:szCs w:val="20"/>
          <w:color w:val="auto"/>
        </w:rPr>
      </w:pPr>
      <w:r>
        <w:rPr>
          <w:rFonts w:ascii="Arial" w:cs="Arial" w:eastAsia="Arial" w:hAnsi="Arial"/>
          <w:sz w:val="16"/>
          <w:szCs w:val="16"/>
          <w:b w:val="1"/>
          <w:bCs w:val="1"/>
          <w:i w:val="1"/>
          <w:iCs w:val="1"/>
          <w:color w:val="auto"/>
        </w:rPr>
        <w:t xml:space="preserve">AVR-RD-01. </w:t>
      </w:r>
      <w:r>
        <w:rPr>
          <w:rFonts w:ascii="Arial" w:cs="Arial" w:eastAsia="Arial" w:hAnsi="Arial"/>
          <w:sz w:val="16"/>
          <w:szCs w:val="16"/>
          <w:color w:val="auto"/>
        </w:rPr>
        <w:t>Our lead product candidate, AVR-RD-01 for the treatment of Fabry disease, is derived from hematopoietic stem cells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gene encoding the enzyme a-galactosidase A, or AGA, is added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process using a lentiviral vector. In an ongoing Phase 1 clinical trial of patients with Fabry disease, AVR-RD-01 has led to the production of active AGA enzyme in the two patients treated to date. In both patients, within days of receiving AVR-RD-01, the level of AGA enzyme activity began to rise from nearly undetectable levels before treatment to levels above the range for males with classic Fabry disease. As of twelve months after receiving AVR-RD-01, the first patient’s plasma AGA enzyme activity levels continued to be above the range for males with classic Fabry disease. Plasma AGA enzyme activity levels in the second patient remained above the range for males with classic Fabry disease, defined as less than 1 nmol/hr/ml, as of three months after treatment.</w:t>
      </w:r>
    </w:p>
    <w:p>
      <w:pPr>
        <w:spacing w:after="0" w:line="2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39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3340" w:type="dxa"/>
            <w:vAlign w:val="bottom"/>
            <w:tcBorders>
              <w:top w:val="single" w:sz="8" w:color="auto"/>
              <w:right w:val="single" w:sz="8" w:color="auto"/>
            </w:tcBorders>
          </w:tcPr>
          <w:p>
            <w:pPr>
              <w:jc w:val="center"/>
              <w:ind w:left="1539"/>
              <w:spacing w:after="0" w:line="139" w:lineRule="exact"/>
              <w:rPr>
                <w:sz w:val="20"/>
                <w:szCs w:val="20"/>
                <w:color w:val="auto"/>
              </w:rPr>
            </w:pPr>
            <w:r>
              <w:rPr>
                <w:rFonts w:ascii="Arial" w:cs="Arial" w:eastAsia="Arial" w:hAnsi="Arial"/>
                <w:sz w:val="14"/>
                <w:szCs w:val="14"/>
                <w:b w:val="1"/>
                <w:bCs w:val="1"/>
                <w:color w:val="auto"/>
                <w:w w:val="96"/>
              </w:rPr>
              <w:t>Day 0</w:t>
            </w:r>
          </w:p>
        </w:tc>
        <w:tc>
          <w:tcPr>
            <w:tcW w:w="2380" w:type="dxa"/>
            <w:vAlign w:val="bottom"/>
            <w:tcBorders>
              <w:top w:val="single" w:sz="8" w:color="auto"/>
              <w:right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rPr>
              <w:t>3 Months</w:t>
            </w:r>
          </w:p>
        </w:tc>
        <w:tc>
          <w:tcPr>
            <w:tcW w:w="2500" w:type="dxa"/>
            <w:vAlign w:val="bottom"/>
            <w:tcBorders>
              <w:top w:val="single" w:sz="8" w:color="auto"/>
              <w:right w:val="single" w:sz="8" w:color="auto"/>
            </w:tcBorders>
          </w:tcPr>
          <w:p>
            <w:pPr>
              <w:ind w:left="166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ind w:left="1640"/>
              <w:spacing w:after="0"/>
              <w:rPr>
                <w:sz w:val="20"/>
                <w:szCs w:val="20"/>
                <w:color w:val="auto"/>
              </w:rPr>
            </w:pPr>
            <w:r>
              <w:rPr>
                <w:rFonts w:ascii="Arial" w:cs="Arial" w:eastAsia="Arial" w:hAnsi="Arial"/>
                <w:sz w:val="14"/>
                <w:szCs w:val="14"/>
                <w:b w:val="1"/>
                <w:bCs w:val="1"/>
                <w:color w:val="auto"/>
              </w:rPr>
              <w:t>(Infusion of AVR-RD-01)</w:t>
            </w:r>
          </w:p>
        </w:tc>
        <w:tc>
          <w:tcPr>
            <w:tcW w:w="238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r>
      <w:tr>
        <w:trPr>
          <w:trHeight w:val="210"/>
        </w:trPr>
        <w:tc>
          <w:tcPr>
            <w:tcW w:w="24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Patient 1</w:t>
            </w:r>
          </w:p>
        </w:tc>
        <w:tc>
          <w:tcPr>
            <w:tcW w:w="3340" w:type="dxa"/>
            <w:vAlign w:val="bottom"/>
            <w:tcBorders>
              <w:bottom w:val="single" w:sz="8" w:color="auto"/>
              <w:right w:val="single" w:sz="8" w:color="auto"/>
            </w:tcBorders>
            <w:shd w:val="clear" w:color="auto" w:fill="CCEEFF"/>
          </w:tcPr>
          <w:p>
            <w:pPr>
              <w:jc w:val="center"/>
              <w:ind w:left="1539"/>
              <w:spacing w:after="0"/>
              <w:rPr>
                <w:sz w:val="20"/>
                <w:szCs w:val="20"/>
                <w:color w:val="auto"/>
              </w:rPr>
            </w:pPr>
            <w:r>
              <w:rPr>
                <w:rFonts w:ascii="Arial" w:cs="Arial" w:eastAsia="Arial" w:hAnsi="Arial"/>
                <w:sz w:val="18"/>
                <w:szCs w:val="18"/>
                <w:color w:val="auto"/>
                <w:w w:val="95"/>
              </w:rPr>
              <w:t>0.1</w:t>
            </w:r>
          </w:p>
        </w:tc>
        <w:tc>
          <w:tcPr>
            <w:tcW w:w="238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5.8</w:t>
            </w:r>
          </w:p>
        </w:tc>
        <w:tc>
          <w:tcPr>
            <w:tcW w:w="2500" w:type="dxa"/>
            <w:vAlign w:val="bottom"/>
            <w:tcBorders>
              <w:bottom w:val="single" w:sz="8" w:color="auto"/>
              <w:right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5.8</w:t>
            </w:r>
          </w:p>
        </w:tc>
      </w:tr>
      <w:tr>
        <w:trPr>
          <w:trHeight w:val="210"/>
        </w:trPr>
        <w:tc>
          <w:tcPr>
            <w:tcW w:w="24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Patient 2</w:t>
            </w:r>
          </w:p>
        </w:tc>
        <w:tc>
          <w:tcPr>
            <w:tcW w:w="3340" w:type="dxa"/>
            <w:vAlign w:val="bottom"/>
            <w:tcBorders>
              <w:bottom w:val="single" w:sz="8" w:color="auto"/>
              <w:right w:val="single" w:sz="8" w:color="auto"/>
            </w:tcBorders>
          </w:tcPr>
          <w:p>
            <w:pPr>
              <w:jc w:val="center"/>
              <w:ind w:left="1539"/>
              <w:spacing w:after="0"/>
              <w:rPr>
                <w:sz w:val="20"/>
                <w:szCs w:val="20"/>
                <w:color w:val="auto"/>
              </w:rPr>
            </w:pPr>
            <w:r>
              <w:rPr>
                <w:rFonts w:ascii="Arial" w:cs="Arial" w:eastAsia="Arial" w:hAnsi="Arial"/>
                <w:sz w:val="18"/>
                <w:szCs w:val="18"/>
                <w:color w:val="auto"/>
                <w:w w:val="95"/>
              </w:rPr>
              <w:t>0.2</w:t>
            </w:r>
          </w:p>
        </w:tc>
        <w:tc>
          <w:tcPr>
            <w:tcW w:w="238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7.6</w:t>
            </w:r>
          </w:p>
        </w:tc>
        <w:tc>
          <w:tcPr>
            <w:tcW w:w="2500" w:type="dxa"/>
            <w:vAlign w:val="bottom"/>
            <w:tcBorders>
              <w:bottom w:val="single" w:sz="8" w:color="auto"/>
              <w:right w:val="single" w:sz="8" w:color="auto"/>
            </w:tcBorders>
          </w:tcPr>
          <w:p>
            <w:pPr>
              <w:jc w:val="center"/>
              <w:ind w:left="1496"/>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We believe these preliminary results support the potential of AVR-RD-01 to drive active enzyme production for long durations. On June 7, 2018, we dosed the first patient in our company-sponsored Phase 2 clinical trial.</w:t>
      </w:r>
    </w:p>
    <w:p>
      <w:pPr>
        <w:spacing w:after="0" w:line="170"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b w:val="1"/>
          <w:bCs w:val="1"/>
          <w:i w:val="1"/>
          <w:iCs w:val="1"/>
          <w:color w:val="auto"/>
        </w:rPr>
        <w:t xml:space="preserve">AVR-RD-02. </w:t>
      </w:r>
      <w:r>
        <w:rPr>
          <w:rFonts w:ascii="Arial" w:cs="Arial" w:eastAsia="Arial" w:hAnsi="Arial"/>
          <w:sz w:val="18"/>
          <w:szCs w:val="18"/>
          <w:color w:val="auto"/>
        </w:rPr>
        <w:t>We are developing AVR-RD-02 for the treatment of Type 1 Gaucher disease. We will manufacture AVR-RD-02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AVR-RD-03. </w:t>
      </w:r>
      <w:r>
        <w:rPr>
          <w:rFonts w:ascii="Arial" w:cs="Arial" w:eastAsia="Arial" w:hAnsi="Arial"/>
          <w:sz w:val="18"/>
          <w:szCs w:val="18"/>
          <w:color w:val="auto"/>
        </w:rPr>
        <w:t>We are developing AVR-RD-03 for the treatment of Pompe disease. We will manufacture AVR-RD-03 from hematopoietic 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addition of a GILT tag has been shown to increase the uptake of GAA into cells, especially in muscle cells, which is a particularly important target tissue for patients with Pompe disease.</w:t>
      </w:r>
    </w:p>
    <w:p>
      <w:pPr>
        <w:spacing w:after="0" w:line="188"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b w:val="1"/>
          <w:bCs w:val="1"/>
          <w:i w:val="1"/>
          <w:iCs w:val="1"/>
          <w:color w:val="auto"/>
        </w:rPr>
        <w:t xml:space="preserve">AVR-RD-04. </w:t>
      </w:r>
      <w:r>
        <w:rPr>
          <w:rFonts w:ascii="Arial" w:cs="Arial" w:eastAsia="Arial" w:hAnsi="Arial"/>
          <w:sz w:val="17"/>
          <w:szCs w:val="17"/>
          <w:color w:val="auto"/>
        </w:rPr>
        <w:t>We are developing AVR-RD-04 for the treatment of patients with cystinosis. We will manufacture AVR-RD-04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166"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4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380" w:right="180" w:firstLine="426"/>
        <w:spacing w:after="0" w:line="302" w:lineRule="auto"/>
        <w:rPr>
          <w:sz w:val="20"/>
          <w:szCs w:val="20"/>
          <w:color w:val="auto"/>
        </w:rPr>
      </w:pPr>
      <w:r>
        <w:rPr>
          <w:rFonts w:ascii="Arial" w:cs="Arial" w:eastAsia="Arial" w:hAnsi="Arial"/>
          <w:sz w:val="16"/>
          <w:szCs w:val="16"/>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initial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first-line gene therapies for lysosomal storage diseases;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Globally develop, manufacture and commercialize our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Industrialize lentiviral-based gene therapy;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approach beyond our initial indications.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160" w:firstLine="426"/>
        <w:spacing w:after="0" w:line="34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29" w:lineRule="exact"/>
        <w:rPr>
          <w:sz w:val="20"/>
          <w:szCs w:val="20"/>
          <w:color w:val="auto"/>
        </w:rPr>
      </w:pPr>
    </w:p>
    <w:p>
      <w:pPr>
        <w:ind w:left="1220" w:right="6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1220" w:right="4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6" w:lineRule="exact"/>
        <w:rPr>
          <w:rFonts w:ascii="Arial" w:cs="Arial" w:eastAsia="Arial" w:hAnsi="Arial"/>
          <w:sz w:val="18"/>
          <w:szCs w:val="18"/>
          <w:color w:val="auto"/>
        </w:rPr>
      </w:pPr>
    </w:p>
    <w:p>
      <w:pPr>
        <w:ind w:left="1220" w:right="10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AVR-RD-01 is being investigated in an investigator-sponsored ongoing Phase 1 clinical trial, in which two patients have been dosed to date and a company-sponsored Phase 2 clinical trial, in which one patient has been dosed to date. We have not commenced clinical trials for any of our other product candidates. We have never completed pivotal clinical trials, and may be unable to do so for any product candidates we may develop, including AVR-RD-01.</w:t>
      </w:r>
    </w:p>
    <w:p>
      <w:pPr>
        <w:spacing w:after="0" w:line="92"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96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9" w:lineRule="exact"/>
        <w:rPr>
          <w:rFonts w:ascii="Arial" w:cs="Arial" w:eastAsia="Arial" w:hAnsi="Arial"/>
          <w:sz w:val="16"/>
          <w:szCs w:val="16"/>
          <w:color w:val="auto"/>
        </w:rPr>
      </w:pPr>
    </w:p>
    <w:p>
      <w:pPr>
        <w:ind w:left="1220" w:right="1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development and commercialization efforts.</w:t>
      </w:r>
    </w:p>
    <w:p>
      <w:pPr>
        <w:spacing w:after="0" w:line="142" w:lineRule="exact"/>
        <w:rPr>
          <w:rFonts w:ascii="Arial" w:cs="Arial" w:eastAsia="Arial" w:hAnsi="Arial"/>
          <w:sz w:val="17"/>
          <w:szCs w:val="17"/>
          <w:color w:val="auto"/>
        </w:rPr>
      </w:pPr>
    </w:p>
    <w:p>
      <w:pPr>
        <w:ind w:left="1220" w:right="20" w:hanging="415"/>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92" w:lineRule="exact"/>
        <w:rPr>
          <w:rFonts w:ascii="Arial" w:cs="Arial" w:eastAsia="Arial" w:hAnsi="Arial"/>
          <w:sz w:val="18"/>
          <w:szCs w:val="18"/>
          <w:color w:val="auto"/>
        </w:rPr>
      </w:pPr>
    </w:p>
    <w:p>
      <w:pPr>
        <w:ind w:left="1220" w:right="14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aware of issued patents in the United States that cover the lentiviral vectors used in the manufacture of our product candidates. While we believe that we have reasonable defenses against a claim of infringement, there can be no assurance that we will prevail in any such action by the holder of these patents.</w:t>
      </w:r>
    </w:p>
    <w:p>
      <w:pPr>
        <w:spacing w:after="0" w:line="86"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have identified material weaknesses in our internal control over financial reporting which will require remediation.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 but such references should not be construed as any indicator that their respective owners will not assert, to the fullest extent under applicable law, their rights thereto.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220" w:right="10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933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40" w:hanging="415"/>
        <w:spacing w:after="0" w:line="34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527"/>
        </w:trPr>
        <w:tc>
          <w:tcPr>
            <w:tcW w:w="46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000" w:type="dxa"/>
            <w:vAlign w:val="bottom"/>
          </w:tcPr>
          <w:p>
            <w:pPr>
              <w:ind w:left="1020"/>
              <w:spacing w:after="0"/>
              <w:rPr>
                <w:sz w:val="20"/>
                <w:szCs w:val="20"/>
                <w:color w:val="auto"/>
              </w:rPr>
            </w:pPr>
            <w:r>
              <w:rPr>
                <w:rFonts w:ascii="Arial" w:cs="Arial" w:eastAsia="Arial" w:hAnsi="Arial"/>
                <w:sz w:val="18"/>
                <w:szCs w:val="18"/>
                <w:color w:val="auto"/>
              </w:rPr>
              <w:t>4,412,000 shares</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6000" w:type="dxa"/>
            <w:vAlign w:val="bottom"/>
            <w:vMerge w:val="restart"/>
          </w:tcPr>
          <w:p>
            <w:pPr>
              <w:ind w:left="1020"/>
              <w:spacing w:after="0"/>
              <w:rPr>
                <w:sz w:val="20"/>
                <w:szCs w:val="20"/>
                <w:color w:val="auto"/>
              </w:rPr>
            </w:pPr>
            <w:r>
              <w:rPr>
                <w:rFonts w:ascii="Arial" w:cs="Arial" w:eastAsia="Arial" w:hAnsi="Arial"/>
                <w:sz w:val="18"/>
                <w:szCs w:val="18"/>
                <w:color w:val="auto"/>
                <w:w w:val="93"/>
              </w:rPr>
              <w:t>22,313,687 shares (22,975,487 shares if the underwriters exercise</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their option to purchase additional shares in full)</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auto"/>
              </w:rPr>
              <w:t>Underwriters’ option to purchase additional shares</w:t>
            </w:r>
          </w:p>
        </w:tc>
        <w:tc>
          <w:tcPr>
            <w:tcW w:w="6000" w:type="dxa"/>
            <w:vAlign w:val="bottom"/>
          </w:tcPr>
          <w:p>
            <w:pPr>
              <w:ind w:left="1020"/>
              <w:spacing w:after="0"/>
              <w:rPr>
                <w:sz w:val="20"/>
                <w:szCs w:val="20"/>
                <w:color w:val="auto"/>
              </w:rPr>
            </w:pPr>
            <w:r>
              <w:rPr>
                <w:rFonts w:ascii="Arial" w:cs="Arial" w:eastAsia="Arial" w:hAnsi="Arial"/>
                <w:sz w:val="18"/>
                <w:szCs w:val="18"/>
                <w:color w:val="auto"/>
                <w:w w:val="91"/>
              </w:rPr>
              <w:t>We have granted a 30-day option to the underwriters to purchase up</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5"/>
              </w:rPr>
              <w:t>to an aggregate of 661,800 additional shares of common stock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from us at the public offering price, less underwriting discounts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88"/>
              </w:rPr>
              <w:t>and commissions on the same terms as set forth in this prospectus.</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tcPr>
          <w:p>
            <w:pPr>
              <w:ind w:left="1020"/>
              <w:spacing w:after="0"/>
              <w:rPr>
                <w:sz w:val="20"/>
                <w:szCs w:val="20"/>
                <w:color w:val="auto"/>
              </w:rPr>
            </w:pPr>
            <w:r>
              <w:rPr>
                <w:rFonts w:ascii="Arial" w:cs="Arial" w:eastAsia="Arial" w:hAnsi="Arial"/>
                <w:sz w:val="18"/>
                <w:szCs w:val="18"/>
                <w:color w:val="auto"/>
                <w:w w:val="89"/>
              </w:rPr>
              <w:t>We estimate that we will receive net proceeds from the sale of shares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of our common stock in this offering of approximately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$67.5 million, or $77.9 million if the underwriters exercise their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option to purchase additional shares in full, assuming an initial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2"/>
              </w:rPr>
              <w:t>public offering price of $17.00 per share, the midpoint of the price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7"/>
              </w:rPr>
              <w:t>range set forth on the cover page of this prospectus, and after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1"/>
              </w:rPr>
              <w:t>deducting estimated underwriting discounts and commissions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2"/>
              </w:rPr>
              <w:t>estimated offering expenses payable by us. We intend to use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net proceeds from this offering, together with our existing cash</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89"/>
              </w:rPr>
              <w:t>and cash equivalents, to advance our lead product candidate AVR-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89"/>
              </w:rPr>
              <w:t>RD-01; to advance our other product candidates and programs;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1"/>
              </w:rPr>
              <w:t>our external and internal manufacturing and process development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1"/>
              </w:rPr>
              <w:t>activities; for research and development activities that relate to all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9"/>
              </w:rPr>
              <w:t>of our clinical and preclinical activities; and the remainder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planned general and administrative expenses, the costs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2"/>
              </w:rPr>
              <w:t>operating as a public company, working capital and other general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corporate purposes. For a more complete description of our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intended use of the proceeds from this offering, see “Use of</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Proceeds.”</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tcPr>
          <w:p>
            <w:pPr>
              <w:ind w:left="1020"/>
              <w:spacing w:after="0"/>
              <w:rPr>
                <w:sz w:val="20"/>
                <w:szCs w:val="20"/>
                <w:color w:val="auto"/>
              </w:rPr>
            </w:pPr>
            <w:r>
              <w:rPr>
                <w:rFonts w:ascii="Arial" w:cs="Arial" w:eastAsia="Arial" w:hAnsi="Arial"/>
                <w:sz w:val="18"/>
                <w:szCs w:val="18"/>
                <w:color w:val="auto"/>
              </w:rPr>
              <w:t>You should carefully read the “Risk Factors” section of this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prospectus for a discussion of factors that you should consider</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before deciding to invest in our common stock.</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6000" w:type="dxa"/>
            <w:vAlign w:val="bottom"/>
          </w:tcPr>
          <w:p>
            <w:pPr>
              <w:ind w:left="1020"/>
              <w:spacing w:after="0"/>
              <w:rPr>
                <w:sz w:val="20"/>
                <w:szCs w:val="20"/>
                <w:color w:val="auto"/>
              </w:rPr>
            </w:pPr>
            <w:r>
              <w:rPr>
                <w:rFonts w:ascii="Arial" w:cs="Arial" w:eastAsia="Arial" w:hAnsi="Arial"/>
                <w:sz w:val="18"/>
                <w:szCs w:val="18"/>
                <w:color w:val="auto"/>
              </w:rPr>
              <w:t>“AVRO”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60" w:firstLine="426"/>
        <w:spacing w:after="0" w:line="302" w:lineRule="auto"/>
        <w:rPr>
          <w:sz w:val="20"/>
          <w:szCs w:val="20"/>
          <w:color w:val="auto"/>
        </w:rPr>
      </w:pPr>
      <w:r>
        <w:rPr>
          <w:rFonts w:ascii="Arial" w:cs="Arial" w:eastAsia="Arial" w:hAnsi="Arial"/>
          <w:sz w:val="16"/>
          <w:szCs w:val="16"/>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15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40" w:firstLine="42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2,581,474 shares of our common stock outstanding as of March 31, 2018, and gives effect to the conversion of all of our outstanding preferred stock into 15,320,213 shares of our common stock immediately prior to the closing of this offering, and excludes:</w:t>
      </w:r>
    </w:p>
    <w:p>
      <w:pPr>
        <w:spacing w:after="0" w:line="87" w:lineRule="exact"/>
        <w:rPr>
          <w:sz w:val="20"/>
          <w:szCs w:val="20"/>
          <w:color w:val="auto"/>
        </w:rPr>
      </w:pPr>
    </w:p>
    <w:p>
      <w:pPr>
        <w:ind w:left="1220" w:right="4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1,788,750 shares of common stock issuable upon the exercise of stock options outstanding as of March 31, 2018, with a weighted-average exercise price of $2.56 per share;</w:t>
      </w:r>
    </w:p>
    <w:p>
      <w:pPr>
        <w:spacing w:after="0" w:line="75" w:lineRule="exact"/>
        <w:rPr>
          <w:rFonts w:ascii="Arial" w:cs="Arial" w:eastAsia="Arial" w:hAnsi="Arial"/>
          <w:sz w:val="18"/>
          <w:szCs w:val="18"/>
          <w:color w:val="auto"/>
        </w:rPr>
      </w:pPr>
    </w:p>
    <w:p>
      <w:pPr>
        <w:ind w:left="12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auto"/>
        </w:rPr>
      </w:pPr>
    </w:p>
    <w:p>
      <w:pPr>
        <w:ind w:left="12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616,300 shares of common stock that will be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223,200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in this prospectus reflects or assumes the following:</w:t>
      </w:r>
    </w:p>
    <w:p>
      <w:pPr>
        <w:spacing w:after="0" w:line="131" w:lineRule="exact"/>
        <w:rPr>
          <w:sz w:val="20"/>
          <w:szCs w:val="20"/>
          <w:color w:val="auto"/>
        </w:rPr>
      </w:pPr>
    </w:p>
    <w:p>
      <w:pPr>
        <w:ind w:left="1220" w:right="18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right="28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shares of preferred stock into an aggregate of 15,320,213 shares of common stock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issuance or exercise of outstanding options or warrants after March 31, 2018;</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1-for-4.132 reverse split of our common stock effected on June 7, 2018;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661,800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60" w:firstLine="426"/>
        <w:spacing w:after="0" w:line="289"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2016 and 2017 are derived from our audited consolidated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summary consolidated financial data together with the information in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7"/>
          </w:tcPr>
          <w:p>
            <w:pPr>
              <w:jc w:val="right"/>
              <w:ind w:right="68"/>
              <w:spacing w:after="0" w:line="142"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preferred stock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40" w:type="dxa"/>
            <w:vAlign w:val="bottom"/>
          </w:tcPr>
          <w:p>
            <w:pPr>
              <w:ind w:left="74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Reconciliation of net loss to net loss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auto"/>
              </w:rPr>
              <w:t>Accretion of redeemable convertible preferred stock to redemption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2,038,025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2,235,865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7"/>
              </w:rPr>
              <w:t>2,181,715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2,324,790</w:t>
            </w: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auto"/>
              </w:rPr>
              <w:t>Pro forma net loss per share attributable to common 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Pro forma weighted-average common shares outstanding—basic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6,922,173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16,187,901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00" w:hanging="414"/>
        <w:spacing w:after="0" w:line="31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89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4789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 2018</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tcPr>
          <w:p>
            <w:pPr>
              <w:spacing w:after="0"/>
              <w:rPr>
                <w:sz w:val="10"/>
                <w:szCs w:val="10"/>
                <w:color w:val="auto"/>
              </w:rPr>
            </w:pPr>
          </w:p>
        </w:tc>
        <w:tc>
          <w:tcPr>
            <w:tcW w:w="8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94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1"/>
              </w:rPr>
              <w:t>$ 57,928</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   57,928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   123,461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53,420</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53,420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119,454</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60,216</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60,216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125,193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to purchase redeemable convertible preferred stock</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958</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958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87,500</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(33,511)</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54,036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120,472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hanging="41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jc w:val="both"/>
        <w:ind w:left="800" w:right="60" w:hanging="414"/>
        <w:spacing w:after="0" w:line="281"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the conversion of all outstanding shares of redeemable convertible preferred stock into an aggregate of 15,320,213 shares of common stock upon the closing of this offering; and (ii) the outstanding warrant to purchase shares of our redeemable convertible preferred stock becoming a warrant to purchase shares of our common stock upon the closing of this offering.</w:t>
      </w:r>
    </w:p>
    <w:p>
      <w:pPr>
        <w:spacing w:after="0" w:line="2" w:lineRule="exact"/>
        <w:rPr>
          <w:rFonts w:ascii="Arial" w:cs="Arial" w:eastAsia="Arial" w:hAnsi="Arial"/>
          <w:sz w:val="16"/>
          <w:szCs w:val="16"/>
          <w:color w:val="auto"/>
        </w:rPr>
      </w:pPr>
    </w:p>
    <w:p>
      <w:pPr>
        <w:ind w:left="800" w:right="20" w:hanging="414"/>
        <w:spacing w:after="0" w:line="284"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 forma as adjusted balance sheet data gives effect to the pro forma adjustments described in footnote (2) above, as well as (i) our issuance and sale of 4,412,000 shares of common stock in this offering at an assumed initial public offering price of $17.00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Additionally, for purposes of the pro forma as adjusted amounts shown above, the net proceeds to be received by us from the sale of common stock in this offering have been increased by approximately $55,000 to reflect the estimated offering expenses that had been paid by us as of March 31, 2018. Each $1.00 increase (decrease) in the assumed initial public offering price of $17.00 per share, the midpoint of the price range set forth on the cover page of this prospectus, would increase (decrease) the pro forma as adjusted amount of each of cash and cash equivalents, working capital, total assets and total stockholders’ equity by $4.1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working capital, total assets and total stockholders’ equity by $15.8 million, assuming no change in the assumed initial public offering price per share and after deducting estimated underwriting discounts and commissions and estimated offering expenses payable by us. This pro forma as adjusted information is illustrative only and will depend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“Special Note Regarding Forward-Looking Statements” in this 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Since inception, we have incurred net losses. We incurred net losses of $4.7 million, $18.6 million and $8.2 million for the years ended December 31, 2016 and 2017, and the three months ended March 31,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continue our operations. A decline in the value of our company also could cause you to lose all or part of your investment.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20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clinical trials of our product candidates and establishing research and development and manufacturing capabilities. Although we recently initiated our Phase 2 clinical trial for AVR-RD-01,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FDA recently announced that it is preparing to release a series of draft guidance regarding potential accelerated approval endpoints for certain gene therapy products and other clinical and manufacturing issues related to gene therapy products. We cannot be certain when such guidance will be issued or whether any such guidance will address accelerated approval endpoints or other clinical or manufacturing issues that will be relevant to or have an impact on our gene therapy candidates or the duration or expense of any applicable regulatory review processes.</w:t>
      </w:r>
    </w:p>
    <w:p>
      <w:pPr>
        <w:spacing w:after="0" w:line="28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and death seen in other clinical trials. Gene therapy is still a relatively new approach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investigator-sponsored Phase 1 clinical trial and our ongoing company-sponsored Phase 2 clinical trial of AVR-RD-01, several adverse events, including suppression of white blood cell and platelet counts, nausea and/or vomiting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83"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ind w:left="640" w:right="220"/>
        <w:spacing w:after="0" w:line="312" w:lineRule="auto"/>
        <w:rPr>
          <w:sz w:val="20"/>
          <w:szCs w:val="20"/>
          <w:color w:val="auto"/>
        </w:rPr>
      </w:pPr>
      <w:r>
        <w:rPr>
          <w:rFonts w:ascii="Arial" w:cs="Arial" w:eastAsia="Arial" w:hAnsi="Arial"/>
          <w:sz w:val="16"/>
          <w:szCs w:val="16"/>
          <w:b w:val="1"/>
          <w:bCs w:val="1"/>
          <w:i w:val="1"/>
          <w:iCs w:val="1"/>
          <w:color w:val="auto"/>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3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at a very early stage of development for all of our product candidates including AVR-RD-01. As of June 15, 2018, our product candidate AVR-RD-01 has been administered to only two patients in an ongoing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Phase 1 clinical trial and to one patient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only recently dosed the first patient in our company-sponsored Phase 2 clinical on June 7, 2018. We have limited experience in preparing, submitting and prosecuting regulatory filings, and have not previously submitted a biologics license application, or BLA, for any product candidate.</w:t>
      </w:r>
    </w:p>
    <w:p>
      <w:pPr>
        <w:spacing w:after="0" w:line="188"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are expected to be limited for the near future, and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86"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recently initiated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8"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right="60" w:firstLine="4"/>
        <w:spacing w:after="0" w:line="261"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upon data obtained from a meaningful number of sites. Benefits of such designation also include early interactions with FDA to discuss any potential surrogate or intermediate endpoint to be used to support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recently initiated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38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5620" w:right="3680" w:hanging="4984"/>
        <w:spacing w:after="0" w:line="449" w:lineRule="auto"/>
        <w:tabs>
          <w:tab w:leader="none" w:pos="10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 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5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2"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8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0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5620" w:right="2600" w:hanging="4984"/>
        <w:spacing w:after="0" w:line="449" w:lineRule="auto"/>
        <w:tabs>
          <w:tab w:leader="none" w:pos="1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1"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w:t>
      </w:r>
    </w:p>
    <w:p>
      <w:pPr>
        <w:spacing w:after="0" w:line="6"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90"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9"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June 1, 2018, we had 34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7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59" w:lineRule="auto"/>
        <w:rPr>
          <w:sz w:val="20"/>
          <w:szCs w:val="20"/>
          <w:color w:val="auto"/>
        </w:rPr>
      </w:pPr>
      <w:r>
        <w:rPr>
          <w:rFonts w:ascii="Arial" w:cs="Arial" w:eastAsia="Arial" w:hAnsi="Arial"/>
          <w:sz w:val="18"/>
          <w:szCs w:val="18"/>
          <w:color w:val="auto"/>
        </w:rPr>
        <w:t>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92" w:lineRule="exact"/>
        <w:rPr>
          <w:sz w:val="20"/>
          <w:szCs w:val="20"/>
          <w:color w:val="auto"/>
        </w:rPr>
      </w:pPr>
    </w:p>
    <w:p>
      <w:pPr>
        <w:ind w:left="1060" w:right="160" w:hanging="424"/>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payer. Many U.S. states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79"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66"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0"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290"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we had federal and state net operating loss carryforwards of $19.0 million and $18.9 million, respectively, and state research and development tax credit carryforwards of approximately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this offering,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62" w:lineRule="exact"/>
        <w:rPr>
          <w:sz w:val="20"/>
          <w:szCs w:val="20"/>
          <w:color w:val="auto"/>
        </w:rPr>
      </w:pPr>
    </w:p>
    <w:p>
      <w:pPr>
        <w:ind w:left="640" w:right="22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4" w:lineRule="exact"/>
        <w:rPr>
          <w:sz w:val="20"/>
          <w:szCs w:val="20"/>
          <w:color w:val="auto"/>
        </w:rPr>
      </w:pPr>
    </w:p>
    <w:p>
      <w:pPr>
        <w:ind w:left="640" w:right="14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Some of the intellectual property rights we have licensed, including rights licensed to us by GenStem, may have been generated through the use of U.S. government and California state funding and may therefore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86"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424"/>
        <w:spacing w:after="0" w:line="308"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Although we intend to apply to have our common stock listed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executive officers, directors, five percent stockholders and their affiliates beneficially own approximately 79.20% of our voting stock and, upon closing of this offering, that same group will beneficially own approximately 63.56% of our outstanding voting stock not accounting for any shares purchased in this offering by certain of our existing stockholders, including certain affiliates of our directors, who have indicated an interest in purchasing an aggregate of approximately $37.5 million of our common stock in this offering.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281"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1"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pro forma book value per share of our tangible assets after subtracting our liabilities. As a result,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investors purchasing shares of common stock in this offering will incur immediate dilution of $11.60 per share, based on the assumed initial public offering price of $17.00 per share, which is the midpoint of the price range set forth on the cover page of this prospectus, and our pro forma net tangible book value as of March 31, 2018. Further, based on these assumptions, investors purchasing shares of common stock in this offering will contribute approximately 46% of the total amount invested by stockholders since our inception, but will own only approximately 19.8% of the shares of common stock outstanding. For information on how the foregoing amounts were calculated, see “Dilution.”</w:t>
      </w:r>
    </w:p>
    <w:p>
      <w:pPr>
        <w:spacing w:after="0" w:line="281"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After this offering, we will have outstanding 22,313,687 shares of common stock based on the number of shares outstanding as of March 31, 2018 assuming the conversion of our preferred stock upon the closing of this offering, (or 22,975,487 shares if the underwriters exercise their option to purchase additional shares in full). This includes the 4,412,000 shares that we are selling in this offering (or 5,073,800 shares if the underwriters exercise their option to purchase additional shares in full), which may be resold in the public market immediately without restriction, unless purchased by our affiliates. The remaining 17,901,687 shares currently are restricted as a result of securities laws or lock-up agreements but will be able to be sold after the offering as described in the “Shares eligible for future sale” and “Underwriters” sections of this prospectus. Moreover, after this offering, holders of an aggregate of approximately 15.3 million shares of our common stock will have rights, subject to certain conditions, to require us to file registration statements covering their shares or to include their shares in registration statements that we may file for ourselves or other stockholders. In addition, 1,788,750 shares reserved for issuance upon the exercise of existing stock options outstanding as of March 31, 2018 under our current equity incentive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8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Morgan Stanley &amp; Co. LLC and Cowen and Company,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29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See “Description of Capital Stock—Choice of Forum.”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3" w:lineRule="exact"/>
        <w:rPr>
          <w:sz w:val="20"/>
          <w:szCs w:val="20"/>
          <w:color w:val="auto"/>
        </w:rPr>
      </w:pPr>
    </w:p>
    <w:p>
      <w:pPr>
        <w:ind w:left="1060" w:right="40" w:hanging="424"/>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 including our transition to LV2 and our use of a milder conditioning regimen;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We estimate that the net proceeds from our issuance and sale of common stock in this offering will be approximately $67.5 million, or approximately $77.9 million if the underwriters exercise their over-allotment option in full, based upon the assumed initial public offering price of $17.00 per share, the midpoint of the price range set forth on the cover page of this prospectus, after deducting estimated underwriting discounts and commissions and estimated offering expenses payable by us.</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$17.00 per share, the midpoint of the price range set forth on the cover page of this prospectus, would increase (decrease) the net proceeds to us from this offering by $4.1 million, assuming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our net proceeds from this offering by $15.8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currently estimate that we will use the net proceeds from this offering, together with our existing cash and cash equivalents of $57.9 million as of March 31, 2018, as follows:</w:t>
      </w:r>
    </w:p>
    <w:p>
      <w:pPr>
        <w:spacing w:after="0" w:line="76" w:lineRule="exact"/>
        <w:rPr>
          <w:sz w:val="20"/>
          <w:szCs w:val="20"/>
          <w:color w:val="auto"/>
        </w:rPr>
      </w:pPr>
    </w:p>
    <w:p>
      <w:pPr>
        <w:ind w:left="1060" w:right="2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$13.4 million to fund expenses for our lead product candidate, AVR-RD-01, for the treatment of Fabry disease in our ongoing Phase 2 clinical trial and to support the ongoing investigator-sponsored Phase 1 clinical trial;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approximately $12.9 million to fund expenses to advance AVR-RD-02 for the treatment of Gaucher disease into Phase 1/2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$3.2 million to fund expenses to advance AVR-RD-03 for Pompe disease further into preclinical development;</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$5.4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$28.0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$32.6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Based on our current plans, we expect that the proceeds allocated as described above will be sufficient to complete the ongoing Phase 1 and Phase 2 clinical trials for AVR-RD-01, but will be insufficient to complete the above referenced trials and studies for AVR-RD-02, AVR-RD-03 and AVR-RD-04 or subsequent clinical trials of AVR-RD-01. Based on our current plans, we believe our existing cash and cash equivalents, together with the net proceeds from this offering, will be sufficient to fund our operations into 2020.</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For example, we may use a portion of the net proceeds for the acquisition of businesses or technologies to continue to build our pipeline, our research and development capabilities and our intellectual property position, although we currently have no agreements, commitments or understandings with respect to any such transaction. We cannot predict with certainty all of the particular uses for the net proceeds to be received upon the completion of this offering or the amounts that we will actually spend on the uses set forth above. The amounts and timing of our actual expenditures may vary significantly depending on numerous factors, including the timing and plans for initiation of our planned clinical trials, the progress of our research and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 In addition, under our loan and security agreement with Silicon Valley Bank, we are restricted from paying any dividends or making any distributions on account of our capital stock. Moreover, the terms of any future indebtedness that we may incur could restrict our ability to pay dividends. See “Management’s Discussion and Analysis of Financial Condition and Results of Operations—Liquidity and Capital Resources” for a description of the restrictions on our ability to pay dividends.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2018:</w:t>
      </w:r>
    </w:p>
    <w:p>
      <w:pPr>
        <w:spacing w:after="0" w:line="131"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15,320,213 shares of common stock upon the closing of this offering;</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conversion of our warrant to purchase preferred stock into a warrant to purchase common stock upon the closing of this offering;</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ind w:left="1060" w:right="40" w:hanging="424"/>
        <w:spacing w:after="0" w:line="25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 to give further effect (i) to our issuance and sale of 4,412,000 shares of common stock in this offering at the assumed initial public offering price of $17.00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Additionally, for purposes of the pro forma as adjusted amounts shown below, the net proceeds to be received by us from the sale of common stock in this offering have been increased by approximately $55,000 to reflect the estimated offering expenses that had been paid by us as of March 31, 2018.</w:t>
      </w:r>
    </w:p>
    <w:p>
      <w:pPr>
        <w:spacing w:after="0" w:line="19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the following table in conjunction with our consolidated financial statements and the related notes appearing elsewhere in this prospectus, and the sections of this prospectus titled “Use of Proceeds,” “Selected Consolidated Financial Data,” “Management’s Discussion and Analysis of Financial Condition and Results of Operations” and “Description of Share Capital.”</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As of March 31, 2018</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Actual</w:t>
            </w:r>
          </w:p>
        </w:tc>
        <w:tc>
          <w:tcPr>
            <w:tcW w:w="126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6"/>
          </w:tcPr>
          <w:p>
            <w:pPr>
              <w:jc w:val="center"/>
              <w:ind w:left="3"/>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8"/>
          </w:tcPr>
          <w:p>
            <w:pPr>
              <w:jc w:val="center"/>
              <w:ind w:right="84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Warrant to purchase redeemable preferred stock</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00" w:type="dxa"/>
            <w:vAlign w:val="bottom"/>
            <w:gridSpan w:val="2"/>
            <w:vMerge w:val="continue"/>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Redeemable convertible preferred stock (Series Seed, A and B), $0.0001 par value; 63,491,857 shares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authorized, 63,303,154 shares issued and outstanding, actual; no shares authorized, issued or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87,500</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Preferred stock, $0.0001 par value, no share authorized, issued or outstanding, actual; 10,000,000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shares authorized and no shares issued or outstanding, pro forma and pro forma as adjusted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$0.0001 par value; 82,000,000 shares authorized, 2,581,474 shares issued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w w:val="92"/>
              </w:rPr>
              <w:t>2,335,926 shares outstanding, actual; 150,000,000 shares authorized, 17,901,687 shares issued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w w:val="90"/>
              </w:rPr>
              <w:t>and 17,656,139 shares outstanding, pro forma; 150,000,000 shares authorized, 22,313,687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rPr>
              <w:t>issued and 22,068,139 shares outstanding, pro forma as adjusted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(33,620)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(33,620)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(33,511)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54,036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00" w:hanging="436"/>
        <w:spacing w:after="0" w:line="270"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$17.00 per share, the midpoint of the price range set forth on the cover page of this prospectus, would increase (decrease) the pro forma as adjusted amount of each of cash and cash equivalents and total stockholders’ equity by $4.1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and total stockholders’ equity by $15.8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 number of shares of common stock outstanding in the table above does not include:</w:t>
      </w:r>
    </w:p>
    <w:p>
      <w:pPr>
        <w:spacing w:after="0" w:line="130" w:lineRule="exact"/>
        <w:rPr>
          <w:rFonts w:ascii="Arial" w:cs="Arial" w:eastAsia="Arial" w:hAnsi="Arial"/>
          <w:sz w:val="17"/>
          <w:szCs w:val="17"/>
          <w:color w:val="auto"/>
        </w:rPr>
      </w:pPr>
    </w:p>
    <w:p>
      <w:pPr>
        <w:ind w:left="1060" w:right="20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1,788,750 shares of common stock issuable upon the exercise of stock options outstanding as of March 31, 2018, with a weighted average exercise price of $2.56 per share;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616,300 shares of common stock that will be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auto"/>
        </w:rPr>
      </w:pPr>
    </w:p>
    <w:p>
      <w:pPr>
        <w:ind w:left="1060" w:right="36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223,200 shares of common stock that will be made available for future issuance under our 2018 Employee Stock Purchase Plan upon the effectiveness of the registration statement of which this prospectus forms a part.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common share immediately after this offering.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historical net tangible book (deficit) as of March 31, 2018 was $33.5 million, or $(12.98) per share of common stock. Our historical net tangible book (deficit) is the amount of our total tangible assets less our total liabilities and the carrying value of redeemable convertible preferred stock, which is not included within stockholders’ (deficit). Historical net tangible book (deficit) per share represents historical net tangible book (deficit) divided by the 2,581,474 shares of our common stock outstanding as of March 31, 2018.</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pro forma net tangible book value as of March 31, 2018 was $54.0 million, or $3.02 per share of common stock. Pro forma net tangible book value represents the amount of our total tangible assets less our total liabilities, after giving effect to:</w:t>
      </w:r>
    </w:p>
    <w:p>
      <w:pPr>
        <w:spacing w:after="0" w:line="76" w:lineRule="exact"/>
        <w:rPr>
          <w:sz w:val="20"/>
          <w:szCs w:val="20"/>
          <w:color w:val="auto"/>
        </w:rPr>
      </w:pPr>
    </w:p>
    <w:p>
      <w:pPr>
        <w:ind w:left="1060" w:right="14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of all outstanding shares of redeemable convertible preferred stock into an aggregate of 15,320,213 shares of common stock upon the closing of this offering;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conversion of our warrant to purchase preferred stock into a warrant to purchase common stock upon the closing of this offering.</w:t>
      </w:r>
    </w:p>
    <w:p>
      <w:pPr>
        <w:spacing w:after="0" w:line="23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Pro forma net tangible book value per share represents our pro forma net tangible book value divided by the total number of shares of our common stock outstanding as of March 31, 2018, after giving effect to the pro forma adjustments described above.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After giving further effect to (i) our issuance and sale of 4,412,000 shares of common stock in this offering at the assumed initial public offering price of $17.00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our pro forma as adjusted net tangible book value as of March 31, 2018 would have been $120.5 million, or $5.40 per share. This represents an immediate increase in pro forma as adjusted net tangible book value per share of $2.38 to existing shareholders and immediate dilution in pro forma as adjusted net tangible book value per share of $11.60 to new investors purchasing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Historical net tangible book value (deficit) per share as of March 31, 2018</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$(12.98)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March 31, 2018</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Increase in pro forma as adjusted net tangible book value per share attributable to new investors purchasing common</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in this offering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as adjusted net tangible book value per share to new investors purchasing common stock in this offering</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Each $1.00 increase (decrease) in the assumed initial public offering price of $17.00 per share, the midpoint of the price range set forth on the cover page of this prospectus, would increase (decrease) the pro forma as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adjusted net tangible book value per share after this offering by $0.18 and dilution per share to new investors purchasing shares in this offering by $0.82, assuming that the number of shares offered by us, as set forth on the cover page of this prospectus, remains the same and after deducting estimated underwriting discounts and commissions and estimated offering expenses payable by us. Each increase of 1,000,000 shares in the number of shares offered by us, as set forth on the cover page of this prospectus, would increase the pro forma as adjusted net tangible book value per share after this offering by $0.45 and decrease dilution per share to new investors purchasing shares in this offering by $0.45, assuming no change in the assumed initial public offering price per share and after deducting estimated underwriting discounts and commissions and estimated offering expenses payable by us. Each decrease of 1,000,000 shares in the number of shares offered by us, as set forth on the cover page of this prospectus, would decrease the pro forma as adjusted net tangible book value per share after this offering by $0.49 and increase dilution per share to new investors purchasing shares in this offering by $0.49,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in full, the pro forma as adjusted net tangible book value per share after this offering would be $5.70 per share, and the dilution in pro forma as adjusted net tangible book value per share to new investors purchasing common shares in this offering would be $11.30 per share, after deducting estimated underwriting discounts and commissions and estimated offering expenses payable by us.</w:t>
      </w:r>
    </w:p>
    <w:p>
      <w:pPr>
        <w:spacing w:after="0" w:line="18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following table summarizes, on the pro forma as adjusted basis described above as of March 31, 2018, the total number of shares of common stock purchased from us, the total consideration paid or to be paid, and the average price per share paid or to be paid by existing shareholders and by new investors in this offering at the assumed initial public offering price of $17.00 per share, the midpoint of the price range set forth on the cover page of this prospectus, before deducting estimated underwriting discounts and commissions and estimated offering expenses payable by 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Total Consideration</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94"/>
              </w:rPr>
              <w:t>Number</w:t>
            </w:r>
          </w:p>
        </w:tc>
        <w:tc>
          <w:tcPr>
            <w:tcW w:w="5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Amount</w:t>
            </w:r>
          </w:p>
        </w:tc>
        <w:tc>
          <w:tcPr>
            <w:tcW w:w="1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4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17,901,687</w:t>
            </w:r>
          </w:p>
        </w:tc>
        <w:tc>
          <w:tcPr>
            <w:tcW w:w="5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80.2%</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88,183,696</w:t>
            </w:r>
          </w:p>
        </w:tc>
        <w:tc>
          <w:tcPr>
            <w:tcW w:w="5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investors</w:t>
            </w:r>
          </w:p>
        </w:tc>
        <w:tc>
          <w:tcPr>
            <w:tcW w:w="1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4,412,000</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75,004,000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22,313,687</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163,187,696</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table and discussion above do not give effect to the potential purchases by such investors.</w:t>
      </w:r>
    </w:p>
    <w:p>
      <w:pPr>
        <w:spacing w:after="0" w:line="188"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A $1.00 increase (decrease) in the assumed initial public offering price of $17.00 per share, the midpoint of the price range set forth on the cover page of this prospectus, would increase (decrease) the total consideration paid by investors in this offering by approximately $4.4 million, assuming the number of shares offered by us, as set forth on the cover page of this prospectus, remains the same and before deducting estimated underwriting discounts and commissions and estimated offering expenses payable by us. Similarly, each increase (decrease) of 1,000,000 shares in the number of shares offered by us in this offering would increase (decrease) the total consideration paid by investors in this offering by approximately $17.0 million, assuming the assumed initial public offering price of $17.00 per share, the midpoint of the price range set forth on the cover page of this prospectus, remains the same, and before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table above assumes no exercise of the underwriters’ over-allotment option in this offering. If the underwriters’ over-allotment option is exercised in full, the number of shares of common stock held by new investors purchasing common stock in this offering would be increased to 22.1% of the total number of shares of common stock outstanding after this offering, and the number of shares held by existing shareholders would be reduced to 77.9% of the total number of shares of common stock outstanding after this offering.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and discussion above do not include:</w:t>
      </w:r>
    </w:p>
    <w:p>
      <w:pPr>
        <w:spacing w:after="0" w:line="131" w:lineRule="exact"/>
        <w:rPr>
          <w:sz w:val="20"/>
          <w:szCs w:val="20"/>
          <w:color w:val="auto"/>
        </w:rPr>
      </w:pPr>
    </w:p>
    <w:p>
      <w:pPr>
        <w:ind w:left="1060" w:right="20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1,788,750 shares of common stock issuable upon the exercise of stock options outstanding as of March 31, 2018, with a weighted average exercise price of $2.56 per share;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616,300 shares of common stock that will be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223,200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selected consolidated statements of operations data for the years ended December 31, 2016 and 2017 and the selected consolidated balance sheet data as of December 31, 2016 and 2017 are derived from our audited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selected financial data together with the information in the sections titled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jc w:val="right"/>
              <w:ind w:right="20"/>
              <w:spacing w:after="0" w:line="155"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w w:val="96"/>
              </w:rPr>
              <w:t>Net loss per share attributable to common stockholders—basic and diluted</w:t>
            </w:r>
            <w:r>
              <w:rPr>
                <w:rFonts w:ascii="Arial" w:cs="Arial" w:eastAsia="Arial" w:hAnsi="Arial"/>
                <w:sz w:val="15"/>
                <w:szCs w:val="15"/>
                <w:color w:val="auto"/>
                <w:w w:val="96"/>
              </w:rPr>
              <w:t>(1)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2,038,025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2,235,865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2,181,715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2,324,790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 forma weighted-average common shares outstanding—basic and diluted</w:t>
            </w:r>
            <w:r>
              <w:rPr>
                <w:rFonts w:ascii="Arial" w:cs="Arial" w:eastAsia="Arial" w:hAnsi="Arial"/>
                <w:sz w:val="15"/>
                <w:szCs w:val="15"/>
                <w:color w:val="auto"/>
                <w:w w:val="93"/>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6,922,173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16,187,901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40" w:hanging="436"/>
        <w:spacing w:after="0" w:line="312" w:lineRule="auto"/>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6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vMerge w:val="restart"/>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left="3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$ 5,357</w:t>
            </w:r>
          </w:p>
        </w:tc>
        <w:tc>
          <w:tcPr>
            <w:tcW w:w="880" w:type="dxa"/>
            <w:vAlign w:val="bottom"/>
          </w:tcPr>
          <w:p>
            <w:pPr>
              <w:jc w:val="right"/>
              <w:spacing w:after="0"/>
              <w:rPr>
                <w:sz w:val="20"/>
                <w:szCs w:val="20"/>
                <w:color w:val="auto"/>
              </w:rPr>
            </w:pPr>
            <w:r>
              <w:rPr>
                <w:rFonts w:ascii="Arial" w:cs="Arial" w:eastAsia="Arial" w:hAnsi="Arial"/>
                <w:sz w:val="18"/>
                <w:szCs w:val="18"/>
                <w:color w:val="auto"/>
              </w:rPr>
              <w:t>$  5,963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$ 57,928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4,485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5,400</w:t>
            </w:r>
          </w:p>
        </w:tc>
        <w:tc>
          <w:tcPr>
            <w:tcW w:w="880" w:type="dxa"/>
            <w:vAlign w:val="bottom"/>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Derivative liability</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88</w:t>
            </w: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720" w:type="dxa"/>
            <w:vAlign w:val="bottom"/>
            <w:gridSpan w:val="2"/>
          </w:tcPr>
          <w:p>
            <w:pPr>
              <w:jc w:val="right"/>
              <w:ind w:right="79"/>
              <w:spacing w:after="0"/>
              <w:rPr>
                <w:sz w:val="20"/>
                <w:szCs w:val="20"/>
                <w:color w:val="auto"/>
              </w:rPr>
            </w:pPr>
            <w:r>
              <w:rPr>
                <w:rFonts w:ascii="Arial" w:cs="Arial" w:eastAsia="Arial" w:hAnsi="Arial"/>
                <w:sz w:val="18"/>
                <w:szCs w:val="18"/>
                <w:color w:val="auto"/>
              </w:rPr>
              <w:t>(4,579)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Phase 2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Through March 31, 2018, we had received gross proceeds of $87.5 million from the sales of our preferred stock.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$4.7 million and $18.6 million for the years ended December 31, 2016 and 2017, respectively, and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$8.2 million for the three months ended March 31, 2018. As of March 31, 2018 we had an accumulated deficit of $33.6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18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anticipated net proceeds from this offering.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March 31, 2018, we had cash and cash equivalents of $57.9 million. We believe that the anticipated net proceeds from this offering, together with our existing cash and cash equivalents, will enable us to fund our operating expenses and capital expenditure requirements into 2020. We have based this estimate on assumptions that may prove to be wrong, and we could exhaust our available capital resources sooner than we expect. See “— Liquidity and Capital Resources.”</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Without giving effect to the anticipated net proceeds from this offering, we expect that our existing cash and cash equivalents will be sufficient to fund our operating expenses and capital expenditure requirements until at least the middle of 2019. To finance our operations beyond that point, we will need to raise additional capital, which cannot be assured.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Gaucher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Cystinosis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1,723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income from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entering into our loan agreement, we agreed to issue a warrant to purchase shares of our preferred stock to the lender. We classify the warrant as a liability on our consolidated balance sheet and we are required to remeasure to fair value at each reporting date. We recognize changes in the fair value of the warrant liability as a component of other income (expense), net in our consolidated statements of operations and comprehensive loss. We will continue to recognize changes in the fair value of the warrant liability until the warrants are exercised, expire or qualify for equity classification.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stock purchase agreement with University Health Network, or UHN, provides for a payment to UHN upon completion of an initial public offering, or IPO, which includes this offering,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We will continue to recognize changes in the fair value of the derivative liability until an IPO occurs.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years ended December 31, 2016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$ 2,663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$ 15,191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(4,625)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8"/>
                <w:szCs w:val="18"/>
                <w:color w:val="auto"/>
              </w:rPr>
            </w:pPr>
          </w:p>
        </w:tc>
        <w:tc>
          <w:tcPr>
            <w:tcW w:w="820" w:type="dxa"/>
            <w:vAlign w:val="bottom"/>
            <w:gridSpan w:val="4"/>
          </w:tcPr>
          <w:p>
            <w:pPr>
              <w:jc w:val="right"/>
              <w:ind w:right="127"/>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(4,664</w:t>
            </w:r>
          </w:p>
        </w:tc>
        <w:tc>
          <w:tcPr>
            <w:tcW w:w="240" w:type="dxa"/>
            <w:vAlign w:val="bottom"/>
          </w:tcPr>
          <w:p>
            <w:pPr>
              <w:jc w:val="right"/>
              <w:ind w:right="12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(18,648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(13,984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Research and Development Expenses</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20" w:type="dxa"/>
            <w:vAlign w:val="bottom"/>
            <w:gridSpan w:val="3"/>
          </w:tcPr>
          <w:p>
            <w:pPr>
              <w:spacing w:after="0"/>
              <w:rPr>
                <w:sz w:val="12"/>
                <w:szCs w:val="12"/>
                <w:color w:val="auto"/>
              </w:rPr>
            </w:pPr>
          </w:p>
        </w:tc>
        <w:tc>
          <w:tcPr>
            <w:tcW w:w="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Fabry</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  105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$ 6,101</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AML</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785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Pompe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1,298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2,663</w:t>
            </w:r>
          </w:p>
        </w:tc>
        <w:tc>
          <w:tcPr>
            <w:tcW w:w="38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Research and development expenses were $2.7 million for the year ended December 31, 2016, compared to $15.2 million for the year ended December 31, 2017. The increase of $12.5 million was primarily due to increases of $6.0 million in direct costs for our Fabry program, $2.6 million in direct costs connected with our Gaucher program, $1.0 million in direct costs related to our Cystinosis program, $1.0 million in direct costs connected with our Pompe program, and $2.5 million in research and discovery and unallocated costs, all partially offset by a decrease of $0.6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$3.1 million, as well as CMO, CRO and consulting fees of $2.5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$1.2 million, as well as CMO fees of $1.0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upfront license cost of $1.0 million paid to GenStem.</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increase in direct costs for our Pompe program was primarily due to upfront license cost of $0.5 million paid and $0.5 million payable to BioMarin.</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increase in research and discovery and unallocated costs was primarily due to an increase of $1.9 million in personnel-related costs, including stock-based compensation, as a result of hiring additional personnel in our research and development department and an increase of $0.6 million in unallocated consulting expenses and facility costs and rent expense. Personnel-related costs for the years ended December 31, 2016 and 2017 included stock-based compensation expense of less than $0.1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General and administrative expenses were $2.0 million for the year ended December 31, 2016, compared to $3.2 million for the year ended December 31, 2017. The increase of $1.2 million was primarily due to increases of $0.4 million in personnel-related costs, including stock-based compensation, $0.3 million in consulting expense, $0.1 million in professional fees and $0.2 million in facility expense. The increase in personnel-related costs was due to the hiring of additional personnel in our general and administrative functions, including the hiring of our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the employee headcount.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(expense), net was not significant during either of the years ended December 31, 2016 or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March 31, 2017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$ 1,434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$ 5,647</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35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(7,788)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35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35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3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(2,077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Arial" w:cs="Arial" w:eastAsia="Arial" w:hAnsi="Arial"/>
                <w:sz w:val="18"/>
                <w:szCs w:val="18"/>
                <w:color w:val="auto"/>
              </w:rPr>
              <w:t>75</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Fabry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AML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Pompe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1,621</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1,434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Research and development expenses were $1.4 million for the three months ended March 31, 2017, compared to $5.6 million for the three months ended March 31, 2018. The increase of $4.2 million was primarily due to increases of $1.5 million in direct costs for our Fabry program, $0.8 million in direct costs connected with our Gaucher program, $0.1 million in direct costs related to our Cystinosis program, $0.1 million in direct costs related to our Pompe program, and $1.6 million in research and discovery and unallocated costs, all partially offset by a decrease of $0.1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$1.1 million, as well as CMO, CRO and consulting fees of $0.4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$0.8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consulting fees of $0.1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Pompe program was primarily due to development costs of $0.1 million.</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increase in research and discovery and unallocated costs was primarily due to an increase of $1.0 million in personnel-related costs, including stock-based compensation, as a result of hiring additional personnel in our research and development department and an increase of $0.8 million in unallocated consulting expenses and facility costs and rent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General and administrative expenses were $0.6 million for the three months ended March 31, 2017, compared to $2.1 million for the three months ended March 31, 2018. The increase of $1.5 million was primarily due to increases of $0.6 million in personnel-related costs, including stock-based compensation, $0.6 million in consulting expense, $0.2 million in professional fees and $0.1 million in legal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as well as ongoing business operations.</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Other income (expense), net was a loss of less than $0.1 million for the three months ended March 31, 2017, compared to a loss of $0.5 million for the three months ended March 31, 2018. The increase in other expense of $0.4 million was primarily due to increase of $0.6 million in change fair value of derivative liability, partially offset by a $0.2 million increase in interest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Through March 31, 2018, we had received gross cash proceeds of $87.5 million from sales of our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68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$(3,314)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(16,382)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(5,980)</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(55)</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three months ended March 31, 2018, operating activities used $6.0 million of cash and cash equivalents, resulting from our net loss of $8.2 million, partially offset by non-cash charges of $0.9 million and net cash provided by changes in our operating assets and liabilities of $1.3 million. The net changes in our operating assets and liabilities was primarily due to increases in liabilities of $1.8 million due to ongoing research, development, and clinical trial efforts and partially offset by increases in assets of $0.5 million, including an increase due to a $0.2 million security deposit for a new lease that was executed in 2018.</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During the three months ended March 31, 2017, operating activities used $2.0 million of cash and cash equivalents, resulting from our net loss of $2.1 million, primarily offset by non-cash charges of $0.2 million and net cash used by changes in our operating assets and liabilities of $0.1 million. Net cash used by changes in our operating assets and liabilities for the three months ended March 31, 2017 consisted primarily of a $0.1 million increase in prepaid expenses and other current assets.</w:t>
      </w:r>
    </w:p>
    <w:p>
      <w:pPr>
        <w:spacing w:after="0" w:line="18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$1.6 million. Net cash provided by changes in our operating assets and liabilities for the year ended December 31, 2017 consisted primarily of a</w:t>
      </w:r>
    </w:p>
    <w:p>
      <w:pPr>
        <w:spacing w:after="0" w:line="2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2016, operating activities used $3.3 million of cash and cash equivalents, resulting from our net loss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 million, primarily offset by non-cash charges of $0.6 million and net cash provided by changes in our operating assets and liabilities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$0.8 million. Net cash provided by changes in our operating assets and liabilities for the year ended December 31, 2016 consisted primarily of a</w:t>
      </w:r>
    </w:p>
    <w:p>
      <w:pPr>
        <w:spacing w:after="0" w:line="21"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$0.6 million increase in accrued expenses and other current liabilities and $0.2 million increase in accounts payable. The increase in accrued expenses and other current liabilities was due to an increase in professional fees and personnel costs associated with establishing our Cambridge, Massachusetts operations.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During the three months ended March 31, 2018, we used $0.3 million of cash and cash equivalents in investing activities consisting of purchases of property and equipment. During the three months ended March 31, 2017, we used less than $0.1 million of cash and cash equivalents in purchases of property and equipment.</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During the year ended December 31, 2017, we used $0.4 million of cash and cash equivalents in investing activities consisting of purchases of property and equipment. During the year ended December 31, 2016, we used an insignificant amount of cash and cash equivalents in investing activities consisting of payment of a leasing deposit.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2018, net cash provided by financing activities was $58.2 million, primarily consisting of net cash proceeds from our issuance of Series B preferred stock in January 2018.</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the three months ended March 31, 2017, net cash provided by financing activities was $3.5 million, consisting of net cash proceeds from our issuance of Series A preferred stock in March 2017.</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$17.4 million, primarily consisting of net cash proceeds of $17.4 million from our issuance of Series A preferred stock in March 2017 and October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year ended December 31, 2016, net cash provided by financing activities was $8.7 million, primarily consisting of net cash proceeds of $1.4 million from our issuance of Series Seed preferred stock in January 2016 and net proceeds of $7.3 million from our issuance of Series A preferred stock in July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March 31, 2018, we had not drawn down from the facility and the $3.5 million first tranche was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met certain clinical and developmental milestones, or we have subsequently obtained at least $7.5 million in cash proceeds from the sale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of our equity securities from investors reasonably acceptable to SVB. The third tranche of $3.0 million will be 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is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upon the closing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offering, we expect to incur additional costs associated with operating as a public company. Our expenses will also increase as we:</w:t>
      </w:r>
    </w:p>
    <w:p>
      <w:pPr>
        <w:spacing w:after="0" w:line="131" w:lineRule="exact"/>
        <w:rPr>
          <w:sz w:val="20"/>
          <w:szCs w:val="20"/>
          <w:color w:val="auto"/>
        </w:rPr>
      </w:pPr>
    </w:p>
    <w:p>
      <w:pPr>
        <w:ind w:left="1060" w:right="50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will enable us to fund our operating expenses and capital expenditure requirements into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4"/>
              </w:rPr>
              <w:t>4 to 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3420" w:type="dxa"/>
            <w:vAlign w:val="bottom"/>
            <w:gridSpan w:val="2"/>
            <w:shd w:val="clear" w:color="auto" w:fill="CCEEFF"/>
          </w:tcPr>
          <w:p>
            <w:pPr>
              <w:jc w:val="center"/>
              <w:ind w:left="28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auto"/>
              </w:rPr>
              <w:t>80</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Additionally, the table above excludes the payment that may be due to UHN upon the closing of the sale of shares of common stock in an IPO, which includes this offering. If UHN’s fully-diluted percentage ownership of our company is reduced within a range of specified percentages in an IPO, then we are obligated to pay UHN an amount up to $2.0 million. We have not included the UHN dilution payment in the preceding table as the amount, timing and likelihood of such payments are not known.</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stock-based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18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this offering, our stock was not publicly traded, and therefore we estimated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discussed in “Determination of the Fair Value of Common Stock” below.</w:t>
      </w:r>
    </w:p>
    <w:p>
      <w:pPr>
        <w:spacing w:after="0" w:line="75" w:lineRule="exact"/>
        <w:rPr>
          <w:rFonts w:ascii="Arial" w:cs="Arial" w:eastAsia="Arial" w:hAnsi="Arial"/>
          <w:sz w:val="18"/>
          <w:szCs w:val="18"/>
          <w:color w:val="auto"/>
        </w:rPr>
      </w:pPr>
    </w:p>
    <w:p>
      <w:pPr>
        <w:ind w:left="1060" w:right="22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a trading history of our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is zero as we have not paid and do not anticipate paying any dividends in the foreseeable future.</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weighted-average fair values of options granted during the years ended December 31, 2016 and 2017 were $0.50 and $1.50, respectively. No options were granted during the three months ended March 31, 2017. The weighted-average fair value of options granted during the three months ended March 31, 2018 was $6.99. The weighted-average assumptions utilized to determine the fair value of options granted are presented in the following table:</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March 31, 2018</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86.00%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84.54%</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Awards Granted</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Per Share</w:t>
            </w:r>
          </w:p>
        </w:tc>
        <w:tc>
          <w:tcPr>
            <w:tcW w:w="6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880" w:type="dxa"/>
            <w:vAlign w:val="bottom"/>
            <w:gridSpan w:val="2"/>
          </w:tcPr>
          <w:p>
            <w:pPr>
              <w:jc w:val="center"/>
              <w:ind w:left="287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6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150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9"/>
              </w:rPr>
              <w:t>per Common</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Options</w:t>
            </w:r>
          </w:p>
        </w:tc>
        <w:tc>
          <w:tcPr>
            <w:tcW w:w="6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Price of</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 on</w:t>
            </w:r>
          </w:p>
        </w:tc>
        <w:tc>
          <w:tcPr>
            <w:tcW w:w="0" w:type="dxa"/>
            <w:vAlign w:val="bottom"/>
          </w:tcPr>
          <w:p>
            <w:pPr>
              <w:spacing w:after="0"/>
              <w:rPr>
                <w:sz w:val="1"/>
                <w:szCs w:val="1"/>
                <w:color w:val="auto"/>
              </w:rPr>
            </w:pPr>
          </w:p>
        </w:tc>
      </w:tr>
      <w:tr>
        <w:trPr>
          <w:trHeight w:val="191"/>
        </w:trPr>
        <w:tc>
          <w:tcPr>
            <w:tcW w:w="4400" w:type="dxa"/>
            <w:vAlign w:val="bottom"/>
            <w:gridSpan w:val="3"/>
            <w:vMerge w:val="continue"/>
          </w:tcPr>
          <w:p>
            <w:pPr>
              <w:spacing w:after="0"/>
              <w:rPr>
                <w:sz w:val="16"/>
                <w:szCs w:val="16"/>
                <w:color w:val="auto"/>
              </w:rPr>
            </w:pPr>
          </w:p>
        </w:tc>
        <w:tc>
          <w:tcPr>
            <w:tcW w:w="29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Options</w:t>
            </w:r>
          </w:p>
        </w:tc>
        <w:tc>
          <w:tcPr>
            <w:tcW w:w="620" w:type="dxa"/>
            <w:vAlign w:val="bottom"/>
          </w:tcPr>
          <w:p>
            <w:pPr>
              <w:spacing w:after="0"/>
              <w:rPr>
                <w:sz w:val="16"/>
                <w:szCs w:val="16"/>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June 13,</w:t>
            </w:r>
          </w:p>
        </w:tc>
        <w:tc>
          <w:tcPr>
            <w:tcW w:w="3700" w:type="dxa"/>
            <w:vAlign w:val="bottom"/>
            <w:tcBorders>
              <w:top w:val="single" w:sz="8" w:color="CCEEFF"/>
            </w:tcBorders>
            <w:shd w:val="clear" w:color="auto" w:fill="CCEEFF"/>
          </w:tcPr>
          <w:p>
            <w:pPr>
              <w:jc w:val="right"/>
              <w:ind w:right="3315"/>
              <w:spacing w:after="0" w:line="189" w:lineRule="exact"/>
              <w:rPr>
                <w:sz w:val="20"/>
                <w:szCs w:val="20"/>
                <w:color w:val="auto"/>
              </w:rPr>
            </w:pPr>
            <w:r>
              <w:rPr>
                <w:rFonts w:ascii="Arial" w:cs="Arial" w:eastAsia="Arial" w:hAnsi="Arial"/>
                <w:sz w:val="17"/>
                <w:szCs w:val="17"/>
                <w:color w:val="auto"/>
                <w:w w:val="73"/>
              </w:rPr>
              <w:t>2017</w:t>
            </w:r>
          </w:p>
        </w:tc>
        <w:tc>
          <w:tcPr>
            <w:tcW w:w="29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192,839</w:t>
            </w: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0.91</w:t>
            </w: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0.91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4,033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July 17,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12,178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2017</w:t>
            </w:r>
            <w:r>
              <w:rPr>
                <w:rFonts w:ascii="Arial" w:cs="Arial" w:eastAsia="Arial" w:hAnsi="Arial"/>
                <w:sz w:val="15"/>
                <w:szCs w:val="15"/>
                <w:color w:val="auto"/>
              </w:rPr>
              <w:t>(1)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158,318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October 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8,470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2017</w:t>
            </w:r>
            <w:r>
              <w:rPr>
                <w:rFonts w:ascii="Arial" w:cs="Arial" w:eastAsia="Arial" w:hAnsi="Arial"/>
                <w:sz w:val="15"/>
                <w:szCs w:val="15"/>
                <w:color w:val="auto"/>
              </w:rPr>
              <w:t>(2)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October 24,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48,740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r>
              <w:rPr>
                <w:rFonts w:ascii="Arial" w:cs="Arial" w:eastAsia="Arial" w:hAnsi="Arial"/>
                <w:sz w:val="15"/>
                <w:szCs w:val="15"/>
                <w:color w:val="auto"/>
              </w:rPr>
              <w:t>(3)</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753,789</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time of the option grants in August 2017, our board of directors determined that the fair value of our common stock of $0.91 per share calculated in the contemporaneous valuation as of March 31, 2017 reasonably reflected the per share fair value of one share of our common stock as of the grant date. However, as described below, the fair value of our common stock at this date was adjusted to $2.19 per share in connection with a retrospective fair value assessment for financial reporting purposes.</w:t>
      </w:r>
    </w:p>
    <w:p>
      <w:pPr>
        <w:spacing w:after="0" w:line="2"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 the time of the option grants in October 2017, our board of directors determined that the fair value of our common stock of $0.91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$4.09 per share in connection with a retrospective fair value assessment for financial reporting purposes.</w:t>
      </w:r>
    </w:p>
    <w:p>
      <w:pPr>
        <w:ind w:left="640" w:right="20" w:hanging="436"/>
        <w:spacing w:after="0" w:line="26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 the time of the option grants in March 2018, our board of directors determined that the fair value of our common stock of $5.00 per share calculated in the contemporaneous valuation as of January 31, 2018 reasonably reflected the per share fair value of one share of our common stock as of the grant date. However, in connection with the preparation of the Company’s unaudited condensed consolidated financial statements for the three months ended March 31, 2018, the fair value of our common stock at the date of these grants was adjusted to $6.03 per share as a result of a contemporaneous valuation performed as of March 31, 2018. In connection with determining the estimated price range for this offering, based on the midpoint of $17.00 per share on the cover of our preliminary prospectus, we re-assessed the fair value of our common stock for financial reporting purposes through a retrospective valuation as of March 31, 2018, resulting in a further adjustment of the fair value of our common stock as of such date to $8.76. Such adjustment results in additional stock-based compensation expense of approximately $1.8 million which will be recognized over the four-year vesting period for these awards. The effect of this adjustment did not have a material effect on the interim financial statements for the three-month period ended March 31, 2018.</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Once a public trading market for our common stock has been established following the closing of this offering, it will no longer be necessary for our board of directors to estimate the fair market value of our common stock in connection with our accounting for granted equity awards.</w:t>
      </w:r>
    </w:p>
    <w:p>
      <w:pPr>
        <w:spacing w:after="0" w:line="19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financial reporting purposes, we performed ordinary share valuations, with the assistance of a third-party specialist, at various dates, which resulted in valuations of our common stock of $0.41 per share as of January 31, 2016, $1.20 per share as of August 31, 2016, $0.91 per share as of March 31, 2017, $2.19 per share as of August 31, 2017, $4.09 per share as of October 31, 2017, $5.00 per share as of January 31, 2018, and $8.76 as of March 31, 2018. In conducting the valuations, our board of directors, with input from management, considered various objective and subjective factors to determine the fair value of our common stock as of each grant date, including:</w:t>
      </w:r>
    </w:p>
    <w:p>
      <w:pPr>
        <w:spacing w:after="0" w:line="78" w:lineRule="exact"/>
        <w:rPr>
          <w:sz w:val="20"/>
          <w:szCs w:val="20"/>
          <w:color w:val="auto"/>
        </w:rPr>
      </w:pPr>
    </w:p>
    <w:p>
      <w:pPr>
        <w:ind w:left="1060" w:right="2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prices at which we sold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planned clinical trials for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described above, for March 31, 2018, in connection with determining the estimated price range for this offering, we re-assessed the fair value of our common stock for financial reporting purposes through a retrospective valuation that resulted in an adjustment of the fair value of our common stock as of such date to $8.76. Such adjustment results in additional stock-based compensation expense of approximately $1.8 million which will be recognized over the four-year vesting period for these awards. The effect of this adjustment did not have a material effect on the interim financial statements for the three-month period ended March 31, 2018.</w:t>
      </w:r>
    </w:p>
    <w:p>
      <w:pPr>
        <w:spacing w:after="0" w:line="18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dates of our valuations have not always coincided with the dates of our stock option grants. In determining the fair value of the shares underlying options set forth in the table above, we considered, among other things, the most recent contemporaneous valuations of our ordinary shares and our assessment of additional objective and subjective factors we believed were relevant as of the grant date. The additional factors considered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when determining any changes in fair value between the most recent contemporaneous valuation and the grant dates included our stage of development and commercialization and our business strategy, our operating and financial performance and current business conditions.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common stock valuations were prepared using the option-pricing method, or OPM, which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future value of the common stock is discounted back to the valuation date at an appropriate risk-adjusted discount rate and probability weighted to arrive at an indication of value for the common stock.</w:t>
      </w:r>
    </w:p>
    <w:p>
      <w:pPr>
        <w:spacing w:after="0" w:line="1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Beginning with the August 23, 2017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Determination of Initial Public Offering Price</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and our underwriters determined the estimated price range set forth on the cover of this preliminary prospectus, which is $16.00 to $18.00 per share. In comparison, our estimate of the fair value of our common stock was $0.91 per share at June 13, 2017, June 26, 2017, July 10, 2017 and</w:t>
      </w:r>
    </w:p>
    <w:p>
      <w:pPr>
        <w:ind w:left="200"/>
        <w:spacing w:after="0" w:line="269" w:lineRule="auto"/>
        <w:rPr>
          <w:sz w:val="20"/>
          <w:szCs w:val="20"/>
          <w:color w:val="auto"/>
        </w:rPr>
      </w:pPr>
      <w:r>
        <w:rPr>
          <w:rFonts w:ascii="Arial" w:cs="Arial" w:eastAsia="Arial" w:hAnsi="Arial"/>
          <w:sz w:val="17"/>
          <w:szCs w:val="17"/>
          <w:color w:val="auto"/>
        </w:rPr>
        <w:t>July 17, 2017, which was determined by our board of directors with the assistance of a third-party valuation of our common stock as of March 31, 2017. Our estimate of the fair value of our common stock as of August 28, 2017 was retrospectively adjusted with the assistance of a third-party valuation of our common stock as of August 31, 2017. Our estimate of the fair value of our common stock as of October 4, 2017, October 17, 2017 and October 24, 2017 was retrospectively adjusted to $4.09 with the assistance of a third-party valuation of our common stock as of October 24, 2017. Our estimate of the fair value of our common stock was $5.00 at March 16, 2018, which was determined by our board of directors with the assistance of a third-party valuation of our common stock as of January 31, 2018, subsequently retrospectively adjusted to $8.76 with the assistance of a third-party valuation of our common stock as of March 31, 2018.</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These valuations utilized the hybrid method described in “—Determination of the Fair Value of Common Stock.” The valuation for our June 13, 2017, June 26, 2017, July 10, 2017 and July 17, 2017 stock option grants did not consider an initial public offering, or IPO, scenario, and reflected a discount for lack of marketability of 36%. The valuation used for the retrospective fair value assessment of our August 28, 2017 option grants attributed a 10% probability to an IPO scenario and a 90% probability of a non-IPO scenario and reflected a discount for lack of marketability of 20% and 30% to the IPO and non-IPO scenario, respectively. The valuation used for the retrospective fair value assessment of our October 4, 2017, October 17, 2017 and October 24, 2017 option grants attributed a 15% probability to an IPO scenario and a 85% probability of a non-IPO scenario and reflected a discount for lack of marketability of 17% and 25% to the IPO and non-IPO scenario, respectively. The valuation used for the retrospective fair value assessment of our March 16, 2018 option grants attributed a 50% probability to an IPO scenario and a 50% probability of a non-IPO scenario and reflected a discount for lack of marketability of 12% and 25% to the IPO and non-IPO scenario, respectively. In addition to quantitative analysis from third-party valuations of our common stock, we also considered macro-economic and market conditions,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60"/>
        <w:spacing w:after="0" w:line="308" w:lineRule="auto"/>
        <w:rPr>
          <w:sz w:val="20"/>
          <w:szCs w:val="20"/>
          <w:color w:val="auto"/>
        </w:rPr>
      </w:pPr>
      <w:r>
        <w:rPr>
          <w:rFonts w:ascii="Arial" w:cs="Arial" w:eastAsia="Arial" w:hAnsi="Arial"/>
          <w:sz w:val="17"/>
          <w:szCs w:val="17"/>
          <w:color w:val="auto"/>
        </w:rPr>
        <w:t>including our subjective assessment of market conditions for initial public offerings of companies similarly situated to ours and our subjective assessment as to the likelihood of successfully executing an initial public offering in the coming months, among other factors.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note that, as is typical in initial public offerings, the estimated price range for this offering was not derived using a formal determination of fair value, but was determined based upon discussions between us and the underwriters. Among the factors considered in setting the estimated range were prevailing market conditions, estimates of our business potential, progress in our research and development programs and developments in our business, the general condition of the securities market and the market prices of, and demand for, publicly-traded common stock of generally comparable companies.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PWERM, which considered as inputs the type and probability of occurrence of an IPO dilution event, the amount of the payment, the expected timing of an IPO dilution event and a risk-adjusted discount rate.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connection with entering into a loan agreement, we agreed to issue a warrant to purchase shares of our Series A preferred stock to the lender. We classify the warrant as a liability on our consolidated balance sheet because the warrant represents a free-standing financial instrument that may require us to transfer assets upon exercise. The warrant liability was initially recorded at fair value upon the date of the warrant issuance and is subsequently remeasured to fair value at each reporting date. Changes in the fair value of the warrant liability are recognized as a component of other income (expense), net in the consolidated statements of operations and will continue to be recognized until the warrant is exercised, expires or qualifies for equity classification.</w:t>
      </w:r>
    </w:p>
    <w:p>
      <w:pPr>
        <w:spacing w:after="0" w:line="193"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We utilize the Black-Scholes option-pricing model, which incorporates assumptions and estimates, to value the warrant. We assess these assumptions and estimates on a quarterly basis as additional information impacting the assumptions is obtained. Estimates and assumptions impacting the fair value measurement include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have estimated a 0% dividend yield based on the fact that we have never paid or declared dividends.</w:t>
      </w:r>
    </w:p>
    <w:p>
      <w:pPr>
        <w:spacing w:after="0" w:line="166"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Upon the closing of this offering, the preferred stock warrant will become exercisable for common stock instead of preferred stock, and the remeasured fair value of the warrant liability will be reclassified to additional paid-in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As of March 31, 2018, we had cash and cash equivalents of $57.9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Canadian dollars, respectively. During each of the years ended December 31, 2016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$6,000 and $19,000, respectively. During each of the three months ended March 31, 2017 and 2018, we recognized foreign currency transaction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$5,000 and $13,000, respectively. These losses primarily related to unrealized and realized foreign currency gains and losses as a result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entered into by our Australian and Canadian subsidiaries in currencies other than the U.S. dollar. These foreign currency transaction gains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losses were recorded in other expense, net in our consolidated statements of operations. We believe that a 10% change in the exchange rate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U.S. dollar, Australian dollar and Canadian dollar would not have a material impact on our financial position or results of operations.</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15 to our unaudited condensed consolidated financial statements appearing elsewhere in this prospectus.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 xml:space="preserve">We are a Phase 2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an investigator-sponsored Phase 1 clinical trial and has demonstrated clinically significant increased enzyme activity to date, with plasma a-galactosidase A, or AGA, enzyme activity levels in both patients treated to date increasing above the range for males with classic Fabry disease, defined as less than 1 nmol/hr/ml. On June 7, 2018, we dosed the first patient in our company-sponsored Phase 2 clinical trial of AVR-RD-01. In addition, Phase 1/2 clinical trials for both AVR-RD-02 and AVR-RD-04 are being planned and we expect patients will be dosed in 2019.</w:t>
      </w:r>
    </w:p>
    <w:p>
      <w:pPr>
        <w:spacing w:after="0" w:line="16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clinical trials. Historically,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programs leverage years of extensive preclinical and early clinical research by leading researchers, as well as our internal research efforts.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160020</wp:posOffset>
            </wp:positionV>
            <wp:extent cx="5205730" cy="2701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 xml:space="preserve">Our lead product candidate, AVR-RD-01 for the treatment of Fabry disease, is derived from hematopoietic stem cells to which the gene encoding AGA is added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process using a lentiviral vector. In an ongoing Phase 1 clinical trial of patients with Fabry disease, AVR-RD-01 has been well-tolerated and has led to the production of active AGA enzyme in the two patients treated to date. The first patient dosed in this trial continues to express plasma activity levels of AGA enzyme above the range for males with classic Fabry disease twelve months after receiving AVR-RD-01. Plasma AGA enzyme activity levels in the second patient also began increasing after receiving AVR-RD-01 and remained above the range for males with classic Fabry disease three months after treatment. In addition, we have initiated our company-sponsored Phase 2 clinical trial of AVR-RD-01 and recently dosed the first patient in this trial on June 7, 2018.</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Preclinical data for both our Gaucher and cystinosis programs have demonstrated positive results and we expect to begin dosing patients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which we expect to complete by the end of 2019. We also utilize a cryopreservation process that we believe will allow for the global distribution and, if approved, commercialization of our gene therapies.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060" w:hanging="424"/>
        <w:spacing w:after="0" w:line="289"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Rapidly Advance Our Initial Gene Therapies. </w:t>
      </w:r>
      <w:r>
        <w:rPr>
          <w:rFonts w:ascii="Arial" w:cs="Arial" w:eastAsia="Arial" w:hAnsi="Arial"/>
          <w:sz w:val="16"/>
          <w:szCs w:val="16"/>
          <w:color w:val="auto"/>
        </w:rPr>
        <w:t>We are developing a deep pipeline of four gene therapies to treat Fabry disease, Gaucher</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Pompe disease and cystinosis. We intend to rapidly advance these gene therapies into clinical trials and obtain initial efficacy data in patients from these development programs. AVR-RD-01 has been well tolerated and demonstrated clinically significant increased enzyme activity to date in an ongoing Phase 1 clinical trial. We received approval from both the Australian and Canadian regulatory authorities to initiate our company-sponsored Phase 2 clinical trial for AVR-RD-01 and, on June 7, 2018, the first patient in this clinical trial was dosed at an Australian site. In addition, we expect enrollment in the United States and Japan to begin in 2019 following receipt of regulatory clearance. Phase 1/2 clinical trials of both AVR-RD-02 and AVR-RD-04 are being planned and we expect patients will be dosed in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72" w:lineRule="exact"/>
        <w:rPr>
          <w:rFonts w:ascii="Arial" w:cs="Arial" w:eastAsia="Arial" w:hAnsi="Arial"/>
          <w:sz w:val="16"/>
          <w:szCs w:val="16"/>
          <w:color w:val="auto"/>
        </w:rPr>
      </w:pPr>
    </w:p>
    <w:p>
      <w:pPr>
        <w:ind w:left="1060" w:right="100" w:hanging="424"/>
        <w:spacing w:after="0" w:line="273"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Develop First-Line Gene Therapies for Lysosomal Storage Diseases. </w:t>
      </w:r>
      <w:r>
        <w:rPr>
          <w:rFonts w:ascii="Arial" w:cs="Arial" w:eastAsia="Arial" w:hAnsi="Arial"/>
          <w:sz w:val="17"/>
          <w:szCs w:val="17"/>
          <w:color w:val="auto"/>
        </w:rPr>
        <w:t>We are initially targeting lysosomal storage diseases and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clinical trials in both treatment-experienced and treatment-naïve patient groups in order to maximize the potential of our lentiviral-based gene therapies for patients. We are pioneering the use of a milder conditioning regimen, designed to be performed in an outpatient setting, as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tolerability of our lentiviral-based gene therapies.</w:t>
      </w:r>
    </w:p>
    <w:p>
      <w:pPr>
        <w:spacing w:after="0" w:line="83" w:lineRule="exact"/>
        <w:rPr>
          <w:rFonts w:ascii="Arial" w:cs="Arial" w:eastAsia="Arial" w:hAnsi="Arial"/>
          <w:sz w:val="17"/>
          <w:szCs w:val="17"/>
          <w:color w:val="auto"/>
        </w:rPr>
      </w:pPr>
    </w:p>
    <w:p>
      <w:pPr>
        <w:ind w:left="1060" w:right="6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Globally Develop, Manufacture and Commercialize Our Gene Therapies. </w:t>
      </w:r>
      <w:r>
        <w:rPr>
          <w:rFonts w:ascii="Arial" w:cs="Arial" w:eastAsia="Arial" w:hAnsi="Arial"/>
          <w:sz w:val="18"/>
          <w:szCs w:val="18"/>
          <w:color w:val="auto"/>
        </w:rPr>
        <w:t>Lysosomal storage diseases afflict patients globally and 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build global infrastructure in order to provide treatment to patients around the world. We currently intend to conduct clinical trials across multiple geographies, including the United States, Canada, Australia, Japan, Europe and Israel. We have established a global network of suppliers and contract manufacturing organizations, or CMOs.</w:t>
      </w:r>
    </w:p>
    <w:p>
      <w:pPr>
        <w:spacing w:after="0" w:line="92" w:lineRule="exact"/>
        <w:rPr>
          <w:rFonts w:ascii="Arial" w:cs="Arial" w:eastAsia="Arial" w:hAnsi="Arial"/>
          <w:sz w:val="18"/>
          <w:szCs w:val="18"/>
          <w:color w:val="auto"/>
        </w:rPr>
      </w:pPr>
    </w:p>
    <w:p>
      <w:pPr>
        <w:ind w:left="1060" w:right="60" w:hanging="424"/>
        <w:spacing w:after="0" w:line="30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Industrialize Lentiviral-Based Gene Therapy. </w:t>
      </w:r>
      <w:r>
        <w:rPr>
          <w:rFonts w:ascii="Arial" w:cs="Arial" w:eastAsia="Arial" w:hAnsi="Arial"/>
          <w:sz w:val="16"/>
          <w:szCs w:val="16"/>
          <w:color w:val="auto"/>
        </w:rPr>
        <w:t>We are developing a manufacturing process that is both reproducible and scalable.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our innovations in viral vector design, cellular manufacturing and other related processes are important steps towards advancing the field of lentiviral-based gene therapy and realizing its full potential to treat a number of diseases. We intend to leverage our core competencies to implement a closed, automated manufacturing system that will enable us to deliver our gene therapies to patients at an industrialized scale.</w:t>
      </w:r>
    </w:p>
    <w:p>
      <w:pPr>
        <w:spacing w:after="0" w:line="59" w:lineRule="exact"/>
        <w:rPr>
          <w:rFonts w:ascii="Arial" w:cs="Arial" w:eastAsia="Arial" w:hAnsi="Arial"/>
          <w:sz w:val="16"/>
          <w:szCs w:val="16"/>
          <w:color w:val="auto"/>
        </w:rPr>
      </w:pPr>
    </w:p>
    <w:p>
      <w:pPr>
        <w:ind w:left="1060" w:right="44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Approach Beyond Our Initial Indications. </w:t>
      </w:r>
      <w:r>
        <w:rPr>
          <w:rFonts w:ascii="Arial" w:cs="Arial" w:eastAsia="Arial" w:hAnsi="Arial"/>
          <w:sz w:val="18"/>
          <w:szCs w:val="18"/>
          <w:color w:val="auto"/>
        </w:rPr>
        <w:t>We are initially developing gene therapies for the treatment of four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 xml:space="preserve">We develop therapies utilizing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 in the cell and can be reproduced as the cell divides. We focus on delivering our lentiviral-based gene therapies to hematopoietic stem cells, which are primitive stem cells that develop into all types of blood cells, including white blood cells, red blood cells and platelets. To accomplish this, we extract a patient’s hematopoietic stem cells and modify them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add a new, functional copy of the gene that is defective in the target disease. We then infuse the modified cells back into the patient. Our gene therapies are designed to be administered to the patient as a one-time therapy in an outpatient setting following a milder outpatient conditioning regimen.</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We are initially focused on employing our approach to treat and potentially cure lysosomal storage diseases. These diseases have well understood biologies, identified patient populations and represent large markets with approximately $4.0 billion in worldwide net sales in 2017. We are industrializing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into a robust, scalable and, if approved, commercially viable process that will allow us to deliver our potentially curative therapies to patients with these and other serious monogenic disorders.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31" w:lineRule="exact"/>
        <w:rPr>
          <w:sz w:val="20"/>
          <w:szCs w:val="20"/>
          <w:color w:val="auto"/>
        </w:rPr>
      </w:pPr>
    </w:p>
    <w:p>
      <w:pPr>
        <w:ind w:left="1060" w:right="80" w:hanging="424"/>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Lentiviral vectors have the potential to provide life-long benefits with a single dose. Lentiviral vectors can integrate stably</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genes of hematopoietic stem cells and, when these cells replicate, they pass the integrated genes on to their progeny cells.</w:t>
      </w:r>
    </w:p>
    <w:p>
      <w:pPr>
        <w:spacing w:after="0" w:line="29" w:lineRule="exact"/>
        <w:rPr>
          <w:rFonts w:ascii="Arial" w:cs="Arial" w:eastAsia="Arial" w:hAnsi="Arial"/>
          <w:sz w:val="16"/>
          <w:szCs w:val="16"/>
          <w:color w:val="auto"/>
        </w:rPr>
      </w:pPr>
    </w:p>
    <w:p>
      <w:pPr>
        <w:ind w:left="1060" w:right="32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therefore have the ability to provide therapeutic benefit to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tissues and organs throughout the body.</w:t>
      </w:r>
    </w:p>
    <w:p>
      <w:pPr>
        <w:spacing w:after="0" w:line="75"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w:t>
      </w:r>
      <w:r>
        <w:rPr>
          <w:rFonts w:ascii="Arial" w:cs="Arial" w:eastAsia="Arial" w:hAnsi="Arial"/>
          <w:sz w:val="18"/>
          <w:szCs w:val="18"/>
          <w:color w:val="auto"/>
        </w:rPr>
        <w:t>Over the past 10 years, no instances of insertional mutagenesis or leukemogenesis from lentiviral vectors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observed in clinical trials in which over 200 total patients have been treated.</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patients who may be ineligible for other types of gene therapy due to the presence of preexisting antibodies that fight against viral vectors.</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There are approximately 50 identified lysosomal storage diseases, which are characterized by an abnormal toxic build-up of by-products in the body’s cells. We are initially targeting Fabry disease, Gaucher disease, Pompe disease and cystinsois. Each of these diseases affects a meaningful number of patients, has a suboptimal standard of care and, we believe, is appropriate for lentiviral-based gene therapy. We believe our approach addresses the shortcomings of existing therapies where patients’ disease continues to progress despite chronic dosing and that our approach has the potential to cure these diseases.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allows patients to be their own cell donor, eliminating the need to find a matched bone marrow donor, while reducing the risk of complications related to more intensive conditioning regimens and short-term immunosuppressants utilized in allogeneic cell transplant.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Outpatient Conditioning</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diseases. We believe that we will be able to demonstrate durable effects in our targeted diseases with a milder conditioning regimen which has the potential for reduced short- and long-term toxicities. This, in turn, will make lentiviral-based gene therapy a therapeutic option for less acutely severe diseases or diseases with approved therapies in which large unmet medical needs remain.</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Prior to the reintroduction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modified stem cells, a conditioning regimen is generally required to remove cells from the bone marrow. These conditioning regimens create sufficient space in the bone marrow for the modified hematopoietic stem cells to engraft and produce their progeny cells. Ablation requires the use of cytotoxic drugs that can compromise the patient’s immune system. The degree of immune system compromise increases with the degree of cell removal, so the need for ablation has historically required a risk/benefit assessment to balance the risks of immune system compromise with potential therapeutic benefit in the targeted disease.</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in third parties’ ongoing clinical trials for diseases such as beta thalassemia, ALD and ADA-SCID. Lentiviral vectors also serve as the tool for gene transfer for CAR-T therapies in cancer. Within gene therapy,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contrast to other diseases with pathophysiologies where gene therapy requires aggressive conditioning regimens, we believe we can generally achieve sufficient cell engraftment in the lysosomal storage diseases on which we are focused by utilizing a milder conditioning regimen. We believe this approach will lead to less immunosuppression and therefore potentially necessitate only an outpatient conditioning regimen. This outpatient regimen has the potential to improve patient tolerability and extend the reach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into a number of diseases.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Enhancing Our Gene Therapies and Industrializing Our Manufacturing Capabilities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Key to our strategy is to continuously improve our technology and production processes and to leverage these improvements across our gene therapies.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Our goal is to employ vectors that are state of the art and that can be produced in a cost-effective and scalable manner.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As one example from early, small-scale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the figures below show the improved efficacy of our optimized proprietary four-plasmid-produced lentiviral vector, or LV2, over the three-plasmid-produced lentiviral vector, or LV1, for Fabry disease and Gaucher disease, as measured by increases in both vector copy number, or VCN, and enzyme activity. VCN refers to the average number of copies of the lentiviral-vector inserted gene that are integrated into the genome of a cell, and multiplicity of infection refers to a measure of the number of infectious viral particles added to an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cell culture in relation to the total number of cells in the culture. As shown in the figures below, increasing the number of infectious viral particles</w:t>
      </w:r>
      <w:r>
        <w:rPr>
          <w:rFonts w:ascii="Arial" w:cs="Arial" w:eastAsia="Arial" w:hAnsi="Arial"/>
          <w:sz w:val="16"/>
          <w:szCs w:val="16"/>
          <w:i w:val="1"/>
          <w:iCs w:val="1"/>
          <w:color w:val="auto"/>
        </w:rPr>
        <w:t xml:space="preserve"> </w:t>
      </w:r>
      <w:r>
        <w:rPr>
          <w:rFonts w:ascii="Arial" w:cs="Arial" w:eastAsia="Arial" w:hAnsi="Arial"/>
          <w:sz w:val="16"/>
          <w:szCs w:val="16"/>
          <w:color w:val="auto"/>
        </w:rPr>
        <w:t>in a cell culture in order to transduce a constant number of cells results in increases in VCN and enzyme activity levels.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Increased Enzyme Activity and VCN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with 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5196840" cy="1792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9684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Development of Industrialized Manufacturing Processes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establishing global manufacturing relationships that will provide us with drug product manufacturing capabilities to support all aspects of the development and eventual commercialization of our gene therapies. We have key manufacturing partnerships in place for the production of plasmids and vectors used in our gene therapies.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the more cost efficient and scalable manufacturing of our gene therapies. In contrast to a number of other gene therapy companies that have not developed their commercial scale plans from the outset, we are currently executing on our plans to move to a closed suspension bioreactor system for vector production as well as a closed, automated system for manufacturing our gene therapy product. We currently have a CMO partner for the production of our cellular drug product in Australia and we have established two CMO partners in the United States who are currently preparing for production with CGMP-readiness in process for AVR-RD-01 and AVR-RD-02. We also plan to establish a CMO partner in Europe.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Advantages of Cryopreservation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drug product is cryopreserved. In production of our gene therapy for the ongoing Phase 1 clinical trial for AVR-RD-01, greater than 75% cell viability was observed after thaw. Cryopreserved drug product allows for multiple benefits for patients and across the supply chain, including extensive safety testing of the drug product prior to patient administration, convenient patient/clinic scheduling and overall flexibility of supply chain logistics.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424"/>
        <w:spacing w:after="0" w:line="293"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can Halt or Reverse Disease Progression. </w:t>
      </w:r>
      <w:r>
        <w:rPr>
          <w:rFonts w:ascii="Arial" w:cs="Arial" w:eastAsia="Arial" w:hAnsi="Arial"/>
          <w:sz w:val="16"/>
          <w:szCs w:val="16"/>
          <w:color w:val="auto"/>
        </w:rPr>
        <w:t>Existing ERTs for Fabry, Gaucher and Pompe and oral therapies for</w:t>
      </w:r>
      <w:r>
        <w:rPr>
          <w:rFonts w:ascii="Arial" w:cs="Arial" w:eastAsia="Arial" w:hAnsi="Arial"/>
          <w:sz w:val="16"/>
          <w:szCs w:val="16"/>
          <w:i w:val="1"/>
          <w:iCs w:val="1"/>
          <w:color w:val="auto"/>
        </w:rPr>
        <w:t xml:space="preserve"> </w:t>
      </w:r>
      <w:r>
        <w:rPr>
          <w:rFonts w:ascii="Arial" w:cs="Arial" w:eastAsia="Arial" w:hAnsi="Arial"/>
          <w:sz w:val="16"/>
          <w:szCs w:val="16"/>
          <w:color w:val="auto"/>
        </w:rPr>
        <w:t>cystinosis provide some therapeutic benefit to patients. However, because of their suboptimal pharmacokinetics, these ERTs only temporarily increase plasma enzyme levels and the therapies for cystinosis require multiple doses throughout the day. In contrast, our lentiviral-based gene therapies are designed to cause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4999990" cy="22726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99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140" w:hanging="424"/>
        <w:spacing w:after="0" w:line="259"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w:t>
      </w:r>
      <w:r>
        <w:rPr>
          <w:rFonts w:ascii="Arial" w:cs="Arial" w:eastAsia="Arial" w:hAnsi="Arial"/>
          <w:sz w:val="18"/>
          <w:szCs w:val="18"/>
          <w:i w:val="1"/>
          <w:iCs w:val="1"/>
          <w:color w:val="auto"/>
        </w:rPr>
        <w:t xml:space="preserve"> </w:t>
      </w:r>
      <w:r>
        <w:rPr>
          <w:rFonts w:ascii="Arial" w:cs="Arial" w:eastAsia="Arial" w:hAnsi="Arial"/>
          <w:sz w:val="18"/>
          <w:szCs w:val="18"/>
          <w:color w:val="auto"/>
        </w:rPr>
        <w:t>oral 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92" w:lineRule="exact"/>
        <w:rPr>
          <w:rFonts w:ascii="Arial" w:cs="Arial" w:eastAsia="Arial" w:hAnsi="Arial"/>
          <w:sz w:val="18"/>
          <w:szCs w:val="18"/>
          <w:color w:val="auto"/>
        </w:rPr>
      </w:pPr>
    </w:p>
    <w:p>
      <w:pPr>
        <w:ind w:left="1060" w:right="20" w:hanging="424"/>
        <w:spacing w:after="0" w:line="31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initial gene therapies are AVR-RD-01 for the treatment of Fabry disease, AVR-RD-02 for the treatment of Gaucher disease, AVR-RD-03 for the treatment of Pompe disease and AVR-RD-04 for the treatment of cystinosis. AVR-RD-01 is currently being evaluated in an investigator-sponsored Phase 1 clinical trial and a company-sponsored Phase 2 clinical trial, which we initiated on June 7, 2018. In addition, Phase 1/2 clinical trials for both AVR-RD-02 and AVR-RD-04 are being planned and we expect patients will be dosed in 2019.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05730" cy="270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extracted from the patient, modified to add the gene that encodes for AGA, and then infused into the patient. AVR-RD-01 is currently being investigated in an investigator-sponsored Phase 1 clinical trial, in which it has been well tolerated and demonstrated increased enzyme activity to-date. On June 7, 2018, we dosed the first patient in our company-sponsored Phase 2 clinical trial.</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Gb3 becomes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Fabry disease is an X-linked disorder, with the responsible gene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Fabry disease is primarily treated with periodic infusions of ERT consisting of AGA enzyme over the patient’s lifetime. The most commonly prescribed ERTs for Fabry disease are Fabrazyme, marketed by Sanofi Genzyme, and Replagal, marketed by Shire. In 2017, Fabrazyme and Replagal generated worldwide net sales of over $880 million and $470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Alternatives to ERT for patients with Fabry disease are limited. Galafold (migalastat), an oral therapy marketed by Amicus, was approved by the European Medicines Agency, or EMA, in May 2016, and Amicus has also submitted a new drug application, or NDA, for migalastat to the FDA. Amicus reports that only 35% to 50% of the gene mutations associated with Fabry disease are amenable to migalastat.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31" w:lineRule="exact"/>
        <w:rPr>
          <w:sz w:val="20"/>
          <w:szCs w:val="20"/>
          <w:color w:val="auto"/>
        </w:rPr>
      </w:pPr>
    </w:p>
    <w:p>
      <w:pPr>
        <w:ind w:left="1060" w:right="14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continuous delivery of active enzyme throughout the body after a single dose.</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outcomes. Increased AGA enzyme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been demonstrated to be both safe and effective in preclinical studies, reducing the need for precise regulation of enzyme expression levels and reinforcing that overexpression of AGA is not associated with increased safety risks.</w:t>
      </w:r>
    </w:p>
    <w:p>
      <w:pPr>
        <w:spacing w:after="0" w:line="76" w:lineRule="exact"/>
        <w:rPr>
          <w:sz w:val="20"/>
          <w:szCs w:val="20"/>
          <w:color w:val="auto"/>
        </w:rPr>
      </w:pPr>
    </w:p>
    <w:p>
      <w:pPr>
        <w:ind w:left="1060" w:right="38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AGA levels in a patient’s cells, regardless of which of the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1,000 specific mutations underlie the patient’s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Multicenter Clinical Trial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at three centers in Canada, up to six patients with Fabry disease who have been treated with ERT for at least six months are expected to be enrolled. In this clinical trial, ERT for these patients is suspended one month prior to receiving AVR-RD-01 and ERT is then resumed one month after the AVR-RD-01 treatment and continued at bi-weekly intervals.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of clinically notable abnormal vital signs and laboratory values and the frequency of treatment-related adverse events. The safety of our out-patient conditioning regimen is also being assessed in this clinical trial.</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we assess the level of AGA activity in a patient immediately prior to the administration of the patient’s next dose of ERT, when limited or no plasma AGA activity would be expected.</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first two patients in this clinical trial have been dosed and the treatment was well tolerated. In these patients, both of whom are male, the level of plasma AGA enzyme activity began to rise within days of receiving AVR-RD-01, from nearly undetectable levels before treatment to levels above the range for males with classic Fabry disease, defined as less than 1 nmol/hr/ml.</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As of twelve months after receiving AVR-RD-01, the first patient’s plasma AGA enzyme activity levels continued to be above the range for males with classic Fabry disease. AGA enzyme activity levels in the second patient remained above the range for males with classic Fabry disease as of three months after treatment. We believe these preliminary results support the potential of AVR-RD-01 to drive active enzyme production for long durations.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520" w:type="dxa"/>
            <w:vAlign w:val="bottom"/>
            <w:tcBorders>
              <w:top w:val="single" w:sz="8" w:color="auto"/>
              <w:left w:val="single" w:sz="8" w:color="auto"/>
              <w:right w:val="single" w:sz="8" w:color="auto"/>
            </w:tcBorders>
          </w:tcPr>
          <w:p>
            <w:pPr>
              <w:spacing w:after="0"/>
              <w:rPr>
                <w:sz w:val="12"/>
                <w:szCs w:val="12"/>
                <w:color w:val="auto"/>
              </w:rPr>
            </w:pPr>
          </w:p>
        </w:tc>
        <w:tc>
          <w:tcPr>
            <w:tcW w:w="3440" w:type="dxa"/>
            <w:vAlign w:val="bottom"/>
            <w:tcBorders>
              <w:top w:val="single" w:sz="8" w:color="auto"/>
              <w:right w:val="single" w:sz="8" w:color="auto"/>
            </w:tcBorders>
          </w:tcPr>
          <w:p>
            <w:pPr>
              <w:jc w:val="center"/>
              <w:ind w:left="1597"/>
              <w:spacing w:after="0" w:line="139" w:lineRule="exact"/>
              <w:rPr>
                <w:sz w:val="20"/>
                <w:szCs w:val="20"/>
                <w:color w:val="auto"/>
              </w:rPr>
            </w:pPr>
            <w:r>
              <w:rPr>
                <w:rFonts w:ascii="Arial" w:cs="Arial" w:eastAsia="Arial" w:hAnsi="Arial"/>
                <w:sz w:val="14"/>
                <w:szCs w:val="14"/>
                <w:b w:val="1"/>
                <w:bCs w:val="1"/>
                <w:color w:val="auto"/>
                <w:w w:val="96"/>
              </w:rPr>
              <w:t>Day 0</w:t>
            </w:r>
          </w:p>
        </w:tc>
        <w:tc>
          <w:tcPr>
            <w:tcW w:w="2480" w:type="dxa"/>
            <w:vAlign w:val="bottom"/>
            <w:tcBorders>
              <w:top w:val="single" w:sz="8" w:color="auto"/>
              <w:right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3 Months</w:t>
            </w:r>
          </w:p>
        </w:tc>
        <w:tc>
          <w:tcPr>
            <w:tcW w:w="2600" w:type="dxa"/>
            <w:vAlign w:val="bottom"/>
            <w:tcBorders>
              <w:top w:val="single" w:sz="8" w:color="auto"/>
              <w:right w:val="single" w:sz="8" w:color="auto"/>
            </w:tcBorders>
          </w:tcPr>
          <w:p>
            <w:pPr>
              <w:ind w:left="172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(Infusion of AVR-RD-01)</w:t>
            </w:r>
          </w:p>
        </w:tc>
        <w:tc>
          <w:tcPr>
            <w:tcW w:w="248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r>
      <w:tr>
        <w:trPr>
          <w:trHeight w:val="210"/>
        </w:trPr>
        <w:tc>
          <w:tcPr>
            <w:tcW w:w="25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Patient 1</w:t>
            </w:r>
          </w:p>
        </w:tc>
        <w:tc>
          <w:tcPr>
            <w:tcW w:w="3440" w:type="dxa"/>
            <w:vAlign w:val="bottom"/>
            <w:tcBorders>
              <w:bottom w:val="single" w:sz="8" w:color="auto"/>
              <w:right w:val="single" w:sz="8" w:color="auto"/>
            </w:tcBorders>
            <w:shd w:val="clear" w:color="auto" w:fill="CCEEFF"/>
          </w:tcPr>
          <w:p>
            <w:pPr>
              <w:jc w:val="center"/>
              <w:ind w:left="1597"/>
              <w:spacing w:after="0"/>
              <w:rPr>
                <w:sz w:val="20"/>
                <w:szCs w:val="20"/>
                <w:color w:val="auto"/>
              </w:rPr>
            </w:pPr>
            <w:r>
              <w:rPr>
                <w:rFonts w:ascii="Arial" w:cs="Arial" w:eastAsia="Arial" w:hAnsi="Arial"/>
                <w:sz w:val="18"/>
                <w:szCs w:val="18"/>
                <w:color w:val="auto"/>
                <w:w w:val="95"/>
              </w:rPr>
              <w:t>0.1</w:t>
            </w:r>
          </w:p>
        </w:tc>
        <w:tc>
          <w:tcPr>
            <w:tcW w:w="248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5.8</w:t>
            </w:r>
          </w:p>
        </w:tc>
        <w:tc>
          <w:tcPr>
            <w:tcW w:w="2600" w:type="dxa"/>
            <w:vAlign w:val="bottom"/>
            <w:tcBorders>
              <w:bottom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w:t>
            </w:r>
          </w:p>
        </w:tc>
      </w:tr>
      <w:tr>
        <w:trPr>
          <w:trHeight w:val="210"/>
        </w:trPr>
        <w:tc>
          <w:tcPr>
            <w:tcW w:w="25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Patient 2</w:t>
            </w:r>
          </w:p>
        </w:tc>
        <w:tc>
          <w:tcPr>
            <w:tcW w:w="3440" w:type="dxa"/>
            <w:vAlign w:val="bottom"/>
            <w:tcBorders>
              <w:bottom w:val="single" w:sz="8" w:color="auto"/>
              <w:right w:val="single" w:sz="8" w:color="auto"/>
            </w:tcBorders>
          </w:tcPr>
          <w:p>
            <w:pPr>
              <w:jc w:val="center"/>
              <w:ind w:left="1597"/>
              <w:spacing w:after="0"/>
              <w:rPr>
                <w:sz w:val="20"/>
                <w:szCs w:val="20"/>
                <w:color w:val="auto"/>
              </w:rPr>
            </w:pPr>
            <w:r>
              <w:rPr>
                <w:rFonts w:ascii="Arial" w:cs="Arial" w:eastAsia="Arial" w:hAnsi="Arial"/>
                <w:sz w:val="18"/>
                <w:szCs w:val="18"/>
                <w:color w:val="auto"/>
                <w:w w:val="95"/>
              </w:rPr>
              <w:t>0.2</w:t>
            </w:r>
          </w:p>
        </w:tc>
        <w:tc>
          <w:tcPr>
            <w:tcW w:w="248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7.6</w:t>
            </w:r>
          </w:p>
        </w:tc>
        <w:tc>
          <w:tcPr>
            <w:tcW w:w="2600" w:type="dxa"/>
            <w:vAlign w:val="bottom"/>
            <w:tcBorders>
              <w:bottom w:val="single" w:sz="8" w:color="auto"/>
              <w:right w:val="single" w:sz="8" w:color="auto"/>
            </w:tcBorders>
          </w:tcPr>
          <w:p>
            <w:pPr>
              <w:jc w:val="center"/>
              <w:ind w:left="1536"/>
              <w:spacing w:after="0"/>
              <w:rPr>
                <w:sz w:val="20"/>
                <w:szCs w:val="20"/>
                <w:color w:val="auto"/>
              </w:rPr>
            </w:pPr>
            <w:r>
              <w:rPr>
                <w:rFonts w:ascii="Arial" w:cs="Arial" w:eastAsia="Arial" w:hAnsi="Arial"/>
                <w:sz w:val="18"/>
                <w:szCs w:val="18"/>
                <w:color w:val="auto"/>
                <w:w w:val="99"/>
              </w:rPr>
              <w:t>N/A</w:t>
            </w:r>
          </w:p>
        </w:tc>
      </w:tr>
      <w:tr>
        <w:trPr>
          <w:trHeight w:val="358"/>
        </w:trPr>
        <w:tc>
          <w:tcPr>
            <w:tcW w:w="2520" w:type="dxa"/>
            <w:vAlign w:val="bottom"/>
          </w:tcPr>
          <w:p>
            <w:pPr>
              <w:spacing w:after="0"/>
              <w:rPr>
                <w:sz w:val="24"/>
                <w:szCs w:val="24"/>
                <w:color w:val="auto"/>
              </w:rPr>
            </w:pPr>
          </w:p>
        </w:tc>
        <w:tc>
          <w:tcPr>
            <w:tcW w:w="3440" w:type="dxa"/>
            <w:vAlign w:val="bottom"/>
          </w:tcPr>
          <w:p>
            <w:pPr>
              <w:jc w:val="right"/>
              <w:ind w:right="297"/>
              <w:spacing w:after="0"/>
              <w:rPr>
                <w:sz w:val="20"/>
                <w:szCs w:val="20"/>
                <w:color w:val="auto"/>
              </w:rPr>
            </w:pPr>
            <w:r>
              <w:rPr>
                <w:rFonts w:ascii="Arial" w:cs="Arial" w:eastAsia="Arial" w:hAnsi="Arial"/>
                <w:sz w:val="18"/>
                <w:szCs w:val="18"/>
                <w:color w:val="auto"/>
              </w:rPr>
              <w:t>97</w:t>
            </w:r>
          </w:p>
        </w:tc>
        <w:tc>
          <w:tcPr>
            <w:tcW w:w="248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graph illustrates the levels of plasma AGA activity following AVR-RD-01 treatment in the two patients over various points in time.</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172085</wp:posOffset>
            </wp:positionV>
            <wp:extent cx="5076825" cy="1783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7682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VCN refers to the average number of copies of the lentiviral-vector inserted gene that are integrated into the genome of a cell. It is typically expressed as an average VCN for a cell population.</w:t>
      </w:r>
    </w:p>
    <w:p>
      <w:pPr>
        <w:spacing w:after="0" w:line="17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 xml:space="preserve">We believe the trends in average VCN observed for both AVR-RD-01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nucleated blood cells in the ongoing Phase 1 clinical trial are consistent with the trends observed in a 2017 published study on hematopoietic stem cell gene therapy for ALD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w:t>
      </w:r>
      <w:r>
        <w:rPr>
          <w:rFonts w:ascii="Arial" w:cs="Arial" w:eastAsia="Arial" w:hAnsi="Arial"/>
          <w:sz w:val="18"/>
          <w:szCs w:val="18"/>
          <w:color w:val="auto"/>
        </w:rPr>
        <w:t>. The table below reflects average VCN data observed for the first two patients in the ongoing Phase 1 clinical trial. Importantly, these VCNs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sufficient to generate plasma AGA enzyme activity in these two patients that was continuously above the range for males with classic Fabry disease.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Average VCN in Patients Dosed with AVR-RD-01 in the Ongoing Phase 1 Clinical Trial</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680" w:type="dxa"/>
            <w:vAlign w:val="bottom"/>
            <w:tcBorders>
              <w:top w:val="single" w:sz="8" w:color="auto"/>
              <w:bottom w:val="single" w:sz="8" w:color="auto"/>
              <w:right w:val="single" w:sz="8" w:color="auto"/>
            </w:tcBorders>
          </w:tcPr>
          <w:p>
            <w:pPr>
              <w:jc w:val="center"/>
              <w:ind w:left="3012"/>
              <w:spacing w:after="0"/>
              <w:rPr>
                <w:sz w:val="20"/>
                <w:szCs w:val="20"/>
                <w:color w:val="auto"/>
              </w:rPr>
            </w:pPr>
            <w:r>
              <w:rPr>
                <w:rFonts w:ascii="Arial" w:cs="Arial" w:eastAsia="Arial" w:hAnsi="Arial"/>
                <w:sz w:val="14"/>
                <w:szCs w:val="14"/>
                <w:b w:val="1"/>
                <w:bCs w:val="1"/>
                <w:color w:val="auto"/>
                <w:w w:val="92"/>
              </w:rPr>
              <w:t>Patient 1</w:t>
            </w:r>
          </w:p>
        </w:tc>
        <w:tc>
          <w:tcPr>
            <w:tcW w:w="3760" w:type="dxa"/>
            <w:vAlign w:val="bottom"/>
            <w:tcBorders>
              <w:top w:val="single" w:sz="8" w:color="auto"/>
              <w:bottom w:val="single" w:sz="8" w:color="auto"/>
              <w:right w:val="single" w:sz="8" w:color="auto"/>
            </w:tcBorders>
          </w:tcPr>
          <w:p>
            <w:pPr>
              <w:ind w:left="3140"/>
              <w:spacing w:after="0"/>
              <w:rPr>
                <w:sz w:val="20"/>
                <w:szCs w:val="20"/>
                <w:color w:val="auto"/>
              </w:rPr>
            </w:pPr>
            <w:r>
              <w:rPr>
                <w:rFonts w:ascii="Arial" w:cs="Arial" w:eastAsia="Arial" w:hAnsi="Arial"/>
                <w:sz w:val="14"/>
                <w:szCs w:val="14"/>
                <w:b w:val="1"/>
                <w:bCs w:val="1"/>
                <w:color w:val="auto"/>
                <w:w w:val="99"/>
              </w:rPr>
              <w:t>Patient 2</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Drug Product VCN (day 4)</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0.68</w:t>
            </w:r>
          </w:p>
        </w:tc>
        <w:tc>
          <w:tcPr>
            <w:tcW w:w="376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1.43</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1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0.42</w:t>
            </w:r>
          </w:p>
        </w:tc>
        <w:tc>
          <w:tcPr>
            <w:tcW w:w="376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0.79</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3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0.55</w:t>
            </w:r>
          </w:p>
        </w:tc>
        <w:tc>
          <w:tcPr>
            <w:tcW w:w="3760" w:type="dxa"/>
            <w:vAlign w:val="bottom"/>
            <w:tcBorders>
              <w:bottom w:val="single" w:sz="8" w:color="auto"/>
              <w:right w:val="single" w:sz="8" w:color="auto"/>
            </w:tcBorders>
            <w:shd w:val="clear" w:color="auto" w:fill="CCEEFF"/>
          </w:tcPr>
          <w:p>
            <w:pPr>
              <w:jc w:val="center"/>
              <w:ind w:left="3012"/>
              <w:spacing w:after="0"/>
              <w:rPr>
                <w:sz w:val="20"/>
                <w:szCs w:val="20"/>
                <w:color w:val="auto"/>
              </w:rPr>
            </w:pPr>
            <w:r>
              <w:rPr>
                <w:rFonts w:ascii="Arial" w:cs="Arial" w:eastAsia="Arial" w:hAnsi="Arial"/>
                <w:sz w:val="18"/>
                <w:szCs w:val="18"/>
                <w:color w:val="auto"/>
                <w:w w:val="87"/>
              </w:rPr>
              <w:t>1.1</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6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0.35</w:t>
            </w:r>
          </w:p>
        </w:tc>
        <w:tc>
          <w:tcPr>
            <w:tcW w:w="3760" w:type="dxa"/>
            <w:vAlign w:val="bottom"/>
            <w:tcBorders>
              <w:bottom w:val="single" w:sz="8" w:color="auto"/>
              <w:right w:val="single" w:sz="8" w:color="auto"/>
            </w:tcBorders>
          </w:tcPr>
          <w:p>
            <w:pPr>
              <w:ind w:left="3360"/>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9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0.26</w:t>
            </w:r>
          </w:p>
        </w:tc>
        <w:tc>
          <w:tcPr>
            <w:tcW w:w="3760" w:type="dxa"/>
            <w:vAlign w:val="bottom"/>
            <w:tcBorders>
              <w:bottom w:val="single" w:sz="8" w:color="auto"/>
              <w:right w:val="single" w:sz="8" w:color="auto"/>
            </w:tcBorders>
            <w:shd w:val="clear" w:color="auto" w:fill="CCEEFF"/>
          </w:tcPr>
          <w:p>
            <w:pPr>
              <w:ind w:left="3360"/>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12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0.16</w:t>
            </w:r>
          </w:p>
        </w:tc>
        <w:tc>
          <w:tcPr>
            <w:tcW w:w="3760" w:type="dxa"/>
            <w:vAlign w:val="bottom"/>
            <w:tcBorders>
              <w:bottom w:val="single" w:sz="8" w:color="auto"/>
              <w:right w:val="single" w:sz="8" w:color="auto"/>
            </w:tcBorders>
          </w:tcPr>
          <w:p>
            <w:pPr>
              <w:ind w:left="3360"/>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14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0.12</w:t>
            </w:r>
          </w:p>
        </w:tc>
        <w:tc>
          <w:tcPr>
            <w:tcW w:w="3760" w:type="dxa"/>
            <w:vAlign w:val="bottom"/>
            <w:tcBorders>
              <w:bottom w:val="single" w:sz="8" w:color="auto"/>
              <w:right w:val="single" w:sz="8" w:color="auto"/>
            </w:tcBorders>
            <w:shd w:val="clear" w:color="auto" w:fill="CCEEFF"/>
          </w:tcPr>
          <w:p>
            <w:pPr>
              <w:ind w:left="33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Preliminary results from this clinical trial also indicate the presence of lentiviral-vector inserted sequences in the blood and bone marrow of the first patient, which is a signal for successful transduction of the cells. An analysis of the bone marrow from the first patient in this clinical trial measured at 14 months following treatment with AVR-RD-01 suggests engraftment through this period. Because patients in this trial are also receiving ERT, it is not possible to assess the ability of the functional AGA produced by AVR-RD-01 to drive the reduction of substrates, including Gb3 levels, or reduce symptoms of the disease. Altogether, the results observed to date suggest that AVR-RD-01 is capable of delivering and integrating the gene coding for AGA into the human genome and subsequently enabling expression of active AGA enzyme in patients with Fabry disease.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Preliminary safety data from the first two enrolled patients indicate AVR-RD-01 was generally well-tolerated. As of April 26, 2018, there were 47 adverse events reported, 40 of which were assessed by the investigator as being possibly, probably or definitely related to protocol treatment or procedures (which includes apheresis, stem cell transplant procedure, blood draws, insertion of central catheters, drugs used for mobilization of stem cells and/or conditioning, and the drug product). Only one event, the development of a left thigh mass, was originally reported as a serious adverse event but has now been considered by the study investigator as not serious and has resolved in the patient. In addition, investigators observed a suppression of white blood cell counts and thrombocytopenia in both patients which is an expected outcome based on the conditioning regimen. These decreases were transient and not associated with any negative long-term impact on the patients. Because this clinical trial is ongoing, safety data are preliminary and subject to change. Subsequent to April 26, 2018, we have not been notified by the investigators in this clinical trial of any suspected unexpected serious adverse events. In addition, an independent data monitoring committee has reviewed the one-month post-treatment data of each patient treated with AVR-RD-01 and has approved continuing to enroll patients in this clinical trial.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Phase 2 Multinational Clinical Trial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7, 2018, we dosed the first patient in our open label, multinational Phase 2 clinical trial of AVR-RD-01 in 2018. Enrollment in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Phase 2 clinical trial is ongoing, and we expect to enroll eight to 12 treatment-naïve males, 16 years and older, with classic Fabry disease. Our objectives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this trial are to assess safety and efficacy as measured by multiple indicators, such as Gb3 levels in various tissues, kidney and cardiac function,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gastrointestinal symptoms, and pain and quality of life scores. All enrolled patients will receive a single treatment with AVR-RD-01 and will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followed for 48 weeks to measure safety and efficacy. We received approval from both the Australian and Canadian regulatory authorities to initiate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Phase 2 clinical trial for AVR-RD-01. We also plan to submit applications to allow commencement of clinical trials in the United States to the FDA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Japan to the Pharmaceuticals and Medical Devices Agency, or PMDA, following meetings with each of these respective regulatory authorities.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first patient in our Phase 2 clinical trial was dosed at an Austrialian site on June 7, 2018.</w:t>
      </w:r>
    </w:p>
    <w:p>
      <w:pPr>
        <w:spacing w:after="0" w:line="21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During a scheduled protocol visit seven days after dosing, the patient reported nausea and vomiting and was admitted to hospital for fluid hydration. Because the nausea and vomiting warranted hospital admission, the event was categorized as a serious adverse event, possibly related to the conditioning regimen; nausea and vomiting have resolved in the patient. A suppression of white blood cell count, which is an anticipated outcome of the conditioning regimen, was also observed in the patient. The treating physician has decided to monitor the patient in hospital until the patient’s white blood cell count increases. Because this clinical trial is ongoing, safety data are preliminary and subject to change.</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During our Phase 2 clinical trial, we plan to transition the lentiviral vector from LV1 to our optimized proprietary LV2,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cell transduction process, and not the actual AGA enzyme that is produced by the transduced cells, or drug product, we believe this transition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Lentiviral-based gene therapy targeting stem cells in mouse models of Fabry disease led to an elevated and sustained level of AGA enzyme activity in plasma.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Increased Enzyme Activity in Fabry Mouse Model 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172085</wp:posOffset>
            </wp:positionV>
            <wp:extent cx="2615565" cy="1869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 direct test of the ability of AVR-RD-01 to correct deficiencies in plasma AGA enzyme activity, a mouse model was created using a mouse strain in which the gene for AGA was inactivated. Human stem cells were extracted from patients with Fabry disease and the gene for AGA was added using a lentiviral vector to create AVR-RD-01. AVR-RD-01 was then introduced to the mice. Twelve weeks following administration, the levels of Gb3 in both the spleen and liver were reduced to a statistically significant extent compared to mice that received unmodified cells from patients with Fabry disease. The FDA utilizes reported statistical measures when evaluating the results of a clinical trial, including statistical significance as measured by p-value as an evidentiary standard of efficacy, to evaluate the reported evidence of a product candidate’s safety and efficacy. If not otherwise specified, we used a conventional 5% or lower p-value (p &lt; 0.05) to define statistical significance for the data presented in this prospectus. Levels in other tissues such as the heart and kidney also showed downward trends in Gb3. This study demonstrated that:</w:t>
      </w:r>
    </w:p>
    <w:p>
      <w:pPr>
        <w:spacing w:after="0" w:line="84"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lentiviral vector could efficiently transform human stem cells into a gene therapy.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AVR-RD-01 could engraft and replicate to produce progeny cells containing the AGA gene.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AGA gene was expressed and functionally active post-treatment.</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Cross correction of AGA produced by cells containing the functional AGA gene caused reductions in Gb3 in various tissues in the mouse model.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Significant Reduction in Gb3 Levels in Multiple Tissues in a NOD/SCID/Fabry Mouse Model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developing AVR-RD-02 for the treatment of Type 1 Gaucher disease. We will manufacture AVR-RD-02 from 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 following our filing of a Clinical Trial Application, or CTA, in Canada.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Gaucher disease is one of the most common lysosomal storage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Type 1 Gaucher disease does not have manifestations of central nervous system symptoms.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at least one of these target goals. In addition, up to 15% of patients with Gaucher disease develop antibodies that limit the efficacy of the ERT.</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2017, Genzyme’s Cerezyme and Cerdelga together generated worldwide net sales of over $1.0 billion and Shire’s VPRIV generated worldwide net sales of approximately $350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 xml:space="preserve">We are developing AVR-RD-02 to potentially cure patients with Gaucher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We plan to initiate a Phase 1/2 clinical trial of AVR-RD-02 in patients with Type 1 Gaucher disease and to begin dosing patients in this clinical trial in 2019. We plan to file a CTA in Canada for this trial in the second half of 2018. Our initial clinical trial will be an adaptive trial that will include both treatment-naïve patients and patients that are currently stable on ERT. We intend to enroll 8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 xml:space="preserve">Molecular Therapy </w:t>
      </w:r>
      <w:r>
        <w:rPr>
          <w:rFonts w:ascii="Arial" w:cs="Arial" w:eastAsia="Arial" w:hAnsi="Arial"/>
          <w:sz w:val="18"/>
          <w:szCs w:val="18"/>
          <w:color w:val="auto"/>
        </w:rPr>
        <w:t>which concluded that, in a Gaucher disease mouse model, a lentiviral-based gene therapy containing the gene for GCase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development and reverse clinically relevant signs of the disease.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preclinical studies, a mouse model of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infiltration, and spleen volume in the mouse model over 20 weeks following treatment with AVR-RD-02. When mice with established disease were treated with AVR-RD-02, glucocerebroside levels decreased and symptoms such as an enlarged spleen were reversed within 20 weeks. Over this period, increased enzyme levels were observed in the bone marrow, spleen and liver in the mouse model. In addition, the mice that were treated with AVR-RD-02 prior to manifesting symptoms did not develop symptoms of the disease. These data support the potential efficacy of AVR-RD-02 to prevent, as well as reverse, symptoms in patients with Gaucher disease.</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AVR-RD-02 Leads to a Significant Reduction in Glucocerebroside Levels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3755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306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109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306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24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Late-onset patients experience progressive difficulty walking and respiratory decline. While life expectancy can vary, Pompe disease is a life-limiting disease that can result in death due to complications from respiratory failure.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2017.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are in early preclinical development of AVR-RD-03 to potentially cure patients with late-onset Pompe disease. We are developing AVR-RD-03 to be a gene therapy product containing a codon-optimized human gene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for GAA attached to a GILT tag designed to increase uptake of GAA in muscle cells. AVR-RD-03 will target patients with late onset Pompe disease, which represent the majority of patients with this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We believe we can use a GILT tag to address the known challenges of skeletal muscle uptake in patients with Pompe disease. Attachment of a GILT tag to a particular protein can increase the effective uptake of the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 Compared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160020</wp:posOffset>
            </wp:positionV>
            <wp:extent cx="4853940" cy="2298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539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AVR-RD-04 for the treatment of patients with cystinosis. We will manufacture AVR-RD-04 from hematopoietic stem cells that are first extracted from the patient, modified to add the gene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encodes for cystinosin, and then infused into the patient. In a planned academic sponsored Phase 1/2 clinical trial, we expect the first patient will be dosed in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The annual average cost to the healthcare system per patient prescribed Procysbi in the United States is between approximately $625,000 and $750,000.</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 planned Phase 1/2 clinical trial of AVR-RD-04 that will be conducted by our collaborators at the University of California, San Diego,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 inform future clinical development. We expect that patients enrolled in this trial will undergo a more extensive conditioning regimen instead of the milder conditioning regimen we use for our other target indications. Our collaborators plan to submit an investigational new drug application, or IND, in the U.S. prior to commencing this planned clinical trial.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Introduction of AVR-RD-04 into the diseased mice was observed to significantly lower cystine levels in tissues such as the liver, spleen and, in male mice, the kidney. These lower levels persisted until the end of the experiment at eight months. AVR-RD-04 treatment was also associated with potentially improved kidney function in male mice, thus addressing an essential clinical need in patients with cystinosis.</w:t>
      </w:r>
    </w:p>
    <w:p>
      <w:pPr>
        <w:spacing w:after="0" w:line="37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172085</wp:posOffset>
            </wp:positionV>
            <wp:extent cx="3164205" cy="1929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642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Transplantation of Allogeneic Hematopoietic Stem Cells Results in Reduction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optimize production of our gene therapies, we are moving our cell processing to an automated, closed system using all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w:t>
      </w:r>
    </w:p>
    <w:p>
      <w:pPr>
        <w:spacing w:after="0" w:line="17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is planned to be completed in an outpatient setting.</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After the conditioning regimen is complete, the genetically-modified stem cells are infused into the patient by intravenous administration in an outpatient setting. After infusion, these cells engraft into the bone marrow, replicate and differentiate into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auto"/>
        </w:rPr>
      </w:pPr>
    </w:p>
    <w:p>
      <w:pPr>
        <w:jc w:val="both"/>
        <w:ind w:left="1060" w:right="200" w:hanging="424"/>
        <w:spacing w:after="0" w:line="312"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a closed, automated manufacturing system, production of current good manufacturing practices, or CGMP, materials and cryopreservation.</w:t>
      </w:r>
    </w:p>
    <w:p>
      <w:pPr>
        <w:spacing w:after="0" w:line="52" w:lineRule="exact"/>
        <w:rPr>
          <w:rFonts w:ascii="Arial" w:cs="Arial" w:eastAsia="Arial" w:hAnsi="Arial"/>
          <w:sz w:val="16"/>
          <w:szCs w:val="16"/>
          <w:color w:val="auto"/>
        </w:rPr>
      </w:pPr>
    </w:p>
    <w:p>
      <w:pPr>
        <w:ind w:left="1060" w:hanging="424"/>
        <w:spacing w:after="0" w:line="286"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auto"/>
        </w:rPr>
      </w:pPr>
    </w:p>
    <w:p>
      <w:pPr>
        <w:ind w:left="1060" w:right="180" w:hanging="424"/>
        <w:spacing w:after="0" w:line="259"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developing therapies to treat rare diseases and expect to pursue orphan drug designation in the United States and similar protection outside of the United States.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professors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our in-licensed patent portfolio relating to certain of our gene therapies included the following:</w:t>
      </w:r>
    </w:p>
    <w:p>
      <w:pPr>
        <w:spacing w:after="0" w:line="131" w:lineRule="exact"/>
        <w:rPr>
          <w:sz w:val="20"/>
          <w:szCs w:val="20"/>
          <w:color w:val="auto"/>
        </w:rPr>
      </w:pPr>
    </w:p>
    <w:p>
      <w:pPr>
        <w:ind w:left="1060" w:right="20" w:hanging="424"/>
        <w:spacing w:after="0" w:line="279"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AVR-RD-03</w:t>
      </w:r>
      <w:r>
        <w:rPr>
          <w:rFonts w:ascii="Arial" w:cs="Arial" w:eastAsia="Arial" w:hAnsi="Arial"/>
          <w:sz w:val="17"/>
          <w:szCs w:val="17"/>
          <w:color w:val="auto"/>
        </w:rPr>
        <w:t>: two United States (U.S.) patents, projected to expire in 2022 and 2023, and one U.S. patent application,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international patent (PCT) application, which, if pursued and granted in the United States, would be projected to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2038, containing claims directed to hematopoietic stem cells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expressing cystinosin and methods of using the same for the treatment of cystinosis. This patent application is licensed to us by GenStem Therapeutics, and GenStem obtained its rights from the University of California, San Diego.</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 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 digit percentage of our royalty payments and regulatory milestone payments, up to a maximum amount of C$500,000 in any calendar year.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2017, we entered into an exclusive license agreement with Dr. Stefan Karlsson and Maria Dahl, affiliates of Lund University, pursuant to which Drs. Karlsson and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prospectus for more information regarding competitors and competitive products.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1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424"/>
        <w:spacing w:after="0" w:line="259"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to assure the safe use of the biological product. If the FDA concludes a REMS is needed, the sponsor of the BLA must submit a proposed REMS; the FDA will not approve the BLA without a REMS, if required.</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6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Patient Protection and Affordable Care Act, or Affordable Care Act or ACA or PPACA, signed into law on March 23, 2010, includes a subtitle called the Biologics Price Competition and Innovation Act of 2009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auto"/>
        </w:rPr>
        <w:t>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3"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424"/>
        <w:spacing w:after="0" w:line="291"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 statute;</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penalties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91"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the CMS to test innovative payment and service delivery models to lower Medicare and Medicaid spending.</w:t>
      </w:r>
    </w:p>
    <w:p>
      <w:pPr>
        <w:spacing w:after="0" w:line="1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its enactment, there have been a number of significant changes to the Affordable Care Act.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 effect that the Affordable Care Act and its possible repeal, replacement or further modification could have on our business. It is uncertain the extent to which any such changes may impact our business or financial condition.</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 formulary, which might not include all of the FDA-approved products for a particular indication. A decision by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corporate headquarters are located in Cambridge, Massachusetts. Our current leased facility encompasses approximately 4,580 square feet of office and laboratory space initially, with the ability to expand up to 11,218 square feet during 2018. The lease for this facility expires in January 2023.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June 1, 2018, we had 34 full-time employees, 16 of whom have Ph.D. or M.D. degrees. Of these full-time employees, 24 employees are engaged in research and development activities and ten employees are engaged in finance, legal, human resources, facilities and general management. We have no collective bargaining agreements with our employees and we have not experienced any work stoppages. We consider our relations with our employees to be good.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name, age and position of each of our executive officers, directors and director nominees as of June 15, 2018:</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8"/>
              </w:rPr>
              <w:t>AGE</w:t>
            </w:r>
          </w:p>
        </w:tc>
        <w:tc>
          <w:tcPr>
            <w:tcW w:w="6500" w:type="dxa"/>
            <w:vAlign w:val="bottom"/>
            <w:gridSpan w:val="3"/>
          </w:tcPr>
          <w:p>
            <w:pPr>
              <w:ind w:left="3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Geoff MacKay</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51</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60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Nerissa Kreher, M.D.</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45</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Bruce Booth, D.Phil.</w:t>
            </w:r>
            <w:r>
              <w:rPr>
                <w:rFonts w:ascii="Arial" w:cs="Arial" w:eastAsia="Arial" w:hAnsi="Arial"/>
                <w:sz w:val="15"/>
                <w:szCs w:val="15"/>
                <w:color w:val="auto"/>
              </w:rPr>
              <w:t>(2)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43</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(2)</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(1)(3)</w:t>
            </w:r>
          </w:p>
        </w:tc>
        <w:tc>
          <w:tcPr>
            <w:tcW w:w="920" w:type="dxa"/>
            <w:vAlign w:val="bottom"/>
            <w:gridSpan w:val="2"/>
            <w:vMerge w:val="restart"/>
          </w:tcPr>
          <w:p>
            <w:pPr>
              <w:jc w:val="center"/>
              <w:ind w:left="492"/>
              <w:spacing w:after="0"/>
              <w:rPr>
                <w:sz w:val="20"/>
                <w:szCs w:val="20"/>
                <w:color w:val="auto"/>
              </w:rPr>
            </w:pPr>
            <w:r>
              <w:rPr>
                <w:rFonts w:ascii="Arial" w:cs="Arial" w:eastAsia="Arial" w:hAnsi="Arial"/>
                <w:sz w:val="18"/>
                <w:szCs w:val="18"/>
                <w:color w:val="auto"/>
                <w:w w:val="89"/>
              </w:rPr>
              <w:t>52</w:t>
            </w:r>
          </w:p>
        </w:tc>
        <w:tc>
          <w:tcPr>
            <w:tcW w:w="6500" w:type="dxa"/>
            <w:vAlign w:val="bottom"/>
            <w:gridSpan w:val="3"/>
            <w:vMerge w:val="restart"/>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5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r>
              <w:rPr>
                <w:rFonts w:ascii="Arial" w:cs="Arial" w:eastAsia="Arial" w:hAnsi="Arial"/>
                <w:sz w:val="15"/>
                <w:szCs w:val="15"/>
                <w:color w:val="auto"/>
              </w:rPr>
              <w:t>(3)</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65</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Scott Requadt</w:t>
            </w:r>
            <w:r>
              <w:rPr>
                <w:rFonts w:ascii="Arial" w:cs="Arial" w:eastAsia="Arial" w:hAnsi="Arial"/>
                <w:sz w:val="15"/>
                <w:szCs w:val="15"/>
                <w:color w:val="auto"/>
              </w:rPr>
              <w:t>(1)(2)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50</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 M.D.</w:t>
            </w:r>
            <w:r>
              <w:rPr>
                <w:rFonts w:ascii="Arial" w:cs="Arial" w:eastAsia="Arial" w:hAnsi="Arial"/>
                <w:sz w:val="15"/>
                <w:szCs w:val="15"/>
                <w:color w:val="auto"/>
              </w:rPr>
              <w:t>(3)</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42</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Director Nominee</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(1)</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Mr. MacKay has served on the board of directors of Replicel, Inc., a regenerative medicine company, since 2016 and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Katina Dorton </w:t>
      </w:r>
      <w:r>
        <w:rPr>
          <w:rFonts w:ascii="Arial" w:cs="Arial" w:eastAsia="Arial" w:hAnsi="Arial"/>
          <w:sz w:val="17"/>
          <w:szCs w:val="17"/>
          <w:color w:val="auto"/>
        </w:rPr>
        <w:t>has been our chief financial officer since August 2017. Prior to joining our company, she served 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GmbH, a biotechnology company, from 2015 to 2017. Ms. Dorton also served as the principle owner of Doric LLC, an advisory firm, from 2011 to 2015, where she provided consulting services to public and private companies in the areas of mergers and acquisitions and strategic finance. Prior to that, she served as managing director at Needham &amp; Co., managing director-investment banking at Morgan Stanley and as an attorney in private practice at Sullivan &amp; Cromwell. Ms. Dorton serves on the board of directors of US Ecology, Inc. Ms. Dorton holds a J.D. from the University of Virginia School of Law, an M.B.A. from George Washington University, and a B.A. from Duke University.</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Nerissa Kreher, M.D. </w:t>
      </w:r>
      <w:r>
        <w:rPr>
          <w:rFonts w:ascii="Arial" w:cs="Arial" w:eastAsia="Arial" w:hAnsi="Arial"/>
          <w:sz w:val="16"/>
          <w:szCs w:val="16"/>
          <w:color w:val="auto"/>
        </w:rPr>
        <w:t>has been our chief medical officer since October 2016. Prior to joining our company, Dr. Kreher was the global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and medical affairs at Zafgen, Inc. from March 2015 to July 2016. Prior to that, from April 2013 to March 2015, Dr. Kreher held roles of increasing responsibility at Shire HGT, most recently as global clinical development lead. From February 2012 to April 2013, Dr. Kreher served as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executive medical director, metabolic disorders at Alexion Pharmaceuticals, and as senior medical director, medical affairs at Enobia Pharma from January 2011 to June 2012. Dr. Kreher also served as medical director at Genzyme from April 2008 to January 2011 and as director, medical affairs at EMD Serono from April 2006 to April 2008. Dr. Kreher received a B.S. from the University of North Carolina, an M.D. from East Carolina University School of Medicine, an M.S. in Clinical Research from Indiana University and an Executive M.B.A. from Northeastern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Bruce Booth, D.Phil. </w:t>
      </w:r>
      <w:r>
        <w:rPr>
          <w:rFonts w:ascii="Arial" w:cs="Arial" w:eastAsia="Arial" w:hAnsi="Arial"/>
          <w:sz w:val="16"/>
          <w:szCs w:val="16"/>
          <w:color w:val="auto"/>
        </w:rPr>
        <w:t>has served as the chairman of our board of directors since February 2016. Dr. Booth joined Atlas Venture in 2005,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miRagen Therapeutics, Inc. (Nasdaq: MGEN), Zafgen, Inc. (Nasdaq: ZFGN) and Unum Therapeutics Inc. (Nasdaq: UMRX). Dr. Booth also serves on UCB Pharma’s New Medicines Scientific Advisory Board and participates on several other advisory boards for pharmaceutical companies and academic medical centers.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Mr. Clark currently serves as an operating partner within Clarus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Previously, Mr. Clark served as the chief executive officer and head of North American commercial operations at Genentech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served as general manager of Novartis Canada, overseeing all of the company’s country operations, and as chief operating officer for Novartis United Kingdom. Mr. Clark worked in executive positions in sales and marketing for Sanofi and Ivax in the United Kingdom, France and Eastern Europe. Mr. Clark began his career at Searle, where he held management positions in both sales and marketing. Mr. Clark also serves on the board of directors of Agios Pharmaceuticals, Inc., (Nasdaq: AGIO), Corvus Pharmaceuticals, Inc., (Nasdaq: CVRS), and Shire plc, (Nasdaq: SHPG). He has served on the board of directors of the Biotechnology Industry Organization (BIO) since 2009 as well as on the boards of TerraVia and the Gladstone Foundation and as a member of the Federal Reserve Bank of San Francisco’s economic advisory council.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75"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Annalisa Jenkins, M.B.B.C., F.R.C.P. </w:t>
      </w:r>
      <w:r>
        <w:rPr>
          <w:rFonts w:ascii="Arial" w:cs="Arial" w:eastAsia="Arial" w:hAnsi="Arial"/>
          <w:sz w:val="16"/>
          <w:szCs w:val="16"/>
          <w:color w:val="auto"/>
        </w:rPr>
        <w:t>has served as a member of our board of directors since March 2018. Dr. Jenkins has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PlaqueTec Ltd. since November 2017 and was previously the chief executive officer and a member of the board of directors of Dimension Therapeutics, Inc., from September 2014 until its sale to Ultragnyx Pharmaceutical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a biopharmaceutical company, where, from July 2009 to June 2011, she was a senior vice president and head of global medical affairs.</w:t>
      </w:r>
    </w:p>
    <w:p>
      <w:pPr>
        <w:spacing w:after="0" w:line="35"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Dr. Jenkins is currently a committee member of the science board to the FDA, which advises FDA leadership on complex scientific and technical issues. Dr. Jenkins serves on the board of directors of Ardelyx, Inc. (Nasdaq: ARDX), Silence Therapeutics (Nasdaq: SLN), Oncimmune (Nasdaq: ONC) and a number of privately held biotech and life science companies.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1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Christopher Paige, Ph.D. </w:t>
      </w:r>
      <w:r>
        <w:rPr>
          <w:rFonts w:ascii="Arial" w:cs="Arial" w:eastAsia="Arial" w:hAnsi="Arial"/>
          <w:sz w:val="16"/>
          <w:szCs w:val="16"/>
          <w:color w:val="auto"/>
        </w:rPr>
        <w:t>has served as a member of our board of directors since January 2016. Dr. Paige is a professor in the departments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biophysics and immunology at the University of Toronto. In 1997, he served as the vice president, research of the University Health Network and now serves as senior scientist.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6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auto"/>
        </w:rPr>
        <w:t xml:space="preserve">Scott Requadt </w:t>
      </w:r>
      <w:r>
        <w:rPr>
          <w:rFonts w:ascii="Arial" w:cs="Arial" w:eastAsia="Arial" w:hAnsi="Arial"/>
          <w:sz w:val="16"/>
          <w:szCs w:val="16"/>
          <w:color w:val="auto"/>
        </w:rPr>
        <w:t>has served as a member of our board of directors since July 2016. Mr. Requadt is currently a managing director at Clarus,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investment fund. Mr. Requadt has 17 years of operating and investment experience in the pharmaceutical industry. Prior to joining Clarus in 2005, Mr. Requadt was Director, Business Development of TransForm Pharmaceuticals, and previously practiced for several years as a mergers and acquisitions attorney at the New York City-based law firm of Davis Polk &amp; Wardwell. Before that, Mr. Requadt was a law clerk for a senior judge at the Supreme Court of Canada. Mr. Requadt holds a B.Com (Joint Honors, Economics &amp; Finance) from McGill University, an LL.B from University of Toronto and an M.B.A. from Harvard Business School (Baker Scholar). Mr. Requadt has been involved in multiple Clarus investments spanning both therapeutics and medtech, as well as several research and development risk-sharing collaborations with large pharmaceutical partners. He is currently also a director of VBI Vaccines (Nasdaq: VBIV), ESSA Pharmaceuticals (Nasdaq: EPIX) and Edev S.a.r.l. and has previously been active on the board of directors of TyRx, Catabasis (Nasdaq: CATB), Oxford Immunotec (Nasdaq: OXFD), Link Medicine and Biolex Therapeutics. We believe Mr. Requadt is qualified to serve on our board because of his industry experience as a biotech public and private company investor.</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Joshua Resnick, M.D. </w:t>
      </w:r>
      <w:r>
        <w:rPr>
          <w:rFonts w:ascii="Arial" w:cs="Arial" w:eastAsia="Arial" w:hAnsi="Arial"/>
          <w:sz w:val="17"/>
          <w:szCs w:val="17"/>
          <w:color w:val="auto"/>
        </w:rPr>
        <w:t>has served as a member of our board of directors since July 2016. Dr. Resnick has been a partner at SV Health Investors,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SV, since January 2016. Before joining SV in January 2016, Dr. Resnick was president and managing partner at MRL Ventures Fund, or MRL Ventures, an early-stage therapeutics-focused corporate venture fund that he built and managed within Merck &amp; Co from December 2014 to January 2016. Prior to MRL Ventures, Dr. Resnick was a venture partner with Atlas Venture, or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 Dr. Resnick serves on the board of directors of Kalvista Pharmaceuticals, Inc. (Nasdaq: KALV). Dr. Resnick graduated Magna Cum Laude with a B.A. from Williams College and received his M.D. from the University of Pennsylvania School of Medicine and his M.B.A. from The Wharton School of Business. We believe Dr. Resnick is qualified to serve on our board because of his industry experience as a biotech public and private company investor.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Nominee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b w:val="1"/>
          <w:bCs w:val="1"/>
          <w:i w:val="1"/>
          <w:iCs w:val="1"/>
          <w:color w:val="auto"/>
        </w:rPr>
        <w:t xml:space="preserve">Phillip B. Donenberg </w:t>
      </w:r>
      <w:r>
        <w:rPr>
          <w:rFonts w:ascii="Arial" w:cs="Arial" w:eastAsia="Arial" w:hAnsi="Arial"/>
          <w:sz w:val="17"/>
          <w:szCs w:val="17"/>
          <w:color w:val="auto"/>
        </w:rPr>
        <w:t>is a nominee for appointment to our board of directors, and such appointment will be effective immediately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Effective July 16, 2018, Mr. Donenberg has been appointed Chief Financial Officer and Senior Vice President of Depomed, Inc. Until such date, Mr. Donenberg will continue to serve in his current role as the Senior Vice President and Chief Financial Officer of AveXis, Inc., where he was previously Vice President, Corporate Controller from September 2016 to October 2017. He was the chief financial officer of RestorGenex Corporation from May 2014 to January 2016, when RestorGenex merged with Diffusion Pharmaceuticals LLC and served as the merged company’s consultant CFO until September 2016, and the chief financial officer of 7wire Ventures LLC from September 2013 to May 2014. Prior to that time, Mr. Donenberg served as the chief financial officer of BioSante Pharmaceuticals, Inc. from July 1998 to June 2013, when BioSante merged with ANIP Pharmaceuticals, Inc. Mr. Donenberg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board of directors currently consists of seven members, each of whom is a member pursuant to the board composition provisions of our current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The size of our board of directors will be expanded to eight members in connection with Mr. Donenberg’s appointment to the board, effective as of immediately following the effectiveness of the registration statement of which this prospectus is a part.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board of directors has determined that all members of the board of directors, except Mr. MacKay, are independent directors, including for purposes of the rules of The Nasdaq Global Market and the Securities and Exchange Commission, or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Mr. MacKay is not an independent director under these rules because he is an executive officer of our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that will become effective upon the closing of this offering,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2019 for Class I directors, 2020 for Class II directors and 2021 for Class III directors.</w:t>
      </w:r>
    </w:p>
    <w:p>
      <w:pPr>
        <w:spacing w:after="0" w:line="185"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Class I directors will be Christopher Paige, Scott Requadt and Joshua Resnick;</w:t>
      </w:r>
    </w:p>
    <w:p>
      <w:pPr>
        <w:spacing w:after="0" w:line="252"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Class II directors will be Ian Clark and Annalisa Jenkins; and</w:t>
      </w:r>
    </w:p>
    <w:p>
      <w:pPr>
        <w:spacing w:after="0" w:line="252"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Class III directors will be Bruce Booth, Phillip Donenberg and Geoff MacKay.</w:t>
      </w:r>
    </w:p>
    <w:p>
      <w:pPr>
        <w:spacing w:after="0" w:line="225"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the number of our directors shall be fixed from time to time by a resolution of a majority of our board of directors.</w:t>
      </w:r>
    </w:p>
    <w:p>
      <w:pPr>
        <w:spacing w:after="0" w:line="12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Currently, the positions of chairman of the board and that of Chief Executive Officer are separated. We believe that separating these positions will allow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will be the appropriate leadership structure for us following the completion of this offering.</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risks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adopted by our board of 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Nasdaq and SEC rules and regulations.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Phillip Donenberg, Annalisa Jenkins and Scott Requadt will serve on the audit committee, which will be chaired by Mr. Donenberg. Our board of directors has determined that Dr. Jenkins and Messrs. Donenberg and Requadt are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The audit committee’s responsibilities include:</w:t>
      </w:r>
    </w:p>
    <w:p>
      <w:pPr>
        <w:spacing w:after="0" w:line="94"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800" w:hanging="424"/>
        <w:spacing w:after="0" w:line="308"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Ian Clark, Bruce Booth and Scott Requadt will serve on the compensation committee, which will be chaired by Mr. Clark. Our board of directors has determined that each member of the compensation committee is “independent” as defined in the applicable Nasdaq rules. The compensation committee’s responsibilities include:</w:t>
      </w:r>
    </w:p>
    <w:p>
      <w:pPr>
        <w:spacing w:after="0" w:line="87" w:lineRule="exact"/>
        <w:rPr>
          <w:sz w:val="20"/>
          <w:szCs w:val="20"/>
          <w:color w:val="auto"/>
        </w:rPr>
      </w:pPr>
    </w:p>
    <w:p>
      <w:pPr>
        <w:ind w:left="106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the corporate goals and objectives relevant to the compensation of our Chief Executive Officer;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 recommending to the board of directors (i) determining the cash compensation of our Chief Executive Officer and (ii) grants and awards to our Chief Executive Officer under equity-based plans;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Annalisa Jenkins, Christopher Paige and Joshua Resnick will serve on the nominating and corporate governance committee, which will be chaired by Dr. Jenkins. Our board of directors has determined that each member of the nominating and corporate governance committee is “independent” as defined in the applicable Nasdaq rules. The nominating and corporate governance committee’s responsibilities include:</w:t>
      </w:r>
    </w:p>
    <w:p>
      <w:pPr>
        <w:spacing w:after="0" w:line="71"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adopted, subject to and effective upon the effectiveness of the registration statement of which this prospectus is a part,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investor relations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2017. We refer to these individuals as our 2017 named executive officers. Our 2017 named executive officers are:</w:t>
      </w:r>
    </w:p>
    <w:p>
      <w:pPr>
        <w:spacing w:after="0" w:line="94"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Geoff MacKay,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Katina Dorton, our Chief Financial Officer;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Nerissa Kreher, M.D., our Chief Medical Officer.</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Compensation plans or arrangements that we adopt following the completion of this offering may be materially different from those described in this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2017 named executive officers for services rendered to us in all capacities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Geoff MacKay,</w:t>
            </w:r>
          </w:p>
        </w:tc>
        <w:tc>
          <w:tcPr>
            <w:tcW w:w="16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163,200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601,506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96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15"/>
                <w:szCs w:val="15"/>
                <w:color w:val="auto"/>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113,333</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286,705</w:t>
            </w:r>
          </w:p>
        </w:tc>
        <w:tc>
          <w:tcPr>
            <w:tcW w:w="2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24,856</w:t>
            </w:r>
            <w:r>
              <w:rPr>
                <w:rFonts w:ascii="Arial" w:cs="Arial" w:eastAsia="Arial" w:hAnsi="Arial"/>
                <w:sz w:val="15"/>
                <w:szCs w:val="15"/>
                <w:color w:val="auto"/>
              </w:rPr>
              <w:t>(4)</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462,811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Nerissa Kreher, M.D.,</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336,600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438,915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reflect annual bonuses earned based upon achievement of company and individual performance metrics for the year ended December 31, 2017, but paid in 2018.</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2017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2 to our financial statements and the discussion under “Management’s Discussion and Analysis of Financial Condition and Results of Operations—Critical Accounting Policies and Significant Judgments and Estimates—Stock-based Compensation” included elsewhere in this prospectus. These amounts do not correspond to the actual value that may be recognized by the 2017 named executive officers upon vesting of applicable awards.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Ms. Dorton commenced her employment with us in August 2017. Her annual salary and bonus were prorated to reflect her partial year of service.</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 reflects our reimbursement of travel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the 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2017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2017 named executive officers is currently party to an employment agreement or other agreement or arrangement that provides for automatic or scheduled increases in base salary.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do not have a formal performance-based bonus plan but intend to adopt our Senior Executive Cash Incentive Bonus Plan in connection with this offering. Our employment agreements with our 2017 named executive officers provide that the executive may be eligible to earn an annual performance bonus of up to a target percentage of the executive’s base salary, as described further below under the section entitled “–– Employment Arrangements with our Chief Executive Officer and our 2017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 with our Chief Executive Officer and our 2017 Named Executive Officers</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We have entered into employment agreements with each of our 2017 named executive officers. These agreements set forth the initial terms and conditions of each executive’s employment with us, including base salary, target annual bonus opportunity and standard employee benefit plan participation. In connection with this offering, we have entered into an amended and restated employment agreement with each of Mr. MacKay, Dr. Kreher and Ms. Dorton. The amended and restated employment agreements will be effective as of the closing of this offering.</w:t>
      </w:r>
    </w:p>
    <w:p>
      <w:pPr>
        <w:spacing w:after="0" w:line="17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These existing and new employment agreements provide for “at will” employment. The material terms of the new employment agreements with our 2017 named executive officers are described below. The terms “change of control,” “cause” and “good reason” referred to below are defined in the applicable employment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Geoff MacKay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entered into an employment agreement with Geoff MacKay, our President and Chief Executive Officer, on December 22, 2016. In connection with this offering, we entered into an amended and restated employment agreement with Mr. MacKay, which will become effective as of the closing of this offering. Under the terms of the new employment agreement, Mr. MacKay is entitled to receive an annual base salary of $500,000 and an annual target bonus of 50% of his annual base salary based upon our board of directors’ assessment of Mr. MacKay’s performance and our attainment of targeted goals as set by the board of directors in its sole discretion. Mr. MacKay also previously entered into a Confidentiality and IP Assignment Agreement with us, the terms of which are incorporated into his new employment agreement.</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Mr. MacKay’s new employment agreement provides that, in the event that his employment is terminated by us without “cause” or by Mr. MacKay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7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Under the new employment agreement, in the event of a “change in control” all stock options and other stock-based awards granted to</w:t>
      </w:r>
    </w:p>
    <w:p>
      <w:pPr>
        <w:spacing w:after="0" w:line="23"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Mr. MacKay at least 12 months prior to the effective date of the new employment agreement shall accelerate and become fully exercisable or non-forfeitable immediately prior to the change in control. In addition, in the event that Mr. MacKay is terminated by us without “cause” or by Mr. MacKay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w:t>
      </w:r>
    </w:p>
    <w:p>
      <w:pPr>
        <w:spacing w:after="0" w:line="3" w:lineRule="exact"/>
        <w:rPr>
          <w:sz w:val="20"/>
          <w:szCs w:val="20"/>
          <w:color w:val="auto"/>
        </w:rPr>
      </w:pPr>
    </w:p>
    <w:p>
      <w:pPr>
        <w:jc w:val="both"/>
        <w:ind w:left="200" w:right="140" w:firstLine="4"/>
        <w:spacing w:after="0" w:line="302" w:lineRule="auto"/>
        <w:tabs>
          <w:tab w:leader="none" w:pos="4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reimbursement of COBRA premiums for health benefit coverage, up to an amount equal to the monthly employer contribution that we would have made to provide health insurance to Mr. MacKay had he remained employed with us for up to 18 months. Additionally, all then unvested stock options and other stock-based awards granted to Mr. MacKay will vest and become exercisable or non-forfeitable as of the date of termination.</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Nerissa Kreher, M.D.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entered into an employment agreement with Dr. Nerissa Kreher, our Chief Medical Officer, on November 1, 2016. In connection with this offering, we entered into an amended and restated employment agreement with Dr. Kreher which will become effective as of the closing of this offering. Under the terms of the new employment agreement, Dr. Kreher is entitled to receive an annual base salary of $365,650 and an annual target bonus of 25% of her annual base salary based upon our board of directors’ assessment of Dr. Kreher’s performance and our attainment of targeted goals as set by the board of directors in its sole discretion. Dr. Kreher also previously entered into a Confidentiality and IP Assignment Agreement with us, the terms of which are incorporated into her new employment agreement.</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Dr. Kreher’s new employment agreement provides that, in the event that her employment is terminated by us without “cause” or by Dr. Kreher with “good reason”, subject to the execution and effectiveness of a separation agreement and release, she will be entitled to receive (i) an amount equal to 75% of her base salary, provided that Dr. Kreher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employer contribution that we would have made to provide health insurance to Dr. Kreher had she remained employed with us for up to nine months. Additionally, all stock options and other stock based awards held by Dr. Kreher that would have vested if she had remained employed by us for an additional nine months following the date of termination will vest and become exercisable or non-forfeitable as of the date of termination.</w:t>
      </w:r>
    </w:p>
    <w:p>
      <w:pPr>
        <w:spacing w:after="0" w:line="14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Under the new employment agreement, in the event of a “change in control” all stock options and other stock-based awards granted to Dr. Kreher at least 12 months prior to the effective date of the new employment agreement shall accelerate and become fully exercisable or non-forfeitable immediately prior to the change in control. In addition, in the event that Dr. Kreher is terminated by us without “cause” or by Dr. Kreher for “good reason” within three months prior to or 18 months after a change in control, subject to the execution and effectiveness of a separation agreement and release, she will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Dr. Kreher had she remained employed with us for up to 12 months. Additionally, all then unvested stock options and other stock-based awards granted to Dr. Kreher will vest and become exercisable or non-forfeitable as of the date of termination.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Katina Dorton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entered into an employment agreement with Katina Dorton, our Chief Financial Officer, on July 20, 2017. In connection with this offering, we entered into an amended and restated employment agreement with Ms. Dorton which will become effective as of the closing of this offering. Under the terms of the new employment agreement, Ms. Dorton is entitled to receive an annual base salary of $360,000 and an annual target bonus of 40% of her annual base salary based upon our board of directors’ assessment of Ms. Dorton’s performance and our attainment of targeted goals as set by the board of directors in its sole discretion. Ms. Dorton also previously entered into a Confidentiality and IP Assignment Agreement with us, the terms of which are incorporated into her new employment agreement.</w:t>
      </w:r>
    </w:p>
    <w:p>
      <w:pPr>
        <w:spacing w:after="0" w:line="19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Pursuant to Ms. Dorton’s existing and new employment agreements, Ms. Dorton is entitled to reimbursement of temporary living and travel expenses in connection with traveling to and temporary living in Massachusetts of up to $4,000 per month until the earlier of August 28, 2018 and the sale of her Raleigh, North Carolina residence. Ms. Dorton is also entitled to a one-time relocation payment of up to $100,000, less any reimbursements for temporary living and travel expenses previously paid to her, in connection with the relocation of her primary residence from North Carolina to Massachusetts.</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Ms. Dorton’s new employment agreement provides that, in the event that her employment is terminated by us without “cause” or by Ms. Dorton with “good reason”, subject to the execution and effectiveness of a separation agreement and release, she will be entitled to receive (i) an amount equal to 75% of her base salary, provided that Ms. Dorton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Ms. Dorton had she remained employed with us for up to nine months. Additionally, all stock options and other stock based awards held by Ms. Dorton that would have vested if she had remained employed by us for an additional nine months following the date of termination will vest and become exercisable or non-forfeitable as of the date of termination.</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Under the new employment agreement, in the event of a “change in control” all stock options and other stock-based awards granted to Ms. Dorton at least 12 months prior to the effective date of the new employment agreement shall accelerate and become fully exercisable or non-forfeitable immediately prior to the change in control. In addition, in the event that Ms. Dorton is terminated by us without “cause” or by Ms. Dorton for “good reason” within three months prior to or 18 months after a change in control, subject to the execution and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effectiveness of a separation agreement and release, she will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Ms. Dorton had she remained employed with us for up to 12 months. Additionally, all then unvested stock options and other stock-based awards granted to Ms. Dorton will vest and become exercisable or non-forfeitable as of the date of termination.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outstanding equity awards held by our 2017 named executive officers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All equity awards set forth in the table below were granted under our Amended and Restated 2015 Stock Option and Grant Plan, or 2015 Plan.</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120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2"/>
              </w:rPr>
              <w:t>Shares or</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80" w:type="dxa"/>
            <w:vAlign w:val="bottom"/>
          </w:tcPr>
          <w:p>
            <w:pPr>
              <w:spacing w:after="0"/>
              <w:rPr>
                <w:sz w:val="12"/>
                <w:szCs w:val="12"/>
                <w:color w:val="auto"/>
              </w:rPr>
            </w:pPr>
          </w:p>
        </w:tc>
        <w:tc>
          <w:tcPr>
            <w:tcW w:w="120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00" w:type="dxa"/>
            <w:vAlign w:val="bottom"/>
            <w:gridSpan w:val="2"/>
          </w:tcPr>
          <w:p>
            <w:pPr>
              <w:jc w:val="center"/>
              <w:ind w:left="1259"/>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4"/>
              </w:rPr>
              <w:t>Stock that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1"/>
              </w:rPr>
              <w:t>Options (#)</w:t>
            </w: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380" w:type="dxa"/>
            <w:vAlign w:val="bottom"/>
          </w:tcPr>
          <w:p>
            <w:pPr>
              <w:spacing w:after="0"/>
              <w:rPr>
                <w:sz w:val="12"/>
                <w:szCs w:val="12"/>
                <w:color w:val="auto"/>
              </w:rPr>
            </w:pPr>
          </w:p>
        </w:tc>
        <w:tc>
          <w:tcPr>
            <w:tcW w:w="102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1"/>
        </w:trPr>
        <w:tc>
          <w:tcPr>
            <w:tcW w:w="290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6"/>
                <w:szCs w:val="16"/>
                <w:color w:val="auto"/>
              </w:rPr>
            </w:pPr>
          </w:p>
        </w:tc>
        <w:tc>
          <w:tcPr>
            <w:tcW w:w="1020" w:type="dxa"/>
            <w:vAlign w:val="bottom"/>
            <w:gridSpan w:val="2"/>
          </w:tcPr>
          <w:p>
            <w:pPr>
              <w:jc w:val="center"/>
              <w:ind w:right="303"/>
              <w:spacing w:after="0"/>
              <w:rPr>
                <w:sz w:val="20"/>
                <w:szCs w:val="20"/>
                <w:color w:val="auto"/>
              </w:rPr>
            </w:pPr>
            <w:r>
              <w:rPr>
                <w:rFonts w:ascii="Arial" w:cs="Arial" w:eastAsia="Arial" w:hAnsi="Arial"/>
                <w:sz w:val="14"/>
                <w:szCs w:val="14"/>
                <w:b w:val="1"/>
                <w:bCs w:val="1"/>
                <w:color w:val="auto"/>
                <w:w w:val="89"/>
              </w:rPr>
              <w:t>Vested (#)</w:t>
            </w:r>
          </w:p>
        </w:tc>
        <w:tc>
          <w:tcPr>
            <w:tcW w:w="1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2"/>
              </w:rPr>
              <w:t>Geoff</w:t>
            </w:r>
          </w:p>
        </w:tc>
        <w:tc>
          <w:tcPr>
            <w:tcW w:w="254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MacKay</w:t>
            </w:r>
          </w:p>
        </w:tc>
        <w:tc>
          <w:tcPr>
            <w:tcW w:w="1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75,629</w:t>
            </w: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166,384</w:t>
            </w:r>
          </w:p>
        </w:tc>
        <w:tc>
          <w:tcPr>
            <w:tcW w:w="340" w:type="dxa"/>
            <w:vAlign w:val="bottom"/>
            <w:tcBorders>
              <w:top w:val="single" w:sz="8" w:color="CCEEFF"/>
            </w:tcBorders>
            <w:shd w:val="clear" w:color="auto" w:fill="CCEEFF"/>
          </w:tcPr>
          <w:p>
            <w:pPr>
              <w:jc w:val="right"/>
              <w:ind w:right="103"/>
              <w:spacing w:after="0" w:line="155" w:lineRule="exact"/>
              <w:rPr>
                <w:sz w:val="20"/>
                <w:szCs w:val="20"/>
                <w:color w:val="auto"/>
              </w:rPr>
            </w:pPr>
            <w:r>
              <w:rPr>
                <w:rFonts w:ascii="Arial" w:cs="Arial" w:eastAsia="Arial" w:hAnsi="Arial"/>
                <w:sz w:val="15"/>
                <w:szCs w:val="15"/>
                <w:color w:val="auto"/>
                <w:w w:val="76"/>
              </w:rPr>
              <w:t>(1)</w:t>
            </w: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0.41</w:t>
            </w:r>
          </w:p>
        </w:tc>
        <w:tc>
          <w:tcPr>
            <w:tcW w:w="3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4/12/2026</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87"/>
              </w:rPr>
              <w:t>72,604</w:t>
            </w:r>
          </w:p>
        </w:tc>
        <w:tc>
          <w:tcPr>
            <w:tcW w:w="360" w:type="dxa"/>
            <w:vAlign w:val="bottom"/>
            <w:tcBorders>
              <w:top w:val="single" w:sz="8" w:color="CCEEFF"/>
            </w:tcBorders>
            <w:shd w:val="clear" w:color="auto" w:fill="CCEEFF"/>
          </w:tcPr>
          <w:p>
            <w:pPr>
              <w:jc w:val="right"/>
              <w:ind w:right="103"/>
              <w:spacing w:after="0" w:line="155" w:lineRule="exact"/>
              <w:rPr>
                <w:sz w:val="20"/>
                <w:szCs w:val="20"/>
                <w:color w:val="auto"/>
              </w:rPr>
            </w:pPr>
            <w:r>
              <w:rPr>
                <w:rFonts w:ascii="Arial" w:cs="Arial" w:eastAsia="Arial" w:hAnsi="Arial"/>
                <w:sz w:val="15"/>
                <w:szCs w:val="15"/>
                <w:color w:val="auto"/>
                <w:w w:val="87"/>
              </w:rPr>
              <w:t>(4)</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60"/>
              <w:spacing w:after="0" w:line="189" w:lineRule="exact"/>
              <w:rPr>
                <w:sz w:val="20"/>
                <w:szCs w:val="20"/>
                <w:color w:val="auto"/>
              </w:rPr>
            </w:pPr>
            <w:r>
              <w:rPr>
                <w:rFonts w:ascii="Arial" w:cs="Arial" w:eastAsia="Arial" w:hAnsi="Arial"/>
                <w:sz w:val="18"/>
                <w:szCs w:val="18"/>
                <w:color w:val="auto"/>
                <w:w w:val="89"/>
              </w:rPr>
              <w:t>296,950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03"/>
              <w:spacing w:after="0"/>
              <w:rPr>
                <w:sz w:val="20"/>
                <w:szCs w:val="20"/>
                <w:color w:val="auto"/>
              </w:rPr>
            </w:pPr>
            <w:r>
              <w:rPr>
                <w:rFonts w:ascii="Arial" w:cs="Arial" w:eastAsia="Arial" w:hAnsi="Arial"/>
                <w:sz w:val="18"/>
                <w:szCs w:val="18"/>
                <w:color w:val="auto"/>
              </w:rPr>
              <w:t>45,999</w:t>
            </w:r>
            <w:r>
              <w:rPr>
                <w:rFonts w:ascii="Arial" w:cs="Arial" w:eastAsia="Arial" w:hAnsi="Arial"/>
                <w:sz w:val="15"/>
                <w:szCs w:val="15"/>
                <w:color w:val="auto"/>
              </w:rPr>
              <w:t>(2)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6/12/2027</w:t>
            </w:r>
          </w:p>
        </w:tc>
        <w:tc>
          <w:tcPr>
            <w:tcW w:w="38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158,318</w:t>
            </w:r>
            <w:r>
              <w:rPr>
                <w:rFonts w:ascii="Arial" w:cs="Arial" w:eastAsia="Arial" w:hAnsi="Arial"/>
                <w:sz w:val="15"/>
                <w:szCs w:val="15"/>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Nerissa Kreher, M.D.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25,058</w:t>
            </w:r>
          </w:p>
        </w:tc>
        <w:tc>
          <w:tcPr>
            <w:tcW w:w="1580" w:type="dxa"/>
            <w:vAlign w:val="bottom"/>
            <w:gridSpan w:val="3"/>
          </w:tcPr>
          <w:p>
            <w:pPr>
              <w:jc w:val="right"/>
              <w:ind w:right="103"/>
              <w:spacing w:after="0"/>
              <w:rPr>
                <w:sz w:val="20"/>
                <w:szCs w:val="20"/>
                <w:color w:val="auto"/>
              </w:rPr>
            </w:pPr>
            <w:r>
              <w:rPr>
                <w:rFonts w:ascii="Arial" w:cs="Arial" w:eastAsia="Arial" w:hAnsi="Arial"/>
                <w:sz w:val="18"/>
                <w:szCs w:val="18"/>
                <w:color w:val="auto"/>
              </w:rPr>
              <w:t>60,856</w:t>
            </w:r>
            <w:r>
              <w:rPr>
                <w:rFonts w:ascii="Arial" w:cs="Arial" w:eastAsia="Arial" w:hAnsi="Arial"/>
                <w:sz w:val="15"/>
                <w:szCs w:val="15"/>
                <w:color w:val="auto"/>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10/24/2026</w:t>
            </w:r>
          </w:p>
        </w:tc>
        <w:tc>
          <w:tcPr>
            <w:tcW w:w="38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27,571</w:t>
            </w:r>
            <w:r>
              <w:rPr>
                <w:rFonts w:ascii="Arial" w:cs="Arial" w:eastAsia="Arial" w:hAnsi="Arial"/>
                <w:sz w:val="15"/>
                <w:szCs w:val="15"/>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20" w:hanging="436"/>
        <w:spacing w:after="0" w:line="274"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w:t>
      </w:r>
    </w:p>
    <w:p>
      <w:pPr>
        <w:jc w:val="both"/>
        <w:ind w:left="640" w:right="14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 on the first anniversary of the grant date and the remainder vest in equal monthly installments until the option is fully vested on the fourth anniversary of the grant date, subject to the continued employment of the executive officer.</w:t>
      </w:r>
    </w:p>
    <w:p>
      <w:pPr>
        <w:spacing w:after="0" w:line="1" w:lineRule="exact"/>
        <w:rPr>
          <w:rFonts w:ascii="Arial" w:cs="Arial" w:eastAsia="Arial" w:hAnsi="Arial"/>
          <w:sz w:val="18"/>
          <w:szCs w:val="18"/>
          <w:color w:val="auto"/>
        </w:rPr>
      </w:pPr>
    </w:p>
    <w:p>
      <w:pPr>
        <w:ind w:left="640" w:right="400" w:hanging="436"/>
        <w:spacing w:after="0" w:line="265"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right="40" w:hanging="436"/>
        <w:spacing w:after="0" w:line="265"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On November 27, 2015, Mr. MacKay transferred his ownership of 72,604 shares to each of his two children, 36,302 shares subject to each transfer remain unvested and subject to vesting as of December 31, 2017, based on Mr. MacKay’s continued service to our company.</w:t>
      </w:r>
    </w:p>
    <w:p>
      <w:pPr>
        <w:ind w:left="640" w:right="160" w:hanging="436"/>
        <w:spacing w:after="0" w:line="323"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There was no public market for our common stock as of December 31, 2017. This column represents the value of the shares of restricted stock as of December 31, 2017, based on the fair market value of our common stock as of December 31, 2017, which was $4.09 per share.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2015 Plan, was approved by our board of directors and our stockholders on July 21, 2016. The 2015 Plan was most recently amended in January 2018 with the approval of both our board of directors and our stockholders. Under the 2015 Plan, we have reserved for issuance an aggregate of 2,008,564 shares of our common stock. The number of shares of common stock reserved for issuance is subject to adjustment in the event of any merger, consolidation, sale of all or substantially all of our assets, reorganization, recapitalization, reclassification, stock dividend, stock split, reverse stock split or other similar transaction.</w:t>
      </w:r>
    </w:p>
    <w:p>
      <w:pPr>
        <w:spacing w:after="0" w:line="188"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added back to the shares of common stock available for issuance under the 2015 Plan.</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board of directors has acted as administrator of the 2015 Plan. The administrator has full power to select, from among the individuals eligible for awards, the individuals to whom awards will be granted, and to determine the specific terms and conditions of each award, subject to the provisions of the 2015 Plan. Persons eligible to participate in the 2015 Plan are those employees, officers and directors of, and consultants and advisors to, our company as selected from time to time by the administrator in its discretion.</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2015 Plan permits the granting of (1) options to purchase common stock intended to qualify as incentive stock options under Section 422 of the Internal Revenue Code of 1986, as amended, or the Code and (2) options that do not so qualify. The per share option exercise price of each option will be determined by the administrator but may not be less than 100% of the fair market value of the common stock on the date of grant. The term of each option will be fixed by the administrator. The administrator will determine at what time or times each option may be exercised. In addition, the 2015 Plan permits the granting of restricted shares of common stock, unrestricted shares of common stock, and restricted stock units.</w:t>
      </w:r>
    </w:p>
    <w:p>
      <w:pPr>
        <w:spacing w:after="0" w:line="15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2015 Plan provides that upon the occurrence of a “sale event,” as defined in the 2015 Plan, our board of directors may take one or more of the following actions as to some or all awards outstanding under the 2015 Plan: (i) provide that outstanding options awards will be assumed or substituted by the acquiring or successor corporation, (ii) provide that all unexercised options will terminate immediately prior to the consummation of the sale event unless exercised by the optionee (to the extent exercisable) within a specified period prior to the consummation of the sale event, (iii) make or provide for a cash payment to the optionees equal to the difference between the per share cash consideration in the sale event and the per share exercise price of the outstanding award, (iv) provide that all restricted stock and unvested restricted stock unit awards (other than those becoming vested as a result of the sale event) will be assumed or substituted by the acquiring or successor corporation (v) provide that all restricted stock and unvested restricted stock unit awards (other than those becoming vested as a result of the sale event) will terminate immediately prior to the effective time of any sale event unless repurchased at a price per share equal to the lower of the original per share purchase price paid by the holder (subject to adjustment) or the current fair market value of such shares, determined immediately prior to the effective time of the sale event, (vi) make or provide for a cash payment to the holders of restricted stock or restricted stock unit awards in an amount equal to the consideration payable per share of stock pursuant to the sale event times the number of shares subject to such award. We may also make or provide for a cash payment to participants holding options in an amount equal to the difference between the per share cash consideration payable to stockholders in the sale event and the exercise price of the options (to the extent then exercisable).</w:t>
      </w:r>
    </w:p>
    <w:p>
      <w:pPr>
        <w:spacing w:after="0" w:line="18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administrator may amend or discontinue the 2015 Plan at any time, subject to stockholder approval where such approval is required by applicable law. The administrator of the 2015 Plan may also amend or cancel any outstanding award, provided that no amendment to an award may adversely affect a participant’s rights without his or her consent.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2015 Plan will terminate automatically upon the earlier of 10 years from the date on which the 2015 Plan was adopted by our board of directors or 10 years from the date the 2015 Plan is approved by the Company’s stockholders. As of March 31, 2018, options to purchase 1,788,750 shares of common stock were outstanding under the 2015 Plan. Our board of directors has determined not to make any further awards under the 2015 Plan following the pricing of this offering.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2018 Stock Option and Incentive Plan, or the 2018 Plan, was adopted by our board of directors on June 1, 2018 and approved by our stockholders on June 7, 2018 and will become effective upon the effectiveness of the registration statement of which this prospectus is part. The 2018 Plan will replace the 2015 Plan as our board of directors has determined not to make additional awards under the 2015 Plan following the pricing of our initial public offering. The 2018 Plan allows the compensation committee to make equity-based and cash-based incentive awards to our officers, employees, directors and other key persons (including consultants).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initially reserved 616,300 shares of our common stock, or the Initial Limit,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shares we issue under the 2018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2018 Plan and the 2015 Plan will be added back to the shares of common stock available for issuance under the 2018 Plan.</w:t>
      </w:r>
    </w:p>
    <w:p>
      <w:pPr>
        <w:spacing w:after="0" w:line="17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maximum aggregate number of shares that may be issued in the form of incentive stock options shall not exceed the Initial Limit cumulatively increased on January 1, 2019 and on each January 1 thereafter by the lesser of the Annual Increase for such year or 1,785,100 shares of common stock.</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2018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2018 Plan. Persons eligible to participate in the 2018 Plan will be those full or part-time officers, employees, non-employee directors and other key persons (including consultants) as selected from time to time by our compensation committee in its discretion.</w:t>
      </w:r>
    </w:p>
    <w:p>
      <w:pPr>
        <w:spacing w:after="0" w:line="188"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2018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2018 Plan. Unrestricted stock may be granted to participants in recognition of past services or other valid consideration and may be issued in lieu of cash compensation due to such participant. Our compensation committee may grant cash bonuses under the 2018 Plan to participants, subject to the achievement of certain performance goals.</w:t>
      </w:r>
    </w:p>
    <w:p>
      <w:pPr>
        <w:spacing w:after="0" w:line="17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Our compensation committee may grant awards that vest or become payable upon the attainment of performance goals that are established by our compensation committee and related to one or more performance criteria. The performance criteria that could be used with respect to any such awards include: achievement of specified research and development, publication, clinical and/or regulatory milestones, earnings before interest, taxes, depreciation and amortization, net income (loss) (either before or after interest, taxes, depreciation and/or amortization), changes in the market price of our common stock, economic value added, funds from operations or similar measures,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2018 Plan provides that in the case of, and subject to, the consummation of a “sale event” as defined in the 2018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2018 Plan and all awards will automatically terminate. In the event of such termination,</w:t>
      </w:r>
    </w:p>
    <w:p>
      <w:pPr>
        <w:spacing w:after="0" w:line="5" w:lineRule="exact"/>
        <w:rPr>
          <w:sz w:val="20"/>
          <w:szCs w:val="20"/>
          <w:color w:val="auto"/>
        </w:rPr>
      </w:pPr>
    </w:p>
    <w:p>
      <w:pPr>
        <w:ind w:left="200" w:right="200" w:firstLine="4"/>
        <w:spacing w:after="0" w:line="254" w:lineRule="auto"/>
        <w:tabs>
          <w:tab w:leader="none" w:pos="4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individuals holding options and stock appreciation rights will be permitted to exercise such options and stock appreciation rights (to the extent exercisable) prior to the sale event; or (ii) we may make or provide for a cash payment to participants holding options and stock appreciation rights equal to the difference between the per share cash consideration payable to stockholders in the sale event and the exercise price of the options or stock appreciation rights (to the extent then exercisable).</w:t>
      </w:r>
    </w:p>
    <w:p>
      <w:pPr>
        <w:spacing w:after="0" w:line="19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board of directors may amend or discontinue the 2018 Plan and our compensation committee may amend the exercise price of options and amend or cancel outstanding awards for purposes of satisfying changes in law or any other lawful purpose but no such action may adversely affect rights under an award without the holder’s consent. Certain amendments to the 2018 Plan require the approval of our stockholders. No awards may be granted under the 2018 Plan after the date that is 10 years from the date of stockholder approval. Our board of directors has approved the grant of stock options to purchase 75,613 shares of common stock under the 2018 Plan, effective as of the effectiveness of the 2018 Plan.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2018 Employee Stock Purchase Plan, or the ESPP, was adopted by our board of directors on June 1, 2018 and approved by our stockholders on June 7, 2018 and will become effective upon the effectiveness of the registration statement of which this prospectus is part.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on January 1, 2019 and each January 1 thereafter through January 1, 2028, by the least of (i) 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All employees who have completed at least three months of employment and whose customary employment is for more than 20 hours per week are eligible to participate in the ESPP. However, any employee who owns 5% or more of the total combined voting power or value of all classes of stock is not eligible to purchase shares under the ESPP.</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will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of up to 10%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 business day of the offering period, whichever is lower. Under applicable tax rules, an employee may purchase no more than $25,000 worth of shares of common stock, valued at the start of the purchase period, under the ESPP in any calendar year.</w:t>
      </w:r>
    </w:p>
    <w:p>
      <w:pPr>
        <w:spacing w:after="0" w:line="158"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common stock authorized under the ESPP and certain other amendments require the approval of our stockholders.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June 1, 2018,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Our compensation committee may select corporate performance goals from among the following: achievement of specified research and development, publication, clinical and/or regulatory milestones, adjusted billings,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in absolute terms, as compared to any incremental increase, in terms of growth, or as compared to results of a peer group.</w:t>
      </w:r>
    </w:p>
    <w:p>
      <w:pPr>
        <w:spacing w:after="0" w:line="17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our board of directors.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2017. Other than as set forth in the table and described more fully below, we did not pay any compensation, make any equity awards or non-equity awards to, or pay any other compensation to any of the non-employee members of our board of directors in 2017. We reimburse non-employee members of our board of directors for reasonable travel expenses. Mr. MacKay, our President and Chief Executive Officer, did not receive any compensation for his service as a member of our board of directors in 2017. Mr. MacKay’s compensation for service as an employee for fiscal year 2017 is presented in “Executive Compensation—2017 Summary Compensation Table.”</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9"/>
              </w:rPr>
              <w:t>FEES EARNED OR</w:t>
            </w:r>
          </w:p>
        </w:tc>
        <w:tc>
          <w:tcPr>
            <w:tcW w:w="26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 IN CASH</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3"/>
              </w:rPr>
              <w:t>($)</w:t>
            </w:r>
          </w:p>
        </w:tc>
        <w:tc>
          <w:tcPr>
            <w:tcW w:w="1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Bruce</w:t>
            </w:r>
          </w:p>
        </w:tc>
        <w:tc>
          <w:tcPr>
            <w:tcW w:w="36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Booth, D.Phil.</w:t>
            </w:r>
          </w:p>
        </w:tc>
        <w:tc>
          <w:tcPr>
            <w:tcW w:w="2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176,624</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189,124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Joshua Resnick, M.D.</w:t>
            </w:r>
          </w:p>
        </w:tc>
        <w:tc>
          <w:tcPr>
            <w:tcW w:w="2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Requadt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342"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Pursuant to a letter agreement with us, Mr. Clark is paid an annual cash retainer of $50,000 for his service on the board of directors. As of December 31, 2017, Mr. Clark held an option to purchase 48,740 shares of our common stock, no portion of which was vested as of such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board of directors has adopted a non-employee director compensation policy, effective upon effectiveness of the registration statement of which this prospectus forms a part, that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60" w:type="dxa"/>
            <w:vAlign w:val="bottom"/>
            <w:gridSpan w:val="2"/>
          </w:tcPr>
          <w:p>
            <w:pPr>
              <w:jc w:val="center"/>
              <w:ind w:left="2317"/>
              <w:spacing w:after="0" w:line="149" w:lineRule="exact"/>
              <w:rPr>
                <w:sz w:val="20"/>
                <w:szCs w:val="20"/>
                <w:color w:val="auto"/>
              </w:rPr>
            </w:pPr>
            <w:r>
              <w:rPr>
                <w:rFonts w:ascii="Arial" w:cs="Arial" w:eastAsia="Arial" w:hAnsi="Arial"/>
                <w:sz w:val="14"/>
                <w:szCs w:val="14"/>
                <w:b w:val="1"/>
                <w:bCs w:val="1"/>
                <w:color w:val="auto"/>
              </w:rPr>
              <w:t>CHAIRMAN</w:t>
            </w:r>
          </w:p>
        </w:tc>
        <w:tc>
          <w:tcPr>
            <w:tcW w:w="1680" w:type="dxa"/>
            <w:vAlign w:val="bottom"/>
            <w:gridSpan w:val="3"/>
            <w:vMerge w:val="restart"/>
          </w:tcPr>
          <w:p>
            <w:pPr>
              <w:jc w:val="center"/>
              <w:ind w:left="637"/>
              <w:spacing w:after="0"/>
              <w:rPr>
                <w:sz w:val="20"/>
                <w:szCs w:val="20"/>
                <w:color w:val="auto"/>
              </w:rPr>
            </w:pPr>
            <w:r>
              <w:rPr>
                <w:rFonts w:ascii="Arial" w:cs="Arial" w:eastAsia="Arial" w:hAnsi="Arial"/>
                <w:sz w:val="14"/>
                <w:szCs w:val="14"/>
                <w:b w:val="1"/>
                <w:bCs w:val="1"/>
                <w:color w:val="auto"/>
              </w:rPr>
              <w:t>CHAIRMAN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MEMBER</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ANNUAL</w:t>
            </w:r>
          </w:p>
        </w:tc>
        <w:tc>
          <w:tcPr>
            <w:tcW w:w="8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FEE</w:t>
            </w:r>
          </w:p>
        </w:tc>
        <w:tc>
          <w:tcPr>
            <w:tcW w:w="8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60" w:type="dxa"/>
            <w:vAlign w:val="bottom"/>
            <w:gridSpan w:val="2"/>
          </w:tcPr>
          <w:p>
            <w:pPr>
              <w:jc w:val="center"/>
              <w:ind w:left="2337"/>
              <w:spacing w:after="0"/>
              <w:rPr>
                <w:sz w:val="20"/>
                <w:szCs w:val="20"/>
                <w:color w:val="auto"/>
              </w:rPr>
            </w:pPr>
            <w:r>
              <w:rPr>
                <w:rFonts w:ascii="Arial" w:cs="Arial" w:eastAsia="Arial" w:hAnsi="Arial"/>
                <w:sz w:val="14"/>
                <w:szCs w:val="14"/>
                <w:b w:val="1"/>
                <w:bCs w:val="1"/>
                <w:color w:val="auto"/>
                <w:w w:val="93"/>
              </w:rPr>
              <w:t>($)</w:t>
            </w:r>
          </w:p>
        </w:tc>
        <w:tc>
          <w:tcPr>
            <w:tcW w:w="1620" w:type="dxa"/>
            <w:vAlign w:val="bottom"/>
            <w:gridSpan w:val="2"/>
          </w:tcPr>
          <w:p>
            <w:pPr>
              <w:jc w:val="center"/>
              <w:ind w:left="697"/>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Audit Committee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In addition, each non-employee director serving on our board of directors upon the effectiveness of the registration statement of which this prospectus is a part and each non-employee director thereafter first elected or appointed to our board of directors will be granted 18,743 on the date of such effectiveness or of such director’s election or appointment to the board of directors, as applicable, which will vest in equal monthly installments over a three year period, subject to the director’s continued service through such vesting date(s). On the date of each annual meeting of stockholders of our company, each non-employee director will be granted 9,371, which will vest in full upon the earlier to occur of the first anniversary of the date of grant or the date of our following annual meeting of stockholders, subject to continued service as a director through such vesting date.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prospectus and the transactions described below, since November 17, 2015 (date of inception),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2016 and 2017, we paid $736,000 and $151,000 to UHN under this agreement, respectively. Pursuant to this agreement, UHN also purchased 1,161,665 shares of our common stock for an aggregate purchase price of $480.00 under a stock purchase agreement. Under the terms of the stock purchase agreement, we are obligated to pay to UHN five percent of the proceeds from this offering, up to a cap of $2 million, upon the closing of this offering.</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the years ended December 31, 2016 and 2017, we paid $87,000 and $16,000 to UHN in connection with this agreement, respectively, which consisted of our license option fee, the upfront fee and maintenance fees. See “Business—License Agreements—Exclusive License Agreement with University Health Network” for further information regarding the 2016 Fabry license agreement with UHN. In connection with this agreement, we 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July 2017. The March 2017 agreement was amended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At the time we entered into each of the above agreements with UHN,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Seed Preferred Stock Financing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at a purchase price of $0.45 per share. The following table summarizes purchases of our Series Seed preferred stock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SERIES SEED</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$1,499,999.85</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77"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SERIES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12,580,199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9,999,999.53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160" w:hanging="436"/>
        <w:spacing w:after="0" w:line="261"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 9,122,809 shares of Series A preferred stock held by SV Life Sciences Fund VI, L.P. and (2) 312,341 shares of Series A preferred stock held by SV Life Sciences Fund VI, Strategic Partners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PREFERRED</w:t>
            </w:r>
          </w:p>
        </w:tc>
        <w:tc>
          <w:tcPr>
            <w:tcW w:w="5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3,740,239</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7,999,997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1,870,119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(6)(7)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28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640" w:right="18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Citadel Multi-Strategy Equities Master Fund Ltd is a holder of five percent or more of our capital stock</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Cormorant Private Healthcare Fund I, LP is a holder of five percent or more of our capital stock</w:t>
      </w:r>
    </w:p>
    <w:p>
      <w:pPr>
        <w:spacing w:after="0" w:line="9" w:lineRule="exact"/>
        <w:rPr>
          <w:rFonts w:ascii="Arial" w:cs="Arial" w:eastAsia="Arial" w:hAnsi="Arial"/>
          <w:sz w:val="18"/>
          <w:szCs w:val="18"/>
          <w:color w:val="auto"/>
        </w:rPr>
      </w:pPr>
    </w:p>
    <w:p>
      <w:pPr>
        <w:ind w:left="640" w:right="120" w:hanging="436"/>
        <w:spacing w:after="0" w:line="323"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and Operational Services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Following the Series Seed preferred stock investment in our company by Atlas Venture X, L.P., or Atlas Venture, we were provided with certain services related to strategic and ordinary course business operations in connection with the incubation of our company during its early stages, including the use of office space provided by the management company for Atlas Venture. During the years ended December 31, 2016 and 2017, we paid to such management company fees in the amount of approximately $78,000 and $15,000, respectively. None of these fees were paid directly or indirectly to Bruce Booth, the chairman of our board of directors and a partner at Atlas Venture. In addition, the fees paid to such management company did not exceed 5% of the consolidated gross revenue of Atlas Venture during any of these fiscal years. Atlas Venture X, L.P. is a beneficial owner of more than 5% of our voting securities.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this Offering</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connection with this offering, we intend to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connection with this offering, we have adopted a written related party transactions policy that such transactions must be approved by our audit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committee. This policy will become effective on the date on which the registration statement of which this prospectus is part is declared effective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 Pursuant to this policy, the audit committee has the primary responsibility for reviewing and approving or disapproving “related party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which are transactions between us and related persons in which the aggregate amount involved exceeds or may be expected to exceed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$120,000 and in which a related person has or will have a direct or indirect material interest. For purposes of this policy, a related person will be defined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director, executive officer, nominee for director, or greater than 5% beneficial owner of our common stock, in each case since the beginning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most recently completed year, and their immediate family members.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June 1, 2018,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five percent of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 and director nominees;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and includes securities that the individual or entity has the right to acquire, such as through the exercise of stock options, within 60 days of June 1, 2018.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table below does not give effect to the potential purchases by such stockholders in this offering.</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percentage of beneficial ownership prior to this offering in the table below is based on 17,901,687 shares of common stock deemed to be outstanding as of June 1, 2018, assuming the conversion of all outstanding shares of our preferred stock upon the closing of this offering into an aggregate of 15,320,213 shares of common stock upon the completion of this offering, and the percentage of beneficial ownership at this offering in the table below is based on 22,313,687 shares of common stock assumed to be outstanding after the closing of the offering. The information in the table below assumes no exercise of the underwriters’ option to purchase additional shares.</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AVROBIO, Inc., One Kendall Square, Building 300, Suite 201, Cambridge, MA 02139.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92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BENEFICIALLY OWNED</w:t>
            </w:r>
          </w:p>
        </w:tc>
        <w:tc>
          <w:tcPr>
            <w:tcW w:w="760" w:type="dxa"/>
            <w:vAlign w:val="bottom"/>
          </w:tcPr>
          <w:p>
            <w:pPr>
              <w:spacing w:after="0"/>
              <w:rPr>
                <w:sz w:val="10"/>
                <w:szCs w:val="10"/>
                <w:color w:val="auto"/>
              </w:rPr>
            </w:pPr>
          </w:p>
        </w:tc>
        <w:tc>
          <w:tcPr>
            <w:tcW w:w="920" w:type="dxa"/>
            <w:vAlign w:val="bottom"/>
            <w:tcBorders>
              <w:top w:val="single" w:sz="8" w:color="auto"/>
            </w:tcBorders>
          </w:tcPr>
          <w:p>
            <w:pPr>
              <w:jc w:val="right"/>
              <w:ind w:right="162"/>
              <w:spacing w:after="0" w:line="119" w:lineRule="exact"/>
              <w:rPr>
                <w:sz w:val="20"/>
                <w:szCs w:val="20"/>
                <w:color w:val="auto"/>
              </w:rPr>
            </w:pPr>
            <w:r>
              <w:rPr>
                <w:rFonts w:ascii="Arial" w:cs="Arial" w:eastAsia="Arial" w:hAnsi="Arial"/>
                <w:sz w:val="13"/>
                <w:szCs w:val="13"/>
                <w:b w:val="1"/>
                <w:bCs w:val="1"/>
                <w:color w:val="auto"/>
              </w:rPr>
              <w:t>BEFORE</w:t>
            </w:r>
          </w:p>
        </w:tc>
        <w:tc>
          <w:tcPr>
            <w:tcW w:w="1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72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OFFERING</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4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4,756,478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(2)</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2,962,325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2,736,027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1,357,783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Affiliates of Cormorant</w:t>
            </w:r>
            <w:r>
              <w:rPr>
                <w:rFonts w:ascii="Arial" w:cs="Arial" w:eastAsia="Arial" w:hAnsi="Arial"/>
                <w:sz w:val="15"/>
                <w:szCs w:val="15"/>
                <w:color w:val="auto"/>
              </w:rPr>
              <w:t>(5)</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1,357,781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(6)</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687,069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Katina Dorton</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(7)</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45,054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Bruce Booth, D.Phil.</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151</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280" w:type="dxa"/>
            <w:vAlign w:val="bottom"/>
            <w:gridSpan w:val="2"/>
          </w:tcPr>
          <w:p>
            <w:pPr>
              <w:jc w:val="center"/>
              <w:ind w:left="518"/>
              <w:spacing w:after="0" w:line="119" w:lineRule="exact"/>
              <w:rPr>
                <w:sz w:val="20"/>
                <w:szCs w:val="20"/>
                <w:color w:val="auto"/>
              </w:rPr>
            </w:pPr>
            <w:r>
              <w:rPr>
                <w:rFonts w:ascii="Arial" w:cs="Arial" w:eastAsia="Arial" w:hAnsi="Arial"/>
                <w:sz w:val="13"/>
                <w:szCs w:val="13"/>
                <w:b w:val="1"/>
                <w:bCs w:val="1"/>
                <w:color w:val="auto"/>
              </w:rPr>
              <w:t>BENEFICIALLY OWNED</w:t>
            </w:r>
          </w:p>
        </w:tc>
        <w:tc>
          <w:tcPr>
            <w:tcW w:w="80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BEFORE</w:t>
            </w:r>
          </w:p>
        </w:tc>
        <w:tc>
          <w:tcPr>
            <w:tcW w:w="7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2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OFFERING</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Ian T. Clark</w:t>
            </w:r>
          </w:p>
        </w:tc>
        <w:tc>
          <w:tcPr>
            <w:tcW w:w="20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Annalisa Jenkins, M.B.B.S., F.R.C.P.</w:t>
            </w:r>
          </w:p>
        </w:tc>
        <w:tc>
          <w:tcPr>
            <w:tcW w:w="6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Christopher Paige, Ph.D.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287,512</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Scott G. Requadt</w:t>
            </w:r>
          </w:p>
        </w:tc>
        <w:tc>
          <w:tcPr>
            <w:tcW w:w="6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Resnick, M.D.</w:t>
            </w: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Director Nominee</w:t>
            </w:r>
          </w:p>
        </w:tc>
        <w:tc>
          <w:tcPr>
            <w:tcW w:w="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Phillip Donenberg</w:t>
            </w: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All executive officers, directors and the director nominee as a</w:t>
            </w:r>
          </w:p>
        </w:tc>
        <w:tc>
          <w:tcPr>
            <w:tcW w:w="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group (10 persons) </w:t>
            </w:r>
            <w:r>
              <w:rPr>
                <w:rFonts w:ascii="Arial" w:cs="Arial" w:eastAsia="Arial" w:hAnsi="Arial"/>
                <w:sz w:val="15"/>
                <w:szCs w:val="15"/>
                <w:b w:val="1"/>
                <w:bCs w:val="1"/>
                <w:color w:val="auto"/>
              </w:rPr>
              <w:t>(8)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1,019,635</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5.64%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180" w:hanging="436"/>
        <w:spacing w:after="0" w:line="281" w:lineRule="auto"/>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806,711 shares of common stock issuable upon conversion of Series Seed preferred stock, (ii) 3,044,578 shares of common stock issuable upon conversion of Series A preferred stock and (iii) 905,189 shares of common stock issuable upon conversion of Series B preferred stock. All shares are held directly by Atlas Venture Fund X, L.P., or Atlas Venture X. Atlas Venture Associates X, L.P., or AVA X LP, is the general partner of Atlas Venture X, and Atlas Venture Associates X, LLC, or AVA X LLC, is the general partner of AVA X LP. Bruce Booth is a member of AVA X LLC and a member of our board of directors. Dr. Booth disclaims beneficial ownership of such shares, except to the extent of his proportionate pecuniary interest therein, if any. The address for Atlas Venture X is 25 First Street, Suite 303, Cambridge, MA 02141.</w:t>
      </w:r>
    </w:p>
    <w:p>
      <w:pPr>
        <w:spacing w:after="0" w:line="4" w:lineRule="exact"/>
        <w:rPr>
          <w:rFonts w:ascii="Arial" w:cs="Arial" w:eastAsia="Arial" w:hAnsi="Arial"/>
          <w:sz w:val="16"/>
          <w:szCs w:val="16"/>
          <w:color w:val="auto"/>
        </w:rPr>
      </w:pPr>
    </w:p>
    <w:p>
      <w:pPr>
        <w:ind w:left="640" w:right="20" w:hanging="436"/>
        <w:spacing w:after="0" w:line="265"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2,283,434 shares of common stock issuable upon conversion of Series A preferred stock and (ii) 678,892 shares of common stock issuable upon conversion of Series B preferred stock. All shares are held directly by Clarus Lifesciences III, L.P., or Clarus. Clarus Ventures III GP, L.P., or the GPLP, as the sole general partner of Clarus, may be deemed to beneficially own certain of the shares held by Clarus. The GPLP disclaims beneficial ownership of all shares held by Clarus in which the GPLP does not have an actual pecuniary interest. Clarus Ventures III, LLC, or the GPLLC, as the sole general partner of the GPLP, may be deemed to beneficially own certain of the shares held by Clarus. The GPLLC disclaims beneficial ownership of all shares held by Clarus in which it does not have an actual pecuniary interest. Each of Nicholas Galakatos, Dennis Henner, Robert Liptak, Scott Requadt, Nicholas Simon, and Kurt Wheeler, as individual managing directors of the GPLLC,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the GPLLC and a member of our board of directors. Mr. Requadt disclaims beneficial ownership of such shares, except to the extent of his proportionate pecuniary interest therein, if any. The address for the entities is 101 Main Street, Suite 1210, Cambridge, MA 02142.</w:t>
      </w:r>
    </w:p>
    <w:p>
      <w:pPr>
        <w:spacing w:after="0" w:line="2" w:lineRule="exact"/>
        <w:rPr>
          <w:rFonts w:ascii="Arial" w:cs="Arial" w:eastAsia="Arial" w:hAnsi="Arial"/>
          <w:sz w:val="17"/>
          <w:szCs w:val="17"/>
          <w:color w:val="auto"/>
        </w:rPr>
      </w:pPr>
    </w:p>
    <w:p>
      <w:pPr>
        <w:ind w:left="640" w:right="40" w:hanging="436"/>
        <w:spacing w:after="0" w:line="267"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2,207,843 shares of common stock issuable upon conversion of shares of Series A preferred stock held of record by SV Life Sciences Fund VI, L.P., (ii) 75,590 shares of common stock issuable upon conversion of shares of Series A preferred stock held of record by SV Life Sciences Fund VI, Strategic Partners L.P., (iii) 437,611 shares of common stock issuable upon conversion of shares of Series B preferred stock held of record by SV Life Sciences Fund VI, L.P. and (iv) 14,983 shares of common stock issuable upon conversion of shares of Series B preferred stock held of record by SV Life Sciences Fund VI, Strategic Partners L.P. SV Health Investors, LLC is the Manager of SV Life Sciences Fund VI, L.P. and SV Life Sciences Fund VI Strategic Partners, L.P. SV Life Sciences Fund VI (GP), LP, or SV Fund VI GP, is the general partner of SV Life Sciences Fund VI, L.P. and SV Life Sciences Fund VI Strategic Partners,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Sciences Fund VI, L.P. and SV Life Sciences Fund VI Strategic Partners, L.P. except to the extent of any pecuniary interest therein. The address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each of the entities and individuals listed above is One Boston Place, Suite 3900, 201 Washington Street, Boston, Massachusetts 02108.</w:t>
      </w:r>
    </w:p>
    <w:p>
      <w:pPr>
        <w:spacing w:after="0" w:line="35" w:lineRule="exact"/>
        <w:rPr>
          <w:sz w:val="20"/>
          <w:szCs w:val="20"/>
          <w:color w:val="auto"/>
        </w:rPr>
      </w:pPr>
    </w:p>
    <w:p>
      <w:pPr>
        <w:ind w:left="640" w:right="500" w:hanging="436"/>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1,357,783 shares of common stock issuable upon conversion of Series B preferred stock. The address for Citadel Multi-Strategy Equities Master Fund Ltd. is c/o Citadel Advisors LLC, 601 Lexington Avenue, New York, NY 10022.</w:t>
      </w:r>
    </w:p>
    <w:p>
      <w:pPr>
        <w:ind w:left="640" w:right="60" w:hanging="436"/>
        <w:spacing w:after="0" w:line="281" w:lineRule="auto"/>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1,056,762 shares of common stock issuable upon conversion of shares of Series B preferred stock held of record by Cormorant Private Healthcare Fund I, LP, or Cormorant Private Fund, (ii) 243,450 shares of common stock issuable upon conversion of shares of Series B preferred stock held of record by Cormorant Global Healthcare Master Fund, LP, or Cormorant Master Fund and (iii) 57,569 shares of common stock issuable upon conversion of shares of Series B preferred stock held of record by CRMA SPV, L.P., or CRMA. The sole general partner of Cormorant Private Fund is Cormorant Private Healthcare GP, LLC and the sole general partner of Cormorant Master Fund is Cormorant Global Healthcare GP, LLC, and together Cormorant GP. Bihua Chen is the sole managing member of Cormorant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6" w:lineRule="exact"/>
        <w:rPr>
          <w:rFonts w:ascii="Arial" w:cs="Arial" w:eastAsia="Arial" w:hAnsi="Arial"/>
          <w:sz w:val="16"/>
          <w:szCs w:val="16"/>
          <w:color w:val="auto"/>
        </w:rPr>
      </w:pPr>
    </w:p>
    <w:p>
      <w:pPr>
        <w:ind w:left="640" w:hanging="436"/>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423,523 shares of common stock, (ii) 72,604 shares of common stock held by Mac MacKay, (iii) 72,604 shares of common stock held by Kali MacKay and (iv) 118,338 shares of common stock issuable upon exercise of options within 60 days of June 1, 2018.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45,054 shares of common stock issuable upon exercise of options within 60 days of June 1, 2018.</w:t>
      </w:r>
    </w:p>
    <w:p>
      <w:pPr>
        <w:spacing w:after="0" w:line="9" w:lineRule="exact"/>
        <w:rPr>
          <w:rFonts w:ascii="Arial" w:cs="Arial" w:eastAsia="Arial" w:hAnsi="Arial"/>
          <w:sz w:val="18"/>
          <w:szCs w:val="18"/>
          <w:color w:val="auto"/>
        </w:rPr>
      </w:pPr>
    </w:p>
    <w:p>
      <w:pPr>
        <w:ind w:left="640" w:right="340" w:hanging="436"/>
        <w:spacing w:after="0" w:line="261"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an aggregate of 139,887 shares issuable upon exercise of stock options within 60 days of June 1, 2018 held by our executive officers, directors and director nominee as a group.</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and restated certificate of incorporation and amended and restated bylaws, which will be effective upon the closing of this offering. The descriptions of the common stock and preferred stock give effect to changes to our capital structure that will occur upon the completion of this offering. We refer in this section to our amended and restated certificate of incorporation as our certificate of incorporation, and we refer to our amended and restated bylaws as our bylaws.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Upon completion of this offering, our authorized capital stock will consist of 150,000,000 shares of common stock, par value $0.0001 per share, and 10,000,000 shares of preferred stock, par value $0.0001 per share, all of which shares of preferred stock will be undesignated.</w:t>
      </w:r>
    </w:p>
    <w:p>
      <w:pPr>
        <w:spacing w:after="0" w:line="147"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As of March 31, 2018, 2,581,474 shares of our common stock, 3,333,333 shares of Series Seed preferred stock, 31,450,499 shares of Series A preferred stock and 28,519,322 shares of Series B preferred stock were outstanding and held by 24 stockholders of record.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completion of this offering, all outstanding shares of our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there were outstanding options to purchase an aggregate of 1,788,750 shares of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Upon the completion of this offering, the holders of 15,320,213 shares of our common stock, including those issuable upon the conversion of preferred stock, will be entitled to rights with respect to the registration of these securities under the Securities Act. These rights are provided under the terms of an investors’ rights agreement between us and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Beginning 180 days after the effective date of this registration statement, the holders of 15,320,213 shares of our common stock, including those issuable upon the conversion of preferred stock upon closing of this offering,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140" w:firstLine="4"/>
        <w:spacing w:after="0" w:line="290" w:lineRule="auto"/>
        <w:tabs>
          <w:tab w:leader="none" w:pos="4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deemed liquidation event, as defined in the investors’ rights agreement, (ii) the fifth anniversary of the completion of this offering and (iii) at such time after this offering when the holders’ shares may be sold without restriction pursuant to Rule 144 within a three month period.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closing of this offering will include a number of provisions that may have the effect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the division of our board of directors into three classes serving staggered three-year terms, with one class being elected each year. Our amended and restated certificate of incorporation will also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Any amendment of our amended and restated certificate of incorporation that will become effective upon the closing of this offering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amended and restated bylaws that will become effective upon the closing of this offering will provide that, unless we consent in writing to the selection of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9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our amended and restated bylaws that will become effective upon the closing of this offering will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We recognize that the federal district court forum selection clause may impose additional litigation costs on stockholders who assert the provision</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is not enforceable and may impose more general additional litigation costs in pursuing any such claims, particularly if the stockholders do not reside in or near the Commonwealth of Massachusetts. Additionally, the forum selection clauses in our amended and restated bylaws may limit our stockholders’ ability to obtain a favorable judicial forum for disputes with us. Alternatively, if the federal district court forum selection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4" w:lineRule="exact"/>
        <w:rPr>
          <w:sz w:val="20"/>
          <w:szCs w:val="20"/>
          <w:color w:val="auto"/>
        </w:rPr>
      </w:pPr>
    </w:p>
    <w:p>
      <w:pPr>
        <w:ind w:left="1060" w:right="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140" w:hanging="424"/>
        <w:spacing w:after="0" w:line="279"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60" w:hanging="424"/>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60"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240" w:top="459" w:right="6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Based on the number of shares outstanding as of March 31, 2018, upon the completion of this offering, 22,313,687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shares of our common stock are restricted shares of common stock subject to time-based vesting terms.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200" w:right="60" w:firstLine="4"/>
        <w:spacing w:after="0" w:line="253" w:lineRule="auto"/>
        <w:tabs>
          <w:tab w:leader="none" w:pos="4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6" w:lineRule="exact"/>
        <w:rPr>
          <w:rFonts w:ascii="Arial" w:cs="Arial" w:eastAsia="Arial" w:hAnsi="Arial"/>
          <w:sz w:val="18"/>
          <w:szCs w:val="18"/>
          <w:color w:val="auto"/>
        </w:rPr>
      </w:pPr>
    </w:p>
    <w:p>
      <w:pPr>
        <w:ind w:left="1060" w:right="120" w:hanging="424"/>
        <w:spacing w:after="0" w:line="342" w:lineRule="auto"/>
        <w:tabs>
          <w:tab w:leader="none" w:pos="10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1% of the number of shares then outstanding, which will equal approximately 223,200 shares immediately after this offering, assuming no exercise of the underwriters’ option to purchase additional shares, based on the number of shares outstanding as of March 31, 2018; or</w:t>
      </w:r>
    </w:p>
    <w:p>
      <w:pPr>
        <w:spacing w:after="0" w:line="29" w:lineRule="exact"/>
        <w:rPr>
          <w:rFonts w:ascii="Arial" w:cs="Arial" w:eastAsia="Arial" w:hAnsi="Arial"/>
          <w:sz w:val="16"/>
          <w:szCs w:val="16"/>
          <w:color w:val="auto"/>
        </w:rPr>
      </w:pPr>
    </w:p>
    <w:p>
      <w:pPr>
        <w:ind w:left="1060" w:right="20" w:hanging="424"/>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7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“Underwriters” included elsewhere in this prospectus and will become eligible for sale upon the expiration of the restrictions set forth in those agreements.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In connection with this offering, we and all of our directors, executive officers and substantially all of the holders of our stock and stock options have signed a lock-up agreement that prevents them from selling any of our common stock or any securities convertible into or exercisable or exchangeable for common stock for a period of not less than 180 days from the date of this prospectus without the prior written consent of Morgan Stanley &amp; Co. LLC and Cowen and Company, LLC, subject to certain exceptions. See the section entitled “Underwriters” appearing elsewhere in this prospectus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June 1, 2018, we estimate that such registration statement on Form S-8 will cover approximately 2,628,250 shares.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10b5-1 Plans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rules regarding qualified small business stock within the meaning of Section 1202 of the Code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00" w:hanging="424"/>
        <w:spacing w:after="0" w:line="255"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right="40" w:hanging="424"/>
        <w:spacing w:after="0" w:line="270"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60"/>
          </w:cols>
          <w:pgMar w:left="24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Cowen and Company, LLC and Wells Fargo Securities, LLC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21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0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661,800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No</w:t>
            </w:r>
          </w:p>
        </w:tc>
        <w:tc>
          <w:tcPr>
            <w:tcW w:w="5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69"/>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7"/>
              </w:rPr>
              <w:t>Share</w:t>
            </w: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20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$2,276,000. We have agreed to reimburse the underwriters for expenses relating to clearance of this offering with the Financial Industry Regulatory Authority up to $30,000.</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symbol “AVRO.”</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and all of our directors and officers and the holders of substantially all of our outstanding stock and stock options have agreed that, without the prior written consent of Morgan Stanley &amp; Co. LLC and Cowen and Company, LLC,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4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as a bona fide gift;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corporation, partnership, limited liability company or other entity controlled or managed by the signatory, in a transaction not involving a disposition for value;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date of this prospectus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73" w:lineRule="exact"/>
        <w:rPr>
          <w:sz w:val="20"/>
          <w:szCs w:val="20"/>
          <w:color w:val="auto"/>
        </w:rPr>
      </w:pPr>
    </w:p>
    <w:p>
      <w:pPr>
        <w:ind w:left="1060" w:right="180" w:hanging="424"/>
        <w:spacing w:after="0" w:line="290"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conversion of any convertible preferred stock described in this prospectus and outstanding as of the date of this prospectus into, or the exercise of any option or warrant described in the prospectus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71" w:lineRule="exact"/>
        <w:rPr>
          <w:rFonts w:ascii="Arial" w:cs="Arial" w:eastAsia="Arial" w:hAnsi="Arial"/>
          <w:sz w:val="16"/>
          <w:szCs w:val="16"/>
          <w:color w:val="auto"/>
        </w:rPr>
      </w:pPr>
    </w:p>
    <w:p>
      <w:pPr>
        <w:jc w:val="both"/>
        <w:ind w:left="1060" w:right="80" w:hanging="424"/>
        <w:spacing w:after="0" w:line="286"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pursuant to stock plans disclosed in this prospectus; or</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perform various financial advisory and investment banking services for us, for which they will receive customary fees and expenses.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80"/>
          </w:cols>
          <w:pgMar w:left="24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ratios, price-sales ratios, market prices of securities, and certain financial and operating information of companies engaged in activities similar to ours.</w:t>
      </w:r>
    </w:p>
    <w:p>
      <w:pPr>
        <w:spacing w:after="0" w:line="352"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hanging="299"/>
        <w:spacing w:after="0" w:line="259"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80" w:hanging="310"/>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240" w:top="460"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Goodwin Procter LLP, Boston, Massachusetts. Certain legal matters relating to this offering will be passed upon for the underwriters by Ropes &amp; Gray LLP, Boston, Massachusetts.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AVROBIO, Inc. at December 31, 2016 and 2017,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have filed with the SEC a registration statement on Form S-1 (File Number 333-225213)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3"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You may also read and copy any document we file with the SEC at its public reference facility at 100 F Street, N.E.,</w:t>
      </w:r>
    </w:p>
    <w:p>
      <w:pPr>
        <w:ind w:left="200" w:right="20"/>
        <w:spacing w:after="0" w:line="255" w:lineRule="auto"/>
        <w:rPr>
          <w:sz w:val="20"/>
          <w:szCs w:val="20"/>
          <w:color w:val="auto"/>
        </w:rPr>
      </w:pPr>
      <w:r>
        <w:rPr>
          <w:rFonts w:ascii="Arial" w:cs="Arial" w:eastAsia="Arial" w:hAnsi="Arial"/>
          <w:sz w:val="18"/>
          <w:szCs w:val="18"/>
          <w:color w:val="auto"/>
        </w:rPr>
        <w:t>Room 1580, Washington, D.C. 20549. We also maintain a website at www.avrobio.com.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9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Index to Consolidated Financial Statements as of December 31, 2016 and 2017 and for the Years Ended December 31, 2016 and 2017</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Consolidated Statements of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Consolidated Statements of Cash Flows</w:t>
              </w:r>
            </w:hyperlink>
          </w:p>
        </w:tc>
        <w:tc>
          <w:tcPr>
            <w:tcW w:w="3980" w:type="dxa"/>
            <w:vAlign w:val="bottom"/>
            <w:tcBorders>
              <w:top w:val="single" w:sz="8" w:color="0000EE"/>
            </w:tcBorders>
            <w:gridSpan w:val="4"/>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Notes to Consolidated Financial Statements</w:t>
              </w:r>
            </w:hyperlink>
          </w:p>
        </w:tc>
        <w:tc>
          <w:tcPr>
            <w:tcW w:w="7500" w:type="dxa"/>
            <w:vAlign w:val="bottom"/>
            <w:gridSpan w:val="4"/>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Index to Unaudited Interim Condensed Consolidated Financial Statements as of December 31, 2017 and March 31, 2018 and for the Three Month Periods Ended March 31, 2017 and 2018</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40" w:type="dxa"/>
            <w:vAlign w:val="bottom"/>
            <w:vMerge w:val="restart"/>
          </w:tcPr>
          <w:p>
            <w:pPr>
              <w:spacing w:after="0"/>
              <w:rPr>
                <w:rFonts w:ascii="Arial" w:cs="Arial" w:eastAsia="Arial" w:hAnsi="Arial"/>
                <w:sz w:val="18"/>
                <w:szCs w:val="18"/>
                <w:color w:val="0000EE"/>
                <w:w w:val="87"/>
              </w:rPr>
            </w:pPr>
            <w:hyperlink w:anchor="page213">
              <w:r>
                <w:rPr>
                  <w:rFonts w:ascii="Arial" w:cs="Arial" w:eastAsia="Arial" w:hAnsi="Arial"/>
                  <w:sz w:val="18"/>
                  <w:szCs w:val="18"/>
                  <w:color w:val="0000EE"/>
                  <w:w w:val="87"/>
                </w:rPr>
                <w:t>Condensed Consolidated Balance Sheets</w:t>
              </w:r>
            </w:hyperlink>
          </w:p>
        </w:tc>
        <w:tc>
          <w:tcPr>
            <w:tcW w:w="7640" w:type="dxa"/>
            <w:vAlign w:val="bottom"/>
            <w:gridSpan w:val="5"/>
            <w:vMerge w:val="restart"/>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0000EE"/>
            </w:tcBorders>
            <w:vMerge w:val="continue"/>
          </w:tcPr>
          <w:p>
            <w:pPr>
              <w:spacing w:after="0"/>
              <w:rPr>
                <w:sz w:val="14"/>
                <w:szCs w:val="14"/>
                <w:color w:val="auto"/>
              </w:rPr>
            </w:pPr>
          </w:p>
        </w:tc>
        <w:tc>
          <w:tcPr>
            <w:tcW w:w="7640" w:type="dxa"/>
            <w:vAlign w:val="bottom"/>
            <w:gridSpan w:val="5"/>
            <w:vMerge w:val="continue"/>
          </w:tcPr>
          <w:p>
            <w:pPr>
              <w:spacing w:after="0"/>
              <w:rPr>
                <w:sz w:val="14"/>
                <w:szCs w:val="14"/>
                <w:color w:val="auto"/>
              </w:rPr>
            </w:pPr>
          </w:p>
        </w:tc>
        <w:tc>
          <w:tcPr>
            <w:tcW w:w="400" w:type="dxa"/>
            <w:vAlign w:val="bottom"/>
          </w:tcPr>
          <w:p>
            <w:pPr>
              <w:ind w:left="60"/>
              <w:spacing w:after="0" w:line="170" w:lineRule="exact"/>
              <w:rPr>
                <w:sz w:val="20"/>
                <w:szCs w:val="20"/>
                <w:color w:val="auto"/>
              </w:rPr>
            </w:pPr>
            <w:r>
              <w:rPr>
                <w:rFonts w:ascii="Arial" w:cs="Arial" w:eastAsia="Arial" w:hAnsi="Arial"/>
                <w:sz w:val="18"/>
                <w:szCs w:val="18"/>
                <w:color w:val="auto"/>
                <w:w w:val="86"/>
              </w:rPr>
              <w:t>F-38</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Condensed Consolidated Statements of Operations and Comprehensive Loss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F-39</w:t>
            </w:r>
          </w:p>
        </w:tc>
        <w:tc>
          <w:tcPr>
            <w:tcW w:w="0" w:type="dxa"/>
            <w:vAlign w:val="bottom"/>
          </w:tcPr>
          <w:p>
            <w:pPr>
              <w:spacing w:after="0"/>
              <w:rPr>
                <w:sz w:val="1"/>
                <w:szCs w:val="1"/>
                <w:color w:val="auto"/>
              </w:rPr>
            </w:pPr>
          </w:p>
        </w:tc>
      </w:tr>
      <w:tr>
        <w:trPr>
          <w:trHeight w:val="20"/>
        </w:trPr>
        <w:tc>
          <w:tcPr>
            <w:tcW w:w="3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Condensed Consolidated Statements of Redeemable Convertible Preferred Stock and Stockholders’ (Deficit) Equity</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F-40</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16">
              <w:r>
                <w:rPr>
                  <w:rFonts w:ascii="Arial" w:cs="Arial" w:eastAsia="Arial" w:hAnsi="Arial"/>
                  <w:sz w:val="18"/>
                  <w:szCs w:val="18"/>
                  <w:color w:val="0000EE"/>
                  <w:w w:val="88"/>
                </w:rPr>
                <w:t>Condensed Consolidated Statements of Cash Flows</w:t>
              </w:r>
            </w:hyperlink>
          </w:p>
        </w:tc>
        <w:tc>
          <w:tcPr>
            <w:tcW w:w="4640" w:type="dxa"/>
            <w:vAlign w:val="bottom"/>
            <w:tcBorders>
              <w:top w:val="single" w:sz="8" w:color="0000EE"/>
            </w:tcBorders>
            <w:gridSpan w:val="3"/>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F-41</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Notes to Condensed Consolidated Financial Statements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F-42</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80" w:type="dxa"/>
            <w:vAlign w:val="bottom"/>
            <w:gridSpan w:val="3"/>
          </w:tcPr>
          <w:p>
            <w:pPr>
              <w:ind w:left="1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have audited the accompanying consolidated balance sheets of AVROBIO, Inc. (the Company) as of December 31, 2016 and 2017,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 except for Note 17(b),</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to which the date is June 11,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w w:val="98"/>
              </w:rPr>
              <w:t>Common stock, $0.0001 par value; 40,000,000 and 51,000,000 shares authorized as of December 31, 2016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w w:val="94"/>
              </w:rPr>
              <w:t>2017, respectively; 2,581,474 shares issued as of December 31, 2016 and 2017; 2,172,068 and 2,305,173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rPr>
              <w:t>outstanding as of December 31, 2016 and 2017,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2,663</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13)</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 share attributable to common</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2,038,025</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 diluted (unaudited) (Note 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Pro forma weighted-average number of common shares used in computing pro forma net loss per share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 (unaudited)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6,922,173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60" w:type="dxa"/>
            <w:vAlign w:val="bottom"/>
            <w:gridSpan w:val="3"/>
          </w:tcPr>
          <w:p>
            <w:pPr>
              <w:jc w:val="center"/>
              <w:ind w:left="250"/>
              <w:spacing w:after="0"/>
              <w:rPr>
                <w:sz w:val="20"/>
                <w:szCs w:val="20"/>
                <w:color w:val="auto"/>
              </w:rPr>
            </w:pPr>
            <w:r>
              <w:rPr>
                <w:rFonts w:ascii="Arial" w:cs="Arial" w:eastAsia="Arial" w:hAnsi="Arial"/>
                <w:sz w:val="13"/>
                <w:szCs w:val="13"/>
                <w:b w:val="1"/>
                <w:bCs w:val="1"/>
                <w:color w:val="auto"/>
                <w:w w:val="81"/>
              </w:rPr>
              <w:t>Series Seed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ind w:left="331"/>
              <w:spacing w:after="0"/>
              <w:rPr>
                <w:sz w:val="20"/>
                <w:szCs w:val="20"/>
                <w:color w:val="auto"/>
              </w:rPr>
            </w:pPr>
            <w:r>
              <w:rPr>
                <w:rFonts w:ascii="Arial" w:cs="Arial" w:eastAsia="Arial" w:hAnsi="Arial"/>
                <w:sz w:val="13"/>
                <w:szCs w:val="13"/>
                <w:b w:val="1"/>
                <w:bCs w:val="1"/>
                <w:color w:val="auto"/>
                <w:w w:val="84"/>
              </w:rPr>
              <w:t>Series A</w:t>
            </w: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3"/>
              </w:rPr>
              <w:t>Redeemable</w:t>
            </w:r>
          </w:p>
        </w:tc>
        <w:tc>
          <w:tcPr>
            <w:tcW w:w="22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gridSpan w:val="3"/>
          </w:tcPr>
          <w:p>
            <w:pPr>
              <w:jc w:val="center"/>
              <w:ind w:left="25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spacing w:after="0" w:line="140"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right"/>
              <w:ind w:right="160"/>
              <w:spacing w:after="0" w:line="140"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220" w:type="dxa"/>
            <w:vAlign w:val="bottom"/>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220"/>
              <w:spacing w:after="0" w:line="129" w:lineRule="exact"/>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1"/>
                <w:szCs w:val="11"/>
                <w:color w:val="auto"/>
              </w:rPr>
            </w:pPr>
          </w:p>
        </w:tc>
        <w:tc>
          <w:tcPr>
            <w:tcW w:w="700" w:type="dxa"/>
            <w:vAlign w:val="bottom"/>
          </w:tcPr>
          <w:p>
            <w:pPr>
              <w:jc w:val="right"/>
              <w:ind w:right="111"/>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top w:val="single" w:sz="8" w:color="CCEEFF"/>
            </w:tcBorders>
            <w:shd w:val="clear" w:color="auto" w:fill="CCEEFF"/>
          </w:tcPr>
          <w:p>
            <w:pPr>
              <w:jc w:val="right"/>
              <w:ind w:right="1668"/>
              <w:spacing w:after="0" w:line="142" w:lineRule="exact"/>
              <w:rPr>
                <w:sz w:val="20"/>
                <w:szCs w:val="20"/>
                <w:color w:val="auto"/>
              </w:rPr>
            </w:pPr>
            <w:r>
              <w:rPr>
                <w:rFonts w:ascii="Arial" w:cs="Arial" w:eastAsia="Arial" w:hAnsi="Arial"/>
                <w:sz w:val="14"/>
                <w:szCs w:val="14"/>
                <w:color w:val="auto"/>
                <w:w w:val="89"/>
              </w:rPr>
              <w:t>Balance as of December 31, 2015</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1,258,467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w w:val="97"/>
              </w:rPr>
              <w:t>Issuance of series Seed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stock, net of issuance costs of $102</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3,333,333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1,398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1,161,665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Modification of founders common stock to include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certain time-based vesting restricitions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(330,750)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82,686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stock, net of issuance costs of $203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7,297</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156"/>
        </w:trPr>
        <w:tc>
          <w:tcPr>
            <w:tcW w:w="3680" w:type="dxa"/>
            <w:vAlign w:val="bottom"/>
            <w:gridSpan w:val="2"/>
          </w:tcPr>
          <w:p>
            <w:pPr>
              <w:jc w:val="right"/>
              <w:ind w:right="1668"/>
              <w:spacing w:after="0" w:line="155" w:lineRule="exact"/>
              <w:rPr>
                <w:sz w:val="20"/>
                <w:szCs w:val="20"/>
                <w:color w:val="auto"/>
              </w:rPr>
            </w:pPr>
            <w:r>
              <w:rPr>
                <w:rFonts w:ascii="Arial" w:cs="Arial" w:eastAsia="Arial" w:hAnsi="Arial"/>
                <w:sz w:val="14"/>
                <w:szCs w:val="14"/>
                <w:color w:val="auto"/>
                <w:w w:val="90"/>
              </w:rPr>
              <w:t>Balance as of December 31, 2016</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3,333,333</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2,172,068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(4,826)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3,720,864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stock, net of issuance costs of $85</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22,015,349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17,415</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133,105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jc w:val="right"/>
              <w:ind w:right="1668"/>
              <w:spacing w:after="0" w:line="149" w:lineRule="exact"/>
              <w:rPr>
                <w:sz w:val="20"/>
                <w:szCs w:val="20"/>
                <w:color w:val="auto"/>
              </w:rPr>
            </w:pPr>
            <w:r>
              <w:rPr>
                <w:rFonts w:ascii="Arial" w:cs="Arial" w:eastAsia="Arial" w:hAnsi="Arial"/>
                <w:sz w:val="14"/>
                <w:szCs w:val="14"/>
                <w:color w:val="auto"/>
                <w:w w:val="89"/>
              </w:rPr>
              <w:t>Balance as of December 31, 2017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3,333,333</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31,450,499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25,000</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2,305,173</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(23,474)</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license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Non-cash research and development expense related to 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(3,314)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Changes in 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Through December 31, 2017, the Company has funded its operations primarily with proceeds from the sale of series Seed redeemable convertible preferred stock (the “Series Seed Preferred Stock”) and series A redeemable convertible preferred stock (the “Series A Preferred Stock”), (the Series Seed Preferred Stock and the Series A Preferred Stock are collectively referred to as the “Preferred Stock”). The Company has incurred recurring losses since its inception, including net losses of $4,664 and $18,648 for the years ended December 31, 2016 and 2017, respectively. In addition, as of December 31, 2017, the Company had an accumulated deficit of $23,475.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6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Company believes the cash and cash equivalents on hand as of December 31, 2017 of $5,963, together with the $60,500 of gross cash proceeds received from the Company’s sale of series B redeemable convertible preferred stock (the “Series B Preferred Stock”) in January 2018 (see Note 17) will be sufficient to fund its operations and capital expenditure requirements through at least April 6, 2019.</w:t>
      </w:r>
    </w:p>
    <w:p>
      <w:pPr>
        <w:spacing w:after="0" w:line="270" w:lineRule="exact"/>
        <w:rPr>
          <w:sz w:val="20"/>
          <w:szCs w:val="20"/>
          <w:color w:val="auto"/>
        </w:rPr>
      </w:pPr>
    </w:p>
    <w:p>
      <w:pPr>
        <w:ind w:left="640" w:right="7440" w:hanging="436"/>
        <w:spacing w:after="0" w:line="378" w:lineRule="auto"/>
        <w:tabs>
          <w:tab w:leader="none" w:pos="379"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40" w:firstLine="441"/>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consolidated statements of operations and comprehensive loss, the unaudited pro forma basic and diluted net loss per share attributable to common stockholders for the year ended December 31, 2017 has been computed using the weighted-average number of common shares outstanding after giving pro forma effect to the conversion of all outstanding shares of redeemable convertible preferred stock into 8,418,149 shares of common stock and the conversion of the outstanding warrant to purchase shares of redeemable convertible preferred stock as of December 31, 2017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restricted cash consisted of $24 used to secure a letter of credit for the benefit of the landlord in connection with the Company’s lease agreement (Note 14). These amounts are classified as other assets in the Company’s consolidated balance sheets.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17). There were no amounts deferred as of December 31, 2016.</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Lesser of lease term or</w:t>
            </w: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2017.</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classifies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2016 and 2017, the Company recorded foreign exchange losses of $6 and $19, respectively, in other expense.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 the level of the fair value hierarchy utilized to determine such fair values as of December 31, 2016 and 2017:</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2016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$5,684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5,708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$ 371</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December 31, 2016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warrant to purchase redeemable convertible preferred stock liability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23, 2017</w:t>
            </w:r>
          </w:p>
        </w:tc>
        <w:tc>
          <w:tcPr>
            <w:tcW w:w="20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320" w:type="dxa"/>
            <w:vAlign w:val="bottom"/>
            <w:gridSpan w:val="2"/>
          </w:tcPr>
          <w:p>
            <w:pPr>
              <w:jc w:val="center"/>
              <w:ind w:left="2114"/>
              <w:spacing w:after="0"/>
              <w:rPr>
                <w:sz w:val="20"/>
                <w:szCs w:val="20"/>
                <w:color w:val="auto"/>
              </w:rPr>
            </w:pPr>
            <w:r>
              <w:rPr>
                <w:rFonts w:ascii="Arial" w:cs="Arial" w:eastAsia="Arial" w:hAnsi="Arial"/>
                <w:sz w:val="14"/>
                <w:szCs w:val="14"/>
                <w:b w:val="1"/>
                <w:bCs w:val="1"/>
                <w:color w:val="auto"/>
                <w:w w:val="89"/>
              </w:rPr>
              <w:t>(Date of issuance)</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 (years)</w:t>
            </w:r>
          </w:p>
        </w:tc>
        <w:tc>
          <w:tcPr>
            <w:tcW w:w="2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center"/>
              <w:ind w:left="2134"/>
              <w:spacing w:after="0"/>
              <w:rPr>
                <w:sz w:val="20"/>
                <w:szCs w:val="20"/>
                <w:color w:val="auto"/>
              </w:rPr>
            </w:pPr>
            <w:r>
              <w:rPr>
                <w:rFonts w:ascii="Arial" w:cs="Arial" w:eastAsia="Arial" w:hAnsi="Arial"/>
                <w:sz w:val="18"/>
                <w:szCs w:val="18"/>
                <w:color w:val="auto"/>
                <w:w w:val="90"/>
              </w:rPr>
              <w:t>2.15%</w:t>
            </w:r>
          </w:p>
        </w:tc>
        <w:tc>
          <w:tcPr>
            <w:tcW w:w="2060" w:type="dxa"/>
            <w:vAlign w:val="bottom"/>
            <w:gridSpan w:val="2"/>
          </w:tcPr>
          <w:p>
            <w:pPr>
              <w:jc w:val="center"/>
              <w:ind w:left="794"/>
              <w:spacing w:after="0"/>
              <w:rPr>
                <w:sz w:val="20"/>
                <w:szCs w:val="20"/>
                <w:color w:val="auto"/>
              </w:rPr>
            </w:pPr>
            <w:r>
              <w:rPr>
                <w:rFonts w:ascii="Arial" w:cs="Arial" w:eastAsia="Arial" w:hAnsi="Arial"/>
                <w:sz w:val="18"/>
                <w:szCs w:val="18"/>
                <w:color w:val="auto"/>
                <w:w w:val="90"/>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91"/>
              </w:rPr>
              <w:t>80.00%</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1"/>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88"/>
              </w:rPr>
              <w:t>$0.79</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8"/>
              </w:rPr>
              <w:t>$1.42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Warrant</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auto"/>
                <w:w w:val="88"/>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Initial fair value of warrant to purchase redeemable convertible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10440" w:type="dxa"/>
            <w:vAlign w:val="bottom"/>
            <w:gridSpan w:val="2"/>
          </w:tcPr>
          <w:p>
            <w:pPr>
              <w:jc w:val="right"/>
              <w:ind w:right="7910"/>
              <w:spacing w:after="0"/>
              <w:rPr>
                <w:sz w:val="20"/>
                <w:szCs w:val="20"/>
                <w:color w:val="auto"/>
              </w:rPr>
            </w:pPr>
            <w:r>
              <w:rPr>
                <w:rFonts w:ascii="Arial" w:cs="Arial" w:eastAsia="Arial" w:hAnsi="Arial"/>
                <w:sz w:val="18"/>
                <w:szCs w:val="18"/>
                <w:color w:val="auto"/>
                <w:w w:val="88"/>
              </w:rPr>
              <w:t>Balance as of December 31, 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See Note 11 for further discussion on the license agreement. The shares were fully vested on the date of issuance and did not contain any restrictions.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December 31, 2016 and 2017, the Company remeasured the fair value of the derivative, using current assumptions, resulting in an increase in fair value of $39 and $283, respectively, which was recorded in other expense in the accompanying consolidated statements of operations and comprehensive loss for the years ended December 31, 2016 and 2017.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Initial fair value of derivative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60" w:right="41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net consisted of the following:</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Laboratory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561" w:hanging="561"/>
        <w:spacing w:after="0"/>
        <w:tabs>
          <w:tab w:leader="none" w:pos="56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126</w:t>
      </w:r>
    </w:p>
    <w:p>
      <w:pPr>
        <w:spacing w:after="0" w:line="7"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240</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1"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394</w:t>
      </w:r>
    </w:p>
    <w:p>
      <w:pPr>
        <w:spacing w:after="0" w:line="2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5314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314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61" w:hanging="561"/>
        <w:spacing w:after="0"/>
        <w:tabs>
          <w:tab w:leader="none" w:pos="56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59" w:space="720"/>
            <w:col w:w="961"/>
          </w:cols>
          <w:pgMar w:left="240" w:top="460" w:right="419" w:bottom="1440" w:gutter="0" w:footer="0" w:header="0"/>
          <w:type w:val="continuous"/>
        </w:sectPr>
      </w:pPr>
    </w:p>
    <w:p>
      <w:pPr>
        <w:spacing w:after="0" w:line="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2016, the Company did not hold any property and equipment. Depreciation and amortization expense for the year ended December 31, 2017 was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December 31, 2017, the Company had not drawn down from the facility and $3,500 was available to the Company.</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December 31, 2017.</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December 31, 2017,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determined that the fair value of the preferred stock warrant liability was $35. The Company recognized a loss of $17 in the consolidated statements of operations and comprehensive loss for the year ended December 31, 2017,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As of December 31, 2016, the authorized capital stock of the Company included 22,380,952 shares of $0.0001 par value preferred stock, of which 3,333,333 shares have been designated as Series Seed Preferred Stock and 19,047,619 shares have been designated as Series A Preferred Stock. As of December 31, 2017, the authorized capital stock of the Company included 34,972,535 shares of $0.0001 par value preferred stock, of</w:t>
      </w:r>
    </w:p>
    <w:p>
      <w:pPr>
        <w:ind w:left="200"/>
        <w:spacing w:after="0"/>
        <w:rPr>
          <w:sz w:val="20"/>
          <w:szCs w:val="20"/>
          <w:color w:val="auto"/>
        </w:rPr>
      </w:pPr>
      <w:r>
        <w:rPr>
          <w:rFonts w:ascii="Arial" w:cs="Arial" w:eastAsia="Arial" w:hAnsi="Arial"/>
          <w:sz w:val="16"/>
          <w:szCs w:val="16"/>
          <w:color w:val="auto"/>
        </w:rPr>
        <w:t>which 3,333,333 shares have been designated as Series Seed Preferred Stock and 31,639,202 shares have been designated as Series A Preferred Stock.</w:t>
      </w:r>
    </w:p>
    <w:p>
      <w:pPr>
        <w:spacing w:after="0" w:line="23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January 2016, the Company issued and sold 3,333,333 shares of Series Seed Preferred Stock at a price of $0.45 per share, for total proceeds of $1,398, net of issuance costs of $102.</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the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Preferred Stock.</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October 2017, the Company issued and sold an additional 17,612,279 shares of Series A Preferred Stock, at a price of $0.7949 per share, for total proceeds of $13,963, net of issuance costs of $37.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8"/>
              </w:rPr>
              <w:t>December 31, 2016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Preferred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Liquidation</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3,333,333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19,047,619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5,714,286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7,500,000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7,500,000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1,382,933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22,380,952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9,047,619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2,189,644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42"/>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Liquidation</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3,333,333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1,500,000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1,500,000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31,639,202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31,450,499</w:t>
            </w:r>
          </w:p>
        </w:tc>
        <w:tc>
          <w:tcPr>
            <w:tcW w:w="28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34,972,535</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$ 26,500,000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$ 26,500,000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holders of the Preferred Stock have the following rights and preferences: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for determination of stockholders entitled to vote. Except for the actions requiring the approval or consent of the majority of the holders of Preferred Stock, the holders of Preferred Stock shall vote together with the holders of common stock and vote as a single class.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holders of the Preferred Stock are entitled to receive noncumulative dividends when, as and if declared by the Board. The Company may not pay any dividends on shares of common stock of the Company unless the holders of Preferred Stock then outstanding simultaneously receive dividends at least equal to a fixed percentage of Preferred Stock. Through December 31, 2017, no cash dividends have been declared or paid.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 deemed liquidation event, each holder of the then outstanding Series A Preferred Stock will be entitled to receive, prior and in preference to any distributions to the holders of Series Seed Preferred Stock and common stock, an amount equal to the greater of (i) $0.7949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4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share of Preferred Stock is convertible into common stock, at any time, at the option of the holder, and without the payment of additional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consideration, at the applicable conversion ratio then in effect for each series of Preferred Stock, initially set to be one-for-one, and subject to adjustment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accordance with anti-dilution provisions. In addition, each share of Preferred Stock will be automatically converted into common stock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conversion ratio then in effect for each series of Preferred Stock upon the earlier of a qualified IPO which results in net proceeds of at least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$50,000 and the listing of the Company’s common stock on the New York Stock Exchange or the Nasdaq Stock Market, or upon a vote of the holders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majority of the outstanding Preferred Stock. As of December 31, 2017, each share of Preferred Stock was convertible into 0.242 shares of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and can be adjusted in the event of any stock dividend, stock split, combination or other similar recapitalization with respect to the Preferred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Series Seed Preferred Stock and Series A Preferred Stock are redeemable at $0.45 per share and $0.7949 per share, respectively, (adjusted in the event of any stock dividend, stock split, combination or other similar activity) plus any declared but unpaid dividends, on or after July 21, 2021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 authorized capital stock of the Company included 40,000,000 and 51,000,000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27, 2016, the Company modified the terms of 330,750 shares of common stock which were issued to four employees in November 17,</w:t>
      </w:r>
    </w:p>
    <w:p>
      <w:pPr>
        <w:spacing w:after="0" w:line="46" w:lineRule="exact"/>
        <w:rPr>
          <w:sz w:val="20"/>
          <w:szCs w:val="20"/>
          <w:color w:val="auto"/>
        </w:rPr>
      </w:pPr>
    </w:p>
    <w:p>
      <w:pPr>
        <w:ind w:left="200" w:right="360"/>
        <w:spacing w:after="0" w:line="261" w:lineRule="auto"/>
        <w:rPr>
          <w:sz w:val="20"/>
          <w:szCs w:val="20"/>
          <w:color w:val="auto"/>
        </w:rPr>
      </w:pPr>
      <w:r>
        <w:rPr>
          <w:rFonts w:ascii="Arial" w:cs="Arial" w:eastAsia="Arial" w:hAnsi="Arial"/>
          <w:sz w:val="18"/>
          <w:szCs w:val="18"/>
          <w:color w:val="auto"/>
        </w:rPr>
        <w:t>2015 to add a vesting condition. The restrictions lapse according to the time-based vesting conditions of each award. During each of the years ended December 31, 2016 and 2017, 82,686 shares of these restricted common stock awards vested.</w:t>
      </w:r>
    </w:p>
    <w:p>
      <w:pPr>
        <w:spacing w:after="0" w:line="18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December 31, 2017, no cash dividends have been declared or paid.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2016 and 2017, the Company has reserved the following shares of common stock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3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1,382,933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409,406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599,439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1,034,961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reserved for issuance under the 2015 Stock Option and Grant Plan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143,717</w:t>
            </w:r>
          </w:p>
        </w:tc>
        <w:tc>
          <w:tcPr>
            <w:tcW w:w="80" w:type="dxa"/>
            <w:vAlign w:val="bottom"/>
            <w:shd w:val="clear" w:color="auto" w:fill="CCEEFF"/>
          </w:tcPr>
          <w:p>
            <w:pPr>
              <w:spacing w:after="0"/>
              <w:rPr>
                <w:sz w:val="18"/>
                <w:szCs w:val="18"/>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Total shares of authorized common stock reserved for future issuance</w:t>
            </w:r>
          </w:p>
        </w:tc>
        <w:tc>
          <w:tcPr>
            <w:tcW w:w="3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3,251,199</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9,873,128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540" w:type="dxa"/>
            <w:vAlign w:val="bottom"/>
            <w:gridSpan w:val="2"/>
          </w:tcPr>
          <w:p>
            <w:pPr>
              <w:jc w:val="right"/>
              <w:ind w:right="4099"/>
              <w:spacing w:after="0"/>
              <w:rPr>
                <w:sz w:val="20"/>
                <w:szCs w:val="20"/>
                <w:color w:val="auto"/>
              </w:rPr>
            </w:pPr>
            <w:r>
              <w:rPr>
                <w:rFonts w:ascii="Arial" w:cs="Arial" w:eastAsia="Arial" w:hAnsi="Arial"/>
                <w:sz w:val="18"/>
                <w:szCs w:val="18"/>
                <w:color w:val="auto"/>
                <w:w w:val="91"/>
              </w:rPr>
              <w:t>F-23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1,340,020 shares as of December 31, 2017, of which 143,717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During the years ended December 31, 2016 and 2017, the Company granted options to purchase 599,439 shares and 433,102 shares, respectively, of common stock to employees and members of the Board.</w:t>
      </w:r>
    </w:p>
    <w:p>
      <w:pPr>
        <w:spacing w:after="0" w:line="170"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During the year ended December 31, 2017, the Company granted options to purchase 2,420 shares of common stock to a non-employee. The stock-based compensation expense for options granted to non-employees is nominal during the year ended December 31, 2017. The Company did not grant options to purchase shares of common stock to non-employees during the year ended December 31,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80" w:type="dxa"/>
            <w:vAlign w:val="bottom"/>
            <w:gridSpan w:val="3"/>
          </w:tcPr>
          <w:p>
            <w:pPr>
              <w:jc w:val="right"/>
              <w:ind w:right="26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84.54%</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80" w:type="dxa"/>
            <w:vAlign w:val="bottom"/>
            <w:gridSpan w:val="3"/>
          </w:tcPr>
          <w:p>
            <w:pPr>
              <w:jc w:val="right"/>
              <w:ind w:right="468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restart"/>
          </w:tcPr>
          <w:p>
            <w:pPr>
              <w:jc w:val="center"/>
              <w:ind w:left="433"/>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left="43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435,522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0.91</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8.46</w:t>
            </w: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185,446</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2017.</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2016 and 2017 was $0.50 and $1.50,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has granted restricted common stock with time-based vesting conditions to certain employees of the Company. The purchase price of the restricted stock awards are determined by the Board. The Company also, in January 2016, modified 330,750 shares of common stock which were issued to four employees in November 17, 2015 to add a vesting condition (see Note 9).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4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of 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2016</w:t>
            </w:r>
          </w:p>
        </w:tc>
        <w:tc>
          <w:tcPr>
            <w:tcW w:w="2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409,406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(133,105)</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2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and unvested as of December 31, 2017</w:t>
            </w:r>
          </w:p>
        </w:tc>
        <w:tc>
          <w:tcPr>
            <w:tcW w:w="2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276,301</w:t>
            </w:r>
          </w:p>
        </w:tc>
        <w:tc>
          <w:tcPr>
            <w:tcW w:w="380" w:type="dxa"/>
            <w:vAlign w:val="bottom"/>
          </w:tcPr>
          <w:p>
            <w:pPr>
              <w:spacing w:after="0"/>
              <w:rPr>
                <w:sz w:val="19"/>
                <w:szCs w:val="19"/>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40" w:type="dxa"/>
            <w:vAlign w:val="bottom"/>
            <w:gridSpan w:val="3"/>
          </w:tcPr>
          <w:p>
            <w:pPr>
              <w:jc w:val="right"/>
              <w:ind w:right="2580"/>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weighted-average grant date fair value of restricted common stock awards granted during the year ended December 31, 2016 was $0.42 per share. The total fair value of restricted common stock vested during the years ended December 31, 2016 and 2017 was $34 and $55,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December 31, 2017, total unrecognized compensation cost related to the unvested stock-based awards was $897, which is expected to be recognized over a weighted-average period of 3.26 years.</w:t>
      </w:r>
    </w:p>
    <w:p>
      <w:pPr>
        <w:spacing w:after="0" w:line="275" w:lineRule="exact"/>
        <w:rPr>
          <w:sz w:val="20"/>
          <w:szCs w:val="20"/>
          <w:color w:val="auto"/>
        </w:rPr>
      </w:pPr>
    </w:p>
    <w:p>
      <w:pPr>
        <w:ind w:left="640" w:right="8900" w:hanging="436"/>
        <w:spacing w:after="0" w:line="425" w:lineRule="auto"/>
        <w:tabs>
          <w:tab w:leader="none" w:pos="46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of $87 and $16, respectively, which consists of the license option fee, the upfront fee and maintenance fees.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related to this agreement with UHN of $785 and $151,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60"/>
          </w:cols>
          <w:pgMar w:left="24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did not record a current or deferred income tax expense or (benefit) due to current and historical losses incurred by the Company. The Company’s operations are predominantly based in the United States and the Company’s foreign subsidiaries generated de minimis profit for the years ended December 31, 2016 and 2017.</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enactment of the Tax Cuts and Jobs Act (“TCJA”) in December 2017, as further described below, resulted in a remeasurement of the Company’s net deferred tax asset due to the reduction in the corporate income tax rate from 35% to a 21% flat tax, which is included in the Company’s 2017 rate reconciliation.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U.S.—TCJA</w:t>
            </w:r>
          </w:p>
        </w:tc>
        <w:tc>
          <w:tcPr>
            <w:tcW w:w="5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2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40" w:type="dxa"/>
            <w:vAlign w:val="bottom"/>
            <w:gridSpan w:val="3"/>
          </w:tcPr>
          <w:p>
            <w:pPr>
              <w:jc w:val="right"/>
              <w:ind w:right="472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2016 and 2017,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2016 and 2017. The valuation allowance increased $1,898 and $4,568 during the years ended December 31, 2016 and 2017, respectively, due primarily to net operating losses generated.</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December 31, 2016 and 2017, the Company had U.S. federal net operating loss carryforwards of $3,659 and $19,007, respectively, that may be available to offset future income tax liabilities. The TCJA will generally allow losses incurred after 2017 to be carried over indefinitely, but will generally limit the net operating loss deduction to the lesser of the net operating loss carryover or 80% of a corporation’s taxable income. Also, there will be no carryback for net operating losses incurred after 2017. Net operating losses incurred prior to 2018 will generally be deductible to the extent of the lesser of a corporation’s net operating loss carryover or 100% of a corporation’s taxable income, and be available to offset future taxable income for a period of twenty years.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has early adopted the provisions of ASU 2016-09</w:t>
      </w:r>
      <w:r>
        <w:rPr>
          <w:rFonts w:ascii="Arial" w:cs="Arial" w:eastAsia="Arial" w:hAnsi="Arial"/>
          <w:sz w:val="18"/>
          <w:szCs w:val="18"/>
          <w:i w:val="1"/>
          <w:iCs w:val="1"/>
          <w:color w:val="auto"/>
        </w:rPr>
        <w:t>, 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for its year ended December 31, 2016. ASU 2016-09 requires companies to include the benefit of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in its net operating loss carryforward deferred tax asset. The Company did not have any deductions associated with stock-based payments, and therefore the adoption of ASU 2016-09 did not impact the Company’s deferred tax asset for net operating loss carryforwards. Furthermore, since the Company has historically maintained a full valuation allowance on its net worldwide deferred tax asset, there is no net impact to retained earnings from the adoption of ASU 2016-09.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December 31, 2016 and 2017, the Company also had U.S. state net operating loss carryforwards of $3,619 and $18,866, respectively, which may be available to offset future taxable income. These losses expire at various dates through 2037.</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2016 and 2017, the Company does not have federal research and development tax credit carryforwards, as the Company qualifies for, and has elected to, apply such federal research credits against its payroll tax liability in accordance with certain provisions of the Internal Revenue Code. As of December 31, 2016 and 2017, the Company had state research and development tax credit carryforwards of approximately $30 and $119, respectively, available to reduce future tax liabilities which expire at various dates through 2032. For all years through December 31, 2017,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auto"/>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TCJA was enacted in December 2017. Among other things, the TCJA reduces the U.S. federal corporate tax rate from 35% to 21% for tax years beginning in 2018, and requires companies to pay a one-time transition tax on previously unremitted earnings of non-U.S. subsidiaries that were previously tax deferred and creates new taxes on certain foreign sourced earnings. The SEC staff issued Staff Accounting Bulletin (“SAB”) 118, that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consolidated financial statements. If a company cannot determine a provisional estimate to be included in its consolidated financial statements, it should continue to apply ASC 740 on the basis of the provisions of the tax laws that were in effect immediately before the enactment of the TCJA.</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connection with the Company’s initial analysis of the impact of the enactment of the TCJA, the Company has not recorded an income tax expense. For various reasons that are discussed more fully below, the Company has not completed its accounting for the income tax effects of certain elements of the TCJA. However,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respect to the remeasurement of deferred tax assets and liabilities, the Company has remeasured its deferred tax assets and liabilities based on the rates at which they are expected to reverse in the future, which is generally 21% under the TCJA. The impact of the remeasurement of the Company’s deferred tax assets and liabilities is included in the rate reconciliation above.</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is still analyzing certain aspects of the TCJA, including considering additional technical guidance and refining its calculations, that could potentially affect the measurement of these balances or potentially give rise to new deferred tax amounts. This includes the potential impacts of the global low-taxed income (“GILTI”) provision within the TCJA on deferred tax assets and liabilities. The Company has not yet elected a policy as to whether it will recognize deferred taxes for basis differences expected to reverse as GILTI or whether the Company will account for GILTI as a period cost if and when incurred. Additionally, with respect to the transition tax, which is a tax on previously untaxed accumulated and current earnings and profits (E&amp;P) of certain of the Company’s non-U.S. subsidiaries. The Company is currently evaluating the impact of this issue, and has not finalized a conclusion at this time and therefore cannot determine a provisional estimate to be included in its consolidated financial statements, and in accordance with SAB 118 it will continue to apply ASC 740 on the basis of the provisions of the tax laws that were in effect immediately before the enactment of the TCJA.</w:t>
      </w:r>
    </w:p>
    <w:p>
      <w:pPr>
        <w:spacing w:after="0" w:line="286" w:lineRule="exact"/>
        <w:rPr>
          <w:sz w:val="20"/>
          <w:szCs w:val="20"/>
          <w:color w:val="auto"/>
        </w:rPr>
      </w:pPr>
    </w:p>
    <w:p>
      <w:pPr>
        <w:ind w:left="640" w:right="5720" w:hanging="436"/>
        <w:spacing w:after="0" w:line="425" w:lineRule="auto"/>
        <w:tabs>
          <w:tab w:leader="none" w:pos="469"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and Unaudited Pro Forma Net Loss per Share </w:t>
      </w:r>
      <w:r>
        <w:rPr>
          <w:rFonts w:ascii="Arial" w:cs="Arial" w:eastAsia="Arial" w:hAnsi="Arial"/>
          <w:sz w:val="16"/>
          <w:szCs w:val="16"/>
          <w:b w:val="1"/>
          <w:bCs w:val="1"/>
          <w:i w:val="1"/>
          <w:iCs w:val="1"/>
          <w:color w:val="auto"/>
        </w:rPr>
        <w:t>Net Loss per Share Attributable to Common Stockholders</w:t>
      </w:r>
    </w:p>
    <w:p>
      <w:pPr>
        <w:spacing w:after="0" w:line="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auto"/>
        </w:rPr>
        <w:t>Year Ended</w:t>
      </w:r>
    </w:p>
    <w:p>
      <w:pPr>
        <w:jc w:val="center"/>
        <w:ind w:left="89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409,406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276,301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2,189,644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2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to common stock)</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2017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 (continued)</w:t>
      </w:r>
    </w:p>
    <w:p>
      <w:pPr>
        <w:spacing w:after="0" w:line="135"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the effects of the accretion of Preferred Stock to redemption value or the change in fair value of the warrant to purchase shares of Series A Preferred Stock because the calculation gives effect to the conversion of shares of Preferred Stock outstanding as of December 31, 2017 into common stock and the conversion of the warrant to purchase shares of Series A Preferred Stock outstanding as of December 31, 2017 into a warrant to purchase shares of common stock, as if such conversion had occurred at the beginning of the period presented or the date of original issuance, whichever is later.</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auto"/>
              </w:rPr>
              <w:t>Change in the fair value of preferred stock warrant liability</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0"/>
        </w:trPr>
        <w:tc>
          <w:tcPr>
            <w:tcW w:w="100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number of common shares used in computing net loss per share attributable to common stockholders—basic</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redeemable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60" w:type="dxa"/>
            <w:vAlign w:val="bottom"/>
          </w:tcPr>
          <w:p>
            <w:pPr>
              <w:ind w:left="160"/>
              <w:spacing w:after="0"/>
              <w:rPr>
                <w:sz w:val="20"/>
                <w:szCs w:val="20"/>
                <w:color w:val="auto"/>
              </w:rPr>
            </w:pPr>
            <w:r>
              <w:rPr>
                <w:rFonts w:ascii="Arial" w:cs="Arial" w:eastAsia="Arial" w:hAnsi="Arial"/>
                <w:sz w:val="18"/>
                <w:szCs w:val="18"/>
                <w:color w:val="auto"/>
              </w:rPr>
              <w:t>convertible preferred stock into common stock</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4,686,308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number of common shares used in computing pro forma 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6,922,173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2016, the Company entered into a sub-lease agreement for office space located in Cambridge Massachusetts, United States, which was a month to month rental. In February 2017, the Company terminated the office lease agreement.</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September 2016, the Company entered into a lease agreement for office space located in Cambridge Massachusetts, United States, which expires on March 31, 2024. The base rent will be increased by 3% annually. The Company recognizes rent expense on a straight-line basis over the lease period and has recorded deferred rent for rent expense incurred but not yet paid. The Company received a tenant incentive allowance of $100 in 2017. Such incentive allowance is being amortized as a reduction of rent expense on a straight-line basis over the lease period. In accordance with the lease agreement, the Company was required to maintain a security deposit of $24. The Company issued a letter of credit to the landlord related to the security deposit and the letter of credit is secured by restricted cash, which is recorded in other assets on the accompanying consolidated balance sheets.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13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Company recorded rent expense of $78 and $335 during the years ended December 31, 2016 and 2017, respectively.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following table summarizes the future minimum lease payments due under operating leases as of December 31, 2017: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8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395</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2016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2016 and 2017, or royalties on future sales of specified products. No milestone or royalty payments under these agreements are expected to be payable in the immediate future. See Note 11 for discussion of these arrangements.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connection with the Company’s entry into a license agreement with UHN (Note 11) on January 27, 2016, the Company issued UHN 4,800,000 shares of its common stock. As a result of the issuance of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135"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UHN owned 21.63% and 9.65% of the Company’s fully diluted equity as of December 31, 2016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4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During the years ended December 31, 2016 and 2017, the Company recognized $872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expenses of $78 and $15, respectively, related to services provided by an entity affiliated with a member of the Board and the use of office space.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Matching contributions to the plan may be made at the discretion of the Company’s Board. The Company made no contributions to the plan during the years ended December 31,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Company has completed an evaluation of all subsequent events after the audited balance sheet date of December 31, 2017 through the filing date of this Registration Statement on Form S-1 with the SEC, to ensure that these consolidated financial statements include appropriate disclosure of events both recognized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consolidated financial statements as of December 31, 2017, and events which occurred subsequently but were not recognized in the consolidated financial statements. The Company has concluded that no subsequent events have occurred that require disclosure, except as disclosed within these consolidated financial statements and except as described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Subsequent Events Through April 6, 2018</w:t>
      </w:r>
    </w:p>
    <w:p>
      <w:pPr>
        <w:spacing w:after="0" w:line="225"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United States, which expires in January 2023, with a landlord who is an affiliate of the landlord of the Company’s current lease facility. In accordance with the lease agreement, the Company is required to maintain a security deposit of $209. In contemplation of this agreement, the Company terminated its existing lease agreement.</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On January 19, 2018, the Company entered into a stock purchase agreement for the sale of 28,285,557 shares of Series B Preferred Stock for $2.1389 per share. The total gross proceeds received were $60,500. In addition, the Company issued 233,765 shares of Series B Preferred Stock to BioMarin as required by the Company’s license agreement with BioMarin (Note 11). The rights and preferences of the Series B Preferred Stock are similar to the Company’s Series A Preferred Stock, in that holders of outstanding Series B Preferred Stock have priority and preference to Series Seed Preferred Stock and common stock in the case of a liquidation or redemption event. The issue price of the Series B Preferred Stock is $2.1389 per share, and each share of Series B Preferred Stock is convertible into 0.242 shares of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2018, the Company granted 753,789 stock options with an exercise price of $5.00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Subsequent Events Through June 11,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8 2018. Stockholders entitled to fractional shares as a result of the reverse stock split will receive a cash payment in lieu of receiving fractional shares. All share and per share data shown in the accompanying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AVROBIO, Inc. 2018 Stock Option and Incentive Plan (the 2018 Plan) was adopted by the Board June 1, 2018 and approved by stockholders on June 7, 2018 and will become effective upon the effectiveness of the Company’s Registration Statement on Form S-1. The 2018 Plan will replace the 2015 Plan as the Board determined not to make additional awards under the 2015 Plan following the pricing of the Company’s IPO. The 2018 Plan allows the compensation committee to make equity-based and cash-based incentive awards to our officers, employees, directors and other key persons (including consultants).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initially reserved 616,300 shares of our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This number is subject to adjustment in the event of a stock split, stock dividend or other change in our capitalization.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AVROBIO, Inc. 2018 Employee Stock Purchase Plan (the ESPP) was adopted by the Board on June 1, 2018 and approved by stockholders on June 7, 2018 and will become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80" w:firstLine="4"/>
        <w:spacing w:after="0" w:line="255" w:lineRule="auto"/>
        <w:tabs>
          <w:tab w:leader="none" w:pos="4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Certificate of Incorporation</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June 1, 2018, the Board also approved for filing immediately following the effectiveness of the Company’s registration statement in connection with its IPO, the Fourth Amended and Restated Certificate of Incorporation, which shall, among other matters: (i) authorize 150,000,000 shares of common stock, $0.0001 par value and (ii) create 10,000,000 shares of undesignated preferred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$0.0001 par value; 51,000,000 and 82,000,000 shares authorized as of</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2,581,474 shares issued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w w:val="97"/>
              </w:rPr>
              <w:t>December 31, 2017 and March 31, 2018; 2,305,173 and 2,335,926 shares outstanding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17,901,687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17,656,139 shares outstanding as of March 31, 2018 (pro forma)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(23,474)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12)</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 share attributable to common</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2,181,715</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2,324,790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 forma net loss per share attributable to common stockholders—basic and diluted (Note 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Pro forma weighted-average number of common shares used in computing pro forma net income (loss) per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attributable to common 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16,187,901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80" w:type="dxa"/>
            <w:vAlign w:val="bottom"/>
            <w:gridSpan w:val="4"/>
          </w:tcPr>
          <w:p>
            <w:pPr>
              <w:jc w:val="center"/>
              <w:ind w:left="231"/>
              <w:spacing w:after="0"/>
              <w:rPr>
                <w:sz w:val="20"/>
                <w:szCs w:val="20"/>
                <w:color w:val="auto"/>
              </w:rPr>
            </w:pPr>
            <w:r>
              <w:rPr>
                <w:rFonts w:ascii="Arial" w:cs="Arial" w:eastAsia="Arial" w:hAnsi="Arial"/>
                <w:sz w:val="13"/>
                <w:szCs w:val="13"/>
                <w:b w:val="1"/>
                <w:bCs w:val="1"/>
                <w:color w:val="auto"/>
                <w:w w:val="81"/>
              </w:rPr>
              <w:t>Series Seed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A</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B</w:t>
            </w: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80" w:type="dxa"/>
            <w:vAlign w:val="bottom"/>
            <w:gridSpan w:val="4"/>
          </w:tcPr>
          <w:p>
            <w:pPr>
              <w:jc w:val="center"/>
              <w:ind w:left="251"/>
              <w:spacing w:after="0" w:line="135" w:lineRule="exact"/>
              <w:rPr>
                <w:sz w:val="20"/>
                <w:szCs w:val="20"/>
                <w:color w:val="auto"/>
              </w:rPr>
            </w:pPr>
            <w:r>
              <w:rPr>
                <w:rFonts w:ascii="Arial" w:cs="Arial" w:eastAsia="Arial" w:hAnsi="Arial"/>
                <w:sz w:val="13"/>
                <w:szCs w:val="13"/>
                <w:b w:val="1"/>
                <w:bCs w:val="1"/>
                <w:color w:val="auto"/>
                <w:w w:val="86"/>
              </w:rPr>
              <w:t>Redeemable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540" w:type="dxa"/>
            <w:vAlign w:val="bottom"/>
            <w:tcBorders>
              <w:right w:val="single" w:sz="8" w:color="auto"/>
            </w:tcBorders>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4"/>
          </w:tcPr>
          <w:p>
            <w:pPr>
              <w:jc w:val="center"/>
              <w:ind w:left="231"/>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6"/>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1540" w:type="dxa"/>
            <w:vAlign w:val="bottom"/>
            <w:tcBorders>
              <w:right w:val="single" w:sz="8" w:color="auto"/>
            </w:tcBorders>
            <w:gridSpan w:val="6"/>
          </w:tcPr>
          <w:p>
            <w:pPr>
              <w:jc w:val="center"/>
              <w:ind w:right="14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tcPr>
          <w:p>
            <w:pPr>
              <w:jc w:val="right"/>
              <w:ind w:right="120"/>
              <w:spacing w:after="0" w:line="140"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3"/>
              </w:rPr>
              <w:t>Total</w:t>
            </w: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6"/>
              </w:rPr>
              <w:t>Preferred Stock</w:t>
            </w:r>
          </w:p>
        </w:tc>
        <w:tc>
          <w:tcPr>
            <w:tcW w:w="16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8"/>
              </w:rPr>
              <w:t>Preferred Stock</w:t>
            </w:r>
          </w:p>
        </w:tc>
        <w:tc>
          <w:tcPr>
            <w:tcW w:w="154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2"/>
                <w:szCs w:val="12"/>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Paid-in</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Deficit</w:t>
            </w:r>
          </w:p>
        </w:tc>
        <w:tc>
          <w:tcPr>
            <w:tcW w:w="1020" w:type="dxa"/>
            <w:vAlign w:val="bottom"/>
            <w:gridSpan w:val="4"/>
          </w:tcPr>
          <w:p>
            <w:pPr>
              <w:jc w:val="center"/>
              <w:ind w:right="40"/>
              <w:spacing w:after="0" w:line="129" w:lineRule="exact"/>
              <w:rPr>
                <w:sz w:val="20"/>
                <w:szCs w:val="20"/>
                <w:color w:val="auto"/>
              </w:rPr>
            </w:pPr>
            <w:r>
              <w:rPr>
                <w:rFonts w:ascii="Arial" w:cs="Arial" w:eastAsia="Arial" w:hAnsi="Arial"/>
                <w:sz w:val="13"/>
                <w:szCs w:val="13"/>
                <w:b w:val="1"/>
                <w:bCs w:val="1"/>
                <w:color w:val="auto"/>
                <w:w w:val="89"/>
              </w:rPr>
              <w:t>(Deficit) Equity</w:t>
            </w: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3,333,333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1,500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31,450,499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2,305,173</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(23,474)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(23,135)</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w w:val="99"/>
              </w:rPr>
              <w:t>convertible preferred stock,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issuance costs of $2,243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28,285,557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58,257</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settled accrued liability of license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233,765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30,753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 redeemable convertible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(2,243)</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Stock-based compensation expense</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r>
      <w:tr>
        <w:trPr>
          <w:trHeight w:val="156"/>
        </w:trPr>
        <w:tc>
          <w:tcPr>
            <w:tcW w:w="2380" w:type="dxa"/>
            <w:vAlign w:val="bottom"/>
            <w:gridSpan w:val="2"/>
          </w:tcPr>
          <w:p>
            <w:pPr>
              <w:spacing w:after="0" w:line="155" w:lineRule="exact"/>
              <w:rPr>
                <w:sz w:val="20"/>
                <w:szCs w:val="20"/>
                <w:color w:val="auto"/>
              </w:rPr>
            </w:pPr>
            <w:r>
              <w:rPr>
                <w:rFonts w:ascii="Arial" w:cs="Arial" w:eastAsia="Arial" w:hAnsi="Arial"/>
                <w:sz w:val="14"/>
                <w:szCs w:val="14"/>
                <w:color w:val="auto"/>
              </w:rPr>
              <w:t>Balances as of March 31, 2018</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3,333,333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31,450,499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28,519,322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61,000</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2,335,926</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(33,511)</w:t>
            </w:r>
          </w:p>
        </w:tc>
        <w:tc>
          <w:tcPr>
            <w:tcW w:w="1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warrants to</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shares of 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warrants to purchase common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Conversion of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(3,333,333)</w:t>
            </w: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auto"/>
              </w:rPr>
              <w:t>(1,500)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(31,450,499)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(25,000)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(28,519,322)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1"/>
              </w:rPr>
              <w:t>(61,000)</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15,320,213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87,498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87,500</w:t>
            </w:r>
          </w:p>
        </w:tc>
        <w:tc>
          <w:tcPr>
            <w:tcW w:w="10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 forma balance as of March 31,</w:t>
            </w: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17,656,139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87,654</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(33,620)</w:t>
            </w: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54,036</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(8,242)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Payments of initial public offering costs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58,208</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57,928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paid for by landlord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Through March 31, 2018, the Company has funded its operations primarily with proceeds from the sale of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 Company has incurred recurring losses since its inception, including net losses of $8,242 for the three months ended March 31, 2018. In addition, as of March 31, 2018, the Company had an accumulated deficit of $33,621.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believes the cash and cash equivalents on hand as of March 31, 2018 of $57,928 will be sufficient to fund its operations and capital expenditure requirements through at least May 11, 2019.</w:t>
      </w:r>
    </w:p>
    <w:p>
      <w:pPr>
        <w:spacing w:after="0" w:line="275" w:lineRule="exact"/>
        <w:rPr>
          <w:sz w:val="20"/>
          <w:szCs w:val="20"/>
          <w:color w:val="auto"/>
        </w:rPr>
      </w:pPr>
    </w:p>
    <w:p>
      <w:pPr>
        <w:ind w:left="640" w:right="7440" w:hanging="436"/>
        <w:spacing w:after="0" w:line="378" w:lineRule="auto"/>
        <w:tabs>
          <w:tab w:leader="none" w:pos="379"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120" w:firstLine="44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March 31, 2018, and the results of its operations and its cash flows for the three months ended March 31, 2017 and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results for the three months ended March 31,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elsewhere in the Company’s confidentially submitted Registration Statement on Form S-1.</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2017 included in the Company’s Form S-1. Since the date of such consolidated financial statements, there have been no changes to the Company’s significant accounting policies.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accompanying unaudited pro forma condensed consolidated balance sheet and statement of redeemable convertible preferred stock and stockholders’ (deficit) equity as of March 31, 2018 has been prepared to give effect, upon the closing of a qualified initial public offering (“IPO”), to the conversion of all outstanding shares of redeemable convertible preferred stock into 15,320,213 shares of common stock and the conversion of the outstanding warrant to purchase shares of redeemable convertible preferred stock as of March 31, 2018 into a warrant to purchase shares of common stock as if the Company’s proposed IPO had occurred on March 31, 2018.</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unaudited condensed consolidated statements of operations and comprehensive loss, the unaudited pro forma basic and diluted net loss per share attributable to common stockholders for the three months ended March 31, 2018 has been computed using the weighted-average number of common shares outstanding after giving pro forma effect to the conversion of all outstanding shares of redeemable convertible preferred stock into shares of common stock and the conversion of the outstanding warrant to purchase shares of redeemable convertible preferred stock as of March 31, 2018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becomes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80"/>
          </w:cols>
          <w:pgMar w:left="240" w:top="460"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and indicates the level of the fair value hierarchy utilized to determine such fair values as of December 31, 2017 and March 31, 2018, respectively:</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March 31, 2018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three months ended March 31, 2017 and 2018,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60" w:type="dxa"/>
            <w:vAlign w:val="bottom"/>
            <w:gridSpan w:val="4"/>
          </w:tcPr>
          <w:p>
            <w:pPr>
              <w:ind w:left="2000"/>
              <w:spacing w:after="0"/>
              <w:rPr>
                <w:sz w:val="20"/>
                <w:szCs w:val="20"/>
                <w:color w:val="auto"/>
              </w:rPr>
            </w:pPr>
            <w:r>
              <w:rPr>
                <w:rFonts w:ascii="Arial" w:cs="Arial" w:eastAsia="Arial" w:hAnsi="Arial"/>
                <w:sz w:val="14"/>
                <w:szCs w:val="14"/>
                <w:b w:val="1"/>
                <w:bCs w:val="1"/>
                <w:color w:val="auto"/>
              </w:rPr>
              <w:t>December 31, 2017</w:t>
            </w:r>
          </w:p>
        </w:tc>
        <w:tc>
          <w:tcPr>
            <w:tcW w:w="172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2.40%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82.00%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82.00%</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24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4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42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March 31, 2017 and 2018, the Company remeasured the fair value of the derivative, using current assumptions, resulting in an increase in fair value of $32 and $587, respectively, which was recorded in other expense in the accompanying condensed consolidated statements of operations and comprehensive loss for the three months ended March 31, 2017 and 2018.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6"/>
          </w:tcPr>
          <w:p>
            <w:pPr>
              <w:ind w:left="4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7"/>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three months ended March 31, 2017 and 2018 was $2 and $21,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Short-term 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Legal services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March 31, 2018, the Company had not drawn down from the facility and $10,000 was available to the Company.</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March 31, 2018.</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March 31, 2018,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March 31, 2018, and determined that the fair value of the preferred stock warrant liability was $35 and $47, respectively. The Company recognized a loss of $12 in the condensed consolidated statements of operations and comprehensive loss for the three months ended March 31, 2018,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As of March 31, 2018, the authorized capital stock of the Company included 63,491,857 shares of $0.0001 par value preferred stock, of which 3,333,333 shares have been designated as Series Seed redeemable convertible preferred stock (the “Series Seed Preferred Stock), 31,639,202 shares have been designated as Series A redeemable convertible preferred stock (the “Series A Preferred Stock) and 28,519,322 shares have been designated as Series B redeemable convertible preferred stock (the “Series B Preferred Stock) (the Series Seed Preferred Stock, the Series A Preferred Stock and the Series B Preferred Stock are collectively referred to as the “Preferred Stock”).</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March 31, 2018,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31,639,202</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25,000,000</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34,972,535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26,500,000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31,639,202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28,519,322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63,491,857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63,303,154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87,500,000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87,500,000</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15,320,213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March 31, 2018, the rights and preferences of the holders of the Preferred Stock had not been changed since December 31, 2017, except for the following which were amended upon issuance of Series B Preferred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deemed liquidation event, each holder of the then outstanding Series A Preferred Stock and Series B Preferred Stock will be entitled to receive, prior and in preference to any distributions to the holders of Series Seed Preferred Stock and common stock, an amount equal to the greater of (i) $0.7949 per share for Series A and $2.1389 per share for Series B Preferred Stock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and Series B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6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and without the payment of additional consideration, at the applicable conversion ratio then in effect for each series of Preferred Stock, initially set to be one-for-one, and subject to adjustment in accordance with anti-dilution provisions. In addition, each share of Preferred Stock will be automatically converted into common stock at the applicable conversion ratio then in effect for each series of Preferred Stock upon the earlier of a qualified IPO which results in net proceeds of at least $50,000 with the issuance price at least 1.5 times the original issue price of Series B Preferred Stock and the listing of the Company’s common stock on the New York Stock Exchange or the Nasdaq Stock Market, or upon a vote of the holders of a majority of the outstanding Preferred Stock. As of March 31, 2018, each share of Preferred Stock was convertible into 0.242 shares of common stock and can be adjusted in the event of any stock dividend, stock split, combination or other similar recapitalization with respect to the Preferred Stock.</w:t>
      </w:r>
    </w:p>
    <w:p>
      <w:pPr>
        <w:spacing w:after="0" w:line="17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w:t>
      </w:r>
    </w:p>
    <w:p>
      <w:pPr>
        <w:spacing w:after="0" w:line="16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Series Seed Preferred Stock, Series A Preferred Stock and Series B Preferred Stock are redeemable at $0.45 per share, $0.7949 per share and $2.1389 per share, respectively, (adjusted in the event of any stock dividend, stock split, combination or other similar activity) plus any declared but unpaid dividends, on or after January 19, 2023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March 31, 2018, the authorized capital stock of the Company included 82,000,000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March 31 2018, no cash dividends have been declared or paid.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March 31, 2018, the Company has reserved the following shares of common stock for future issuance: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7,611,438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Series B Preferred Stock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6,902,064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860" w:type="dxa"/>
            <w:vAlign w:val="bottom"/>
          </w:tcPr>
          <w:p>
            <w:pPr>
              <w:jc w:val="right"/>
              <w:spacing w:after="0"/>
              <w:rPr>
                <w:sz w:val="20"/>
                <w:szCs w:val="20"/>
                <w:color w:val="auto"/>
              </w:rPr>
            </w:pPr>
            <w:r>
              <w:rPr>
                <w:rFonts w:ascii="Arial" w:cs="Arial" w:eastAsia="Arial" w:hAnsi="Arial"/>
                <w:sz w:val="18"/>
                <w:szCs w:val="18"/>
                <w:color w:val="auto"/>
              </w:rPr>
              <w:t>276,301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245,548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1,788,750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issuance under the 2015 Stock Option and Grant Plan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143,717</w:t>
            </w: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9,873,128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17,412,983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as of March 31, 2018, of which 58,472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During the three months ended March 31, 2018, the Company granted options to purchase 753,789 shares of common stock to employees and members of the Board. No options were granted by the Company during the three months ended March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59" w:right="4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tcPr>
          <w:p>
            <w:pPr>
              <w:jc w:val="center"/>
              <w:ind w:left="58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33"/>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0" w:type="dxa"/>
            <w:vAlign w:val="bottom"/>
            <w:gridSpan w:val="6"/>
          </w:tcPr>
          <w:p>
            <w:pPr>
              <w:ind w:left="420"/>
              <w:spacing w:after="0"/>
              <w:rPr>
                <w:sz w:val="20"/>
                <w:szCs w:val="20"/>
                <w:color w:val="auto"/>
              </w:rPr>
            </w:pPr>
            <w:r>
              <w:rPr>
                <w:rFonts w:ascii="Arial" w:cs="Arial" w:eastAsia="Arial" w:hAnsi="Arial"/>
                <w:sz w:val="18"/>
                <w:szCs w:val="18"/>
                <w:color w:val="auto"/>
                <w:w w:val="93"/>
              </w:rPr>
              <w:t>The following table summarizes the Company’s stock option activity for the three months ended March 31, 2018:</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Weighted-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60" w:type="dxa"/>
            <w:vAlign w:val="bottom"/>
            <w:gridSpan w:val="4"/>
            <w:vMerge w:val="restart"/>
          </w:tcPr>
          <w:p>
            <w:pPr>
              <w:jc w:val="center"/>
              <w:ind w:left="3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Term</w:t>
            </w:r>
          </w:p>
        </w:tc>
        <w:tc>
          <w:tcPr>
            <w:tcW w:w="56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753,789</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1,788,750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2018</w:t>
            </w:r>
          </w:p>
        </w:tc>
        <w:tc>
          <w:tcPr>
            <w:tcW w:w="780" w:type="dxa"/>
            <w:vAlign w:val="bottom"/>
            <w:tcBorders>
              <w:bottom w:val="single" w:sz="8" w:color="auto"/>
            </w:tcBorders>
          </w:tcPr>
          <w:p>
            <w:pPr>
              <w:spacing w:after="0" w:line="20" w:lineRule="exact"/>
              <w:rPr>
                <w:sz w:val="1"/>
                <w:szCs w:val="1"/>
                <w:color w:val="auto"/>
              </w:rPr>
            </w:pP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340" w:type="dxa"/>
            <w:vAlign w:val="bottom"/>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8.22</w:t>
            </w:r>
          </w:p>
        </w:tc>
        <w:tc>
          <w:tcPr>
            <w:tcW w:w="680" w:type="dxa"/>
            <w:vAlign w:val="bottom"/>
            <w:gridSpan w:val="2"/>
            <w:vMerge w:val="restart"/>
          </w:tcPr>
          <w:p>
            <w:pPr>
              <w:jc w:val="center"/>
              <w:ind w:left="434"/>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1,802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222,905</w:t>
            </w: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1,565,845</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6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March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grant-date fair value of the Company’s stock options granted during the three months ended March 31, 2018 was $6.99.</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5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4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276,301</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(30,753)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4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 unvested as of March 31, 2018</w:t>
            </w:r>
          </w:p>
        </w:tc>
        <w:tc>
          <w:tcPr>
            <w:tcW w:w="4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245,548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140" w:type="dxa"/>
            <w:vAlign w:val="bottom"/>
            <w:gridSpan w:val="3"/>
          </w:tcPr>
          <w:p>
            <w:pPr>
              <w:jc w:val="right"/>
              <w:ind w:right="3780"/>
              <w:spacing w:after="0"/>
              <w:rPr>
                <w:sz w:val="20"/>
                <w:szCs w:val="20"/>
                <w:color w:val="auto"/>
              </w:rPr>
            </w:pPr>
            <w:r>
              <w:rPr>
                <w:rFonts w:ascii="Arial" w:cs="Arial" w:eastAsia="Arial" w:hAnsi="Arial"/>
                <w:sz w:val="18"/>
                <w:szCs w:val="18"/>
                <w:color w:val="auto"/>
              </w:rPr>
              <w:t>F-52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total fair value of restricted common stock vested during the three months ended March 31, 2017 and 2018 was $9 and $13,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March 31, 2018, total unrecognized compensation cost related to the unvested stock-based awards was $6,043, which is expected to be recognized over a weighted-average period of 3.81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March 31, 2017 and 2018, no upfront fee and maintenance fees were incurred related to Fabry license agreement.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For the three months ended March 31, 2017 and 2018, the Company recorded research and development expense related to this agreement with UHN of $151 and $41,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upfront fees related to the license were recorded for the three months ended March 31, 2018.</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three months ended March 31, 2018.</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w:t>
      </w:r>
    </w:p>
    <w:p>
      <w:pPr>
        <w:spacing w:after="0" w:line="2" w:lineRule="exact"/>
        <w:rPr>
          <w:sz w:val="20"/>
          <w:szCs w:val="20"/>
          <w:color w:val="auto"/>
        </w:rPr>
      </w:pPr>
    </w:p>
    <w:p>
      <w:pPr>
        <w:jc w:val="both"/>
        <w:ind w:left="200" w:right="40" w:firstLine="4"/>
        <w:spacing w:after="0" w:line="273" w:lineRule="auto"/>
        <w:tabs>
          <w:tab w:leader="none" w:pos="5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three months ended March 31, 2017 and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the warrant to purchase shares of Series A Preferred Stock and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388,735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245,548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4,155,742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15,320,213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three months ended March 31, 2018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 the effects of the accretion of Preferred Stock to redemption value or the change in fair value of the warrant to purchase shares of Series A Preferred Stock because the calculation gives effect to the conversion of shares of Preferred Stock outstanding as of March 31, 2018 into common stock and the conversion of the warrant to purchase shares of Series A Preferred Stock outstanding as of March 31, 2018 into a warrant to purchase shares of common stock, as if such conversion had occurred at the beginning of the period presented or the date of original issuance, whichever is later.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13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 on redeemable convertible preferred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used in computing net loss per share attributable to common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2,324,790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 forma adjustment to reflect assumed conversion of redeemable convertible preferred stock into common stock</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13,863,111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weighted-average number of common shares used in computing pro forma net loss per share attributable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stockholders—basic and 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16,187,901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current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$181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existing lease agreement.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recorded rent expense of $57 and $171 during the three months ended March 31, 2017 and 2018,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2017 and 2018,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2017 and March 31, 2018, or royalties on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sales of specified products. No milestone or royalty payments under these agreements are expected to be payable in the immediate future.</w:t>
      </w:r>
    </w:p>
    <w:p>
      <w:pPr>
        <w:spacing w:after="0" w:line="23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1,161,665 shares of its common stock. As a result of the issuance of common stock, UHN owned 9.65% and 5.90% of the Company’s fully diluted equity as of December 31, 2017 and March 31, 2018,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73"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2017 and 2018, the Company recognized $151 and $41 respectively, of research and development expense related to the license agreements with UHN.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For the three months ended March 31, 2017, the Company recorded expenses of $15 related to services provided by an entity affiliated with a member of the Board and the use of office space. The lease was terminated in February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 (Topic 260), Distinguishing Liabilities from Equity (Topic 480),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(Topic 815) I. Accounting for Certain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Part I applies to entities that issue financial instruments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240" w:top="460"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w:t>
      </w:r>
    </w:p>
    <w:p>
      <w:pPr>
        <w:ind w:left="200"/>
        <w:spacing w:after="0" w:line="292" w:lineRule="auto"/>
        <w:rPr>
          <w:sz w:val="20"/>
          <w:szCs w:val="20"/>
          <w:color w:val="auto"/>
        </w:rPr>
      </w:pPr>
      <w:r>
        <w:rPr>
          <w:rFonts w:ascii="Arial" w:cs="Arial" w:eastAsia="Arial" w:hAnsi="Arial"/>
          <w:sz w:val="16"/>
          <w:szCs w:val="16"/>
          <w:color w:val="auto"/>
        </w:rPr>
        <w:t>12 months regardless of their classification. Leases with a term of 12 months or less may be accounted for similar to existing guidance for operating leases today. ASU 2016-02 supersedes the previous leases standard, ASC 840, Leases.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has completed an evaluation of all subsequent events after the unaudited balance sheet date of March 31, 2018 through the filing date of this Registration Statement on Form S-1 with the SEC, to ensure that these consolidated financial statements include appropriate disclosure of events both recognized in the consolidated financial statements as of March 31, 2018, and events which occurred subsequently but were not recognized in the consolidated financial statements. The Company has concluded that no subsequent events have occurred that require disclosure, except as disclosed within these unaudited condensed consolidated financial statements.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7, 2018. Stockholders entitled to fractional shares as a result of the reverse stock split will receive a cash payment in lieu of receiving fractional shares. All share and per share data shown in the accompanying unaudited condensed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The AVROBIO, Inc. 2018 Stock Option and Incentive Plan (the 2018 Plan) was adopted by the Board June 1, 2018 and approved by stockholders on June 7, 2018 and will become effective upon the effectiveness of the Company’s Registration Statement on Form S-1. The 2018 Plan will replace the 2015 Plan as the Board determined not to make additional awards under the 2015 Plan following the pricing of the Company’s IPO.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24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2018 Plan allows the compensation committee to make equity-based and cash-based incentive awards to our officers, employees, directors and other key persons (including consultants).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initially reserved 616,300 shares of our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This number is subject to adjustment in the event of a stock split, stock dividend or other change in our capitalization.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AVROBIO, Inc. 2018 Employee Stock Purchase Plan (the ESPP) was adopted by the Board on June 1, 2018 and approved by stockholders on June 7, 2018 and will become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80" w:firstLine="4"/>
        <w:spacing w:after="0" w:line="255" w:lineRule="auto"/>
        <w:tabs>
          <w:tab w:leader="none" w:pos="4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Certificate of Incorporation</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June 1, 2018, the Board also approved for filing immediately following the effectiveness of the Company’s registration statement in connection with its IPO, the Fourth Amended and Restated Certificate of Incorporation, which shall, among other matters: (i) authorize 150,000,000 shares of common stock, $0.0001 par value and (ii) create 10,000,000 shares of undesignated preferred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right"/>
        <w:ind w:right="3379"/>
        <w:spacing w:after="0"/>
        <w:rPr>
          <w:sz w:val="20"/>
          <w:szCs w:val="20"/>
          <w:color w:val="auto"/>
        </w:rPr>
      </w:pPr>
      <w:r>
        <w:rPr>
          <w:rFonts w:ascii="Arial" w:cs="Arial" w:eastAsia="Arial" w:hAnsi="Arial"/>
          <w:sz w:val="32"/>
          <w:szCs w:val="32"/>
          <w:i w:val="1"/>
          <w:iCs w:val="1"/>
          <w:color w:val="auto"/>
        </w:rPr>
        <w:t>4,412,000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2651760</wp:posOffset>
            </wp:positionV>
            <wp:extent cx="1551940" cy="394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740"/>
        <w:spacing w:after="0"/>
        <w:rPr>
          <w:sz w:val="20"/>
          <w:szCs w:val="20"/>
          <w:color w:val="auto"/>
        </w:rPr>
      </w:pPr>
      <w:r>
        <w:rPr>
          <w:rFonts w:ascii="Arial" w:cs="Arial" w:eastAsia="Arial" w:hAnsi="Arial"/>
          <w:sz w:val="30"/>
          <w:szCs w:val="30"/>
          <w:i w:val="1"/>
          <w:iCs w:val="1"/>
          <w:color w:val="auto"/>
        </w:rPr>
        <w:t>Common Stock</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40"/>
        <w:spacing w:after="0"/>
        <w:rPr>
          <w:sz w:val="20"/>
          <w:szCs w:val="20"/>
          <w:color w:val="auto"/>
        </w:rPr>
      </w:pPr>
      <w:r>
        <w:rPr>
          <w:rFonts w:ascii="Arial" w:cs="Arial" w:eastAsia="Arial" w:hAnsi="Arial"/>
          <w:sz w:val="19"/>
          <w:szCs w:val="19"/>
          <w:i w:val="1"/>
          <w:iCs w:val="1"/>
          <w:color w:val="auto"/>
        </w:rPr>
        <w:t>PRELIMINARY PROSPECTUS</w:t>
      </w:r>
    </w:p>
    <w:p>
      <w:pPr>
        <w:sectPr>
          <w:pgSz w:w="11900" w:h="16838" w:orient="portrait"/>
          <w:cols w:equalWidth="0" w:num="1">
            <w:col w:w="10219"/>
          </w:cols>
          <w:pgMar w:left="240" w:top="459" w:right="1440" w:bottom="1440" w:gutter="0" w:footer="0" w:header="0"/>
          <w:type w:val="continuous"/>
        </w:sectPr>
      </w:pPr>
    </w:p>
    <w:bookmarkStart w:id="237" w:name="page238"/>
    <w:bookmarkEnd w:id="237"/>
    <w:p>
      <w:pPr>
        <w:jc w:val="center"/>
        <w:spacing w:after="0"/>
        <w:rPr>
          <w:sz w:val="20"/>
          <w:szCs w:val="20"/>
          <w:color w:val="auto"/>
        </w:rPr>
      </w:pPr>
      <w:r>
        <w:rPr>
          <w:rFonts w:ascii="Arial" w:cs="Arial" w:eastAsia="Arial" w:hAnsi="Arial"/>
          <w:sz w:val="36"/>
          <w:szCs w:val="36"/>
          <w:i w:val="1"/>
          <w:iCs w:val="1"/>
          <w:color w:val="auto"/>
        </w:rPr>
        <w:t>MORGAN STANLEY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COWEN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WELLS FARGO SECURITIES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 2018</w:t>
      </w:r>
    </w:p>
    <w:p>
      <w:pPr>
        <w:sectPr>
          <w:pgSz w:w="11900" w:h="16838" w:orient="portrait"/>
          <w:cols w:equalWidth="0" w:num="1">
            <w:col w:w="9019"/>
          </w:cols>
          <w:pgMar w:left="1440" w:top="111" w:right="1440"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FINRA filing fee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Printing and mailing</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Miscellaneous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2,276,000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60" w:right="40" w:hanging="424"/>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intend to enter into such agreements with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November 2015, we sold an aggregate of 1,258,467 shares of common stock to our three founders and a consultant for nominal value.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2016, we sold an aggregate of 1,161,665 shares of common stock to one stockholder for nominal value.</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to one investor for aggregate consideration of approximately $1.5 million.</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July 2016, with subsequent closings in March 2017 and October 2017, we sold an aggregate of 31,450,499 shares of our Series A preferred stock to 4 investors for aggregate consideration of approximately $25 million.</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granted stock options to purchase an aggregate of 1,788,750 shares of our common stock, with exercise prices ranging from $0.41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 per share, to employees, directors and consultants pursuant to the Amended and Restated 2015 Stock Option and Grant Plan, or the 2015 Plan. No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have been issued upon the exercise of stock options pursuant to the 2015 Plan.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April 2016, we issued an aggregate of 161,342 shares of restricted stock to one employee under the 2015 Plan.</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Issuance of Warrant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June 2017, we issued a warrant to purchase an aggregate of 28,305 shares of our Series A preferred stock, with an exercise price of $0.7949 per share, to Silicon Valley Bank. No shares of Series A preferred stock have been issued upon the exercise of this warrant. The issuance of this warrant was deemed to be exempt from registration pursuant to Section 4(a)(2) of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gridSpan w:val="7"/>
            <w:vMerge w:val="restart"/>
          </w:tcPr>
          <w:p>
            <w:pPr>
              <w:ind w:left="8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3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2"/>
                <w:szCs w:val="22"/>
                <w:color w:val="auto"/>
              </w:rPr>
            </w:pPr>
          </w:p>
        </w:tc>
        <w:tc>
          <w:tcPr>
            <w:tcW w:w="9560" w:type="dxa"/>
            <w:vAlign w:val="bottom"/>
            <w:gridSpan w:val="12"/>
          </w:tcPr>
          <w:p>
            <w:pPr>
              <w:spacing w:after="0"/>
              <w:rPr>
                <w:rFonts w:ascii="Arial" w:cs="Arial" w:eastAsia="Arial" w:hAnsi="Arial"/>
                <w:sz w:val="18"/>
                <w:szCs w:val="18"/>
                <w:color w:val="0000EE"/>
              </w:rPr>
            </w:pPr>
            <w:hyperlink r:id="rId313">
              <w:r>
                <w:rPr>
                  <w:rFonts w:ascii="Arial" w:cs="Arial" w:eastAsia="Arial" w:hAnsi="Arial"/>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4"/>
                <w:szCs w:val="24"/>
                <w:color w:val="auto"/>
              </w:rPr>
            </w:pPr>
          </w:p>
        </w:tc>
        <w:tc>
          <w:tcPr>
            <w:tcW w:w="6960" w:type="dxa"/>
            <w:vAlign w:val="bottom"/>
            <w:tcBorders>
              <w:bottom w:val="single" w:sz="8" w:color="0000EE"/>
            </w:tcBorders>
            <w:gridSpan w:val="9"/>
          </w:tcPr>
          <w:p>
            <w:pPr>
              <w:spacing w:after="0"/>
              <w:rPr>
                <w:rFonts w:ascii="Arial" w:cs="Arial" w:eastAsia="Arial" w:hAnsi="Arial"/>
                <w:sz w:val="18"/>
                <w:szCs w:val="18"/>
                <w:color w:val="0000EE"/>
                <w:w w:val="91"/>
              </w:rPr>
            </w:pPr>
            <w:hyperlink r:id="rId314">
              <w:r>
                <w:rPr>
                  <w:rFonts w:ascii="Arial" w:cs="Arial" w:eastAsia="Arial" w:hAnsi="Arial"/>
                  <w:sz w:val="18"/>
                  <w:szCs w:val="18"/>
                  <w:color w:val="0000EE"/>
                  <w:w w:val="91"/>
                </w:rPr>
                <w:t>Third Amended and Restated Certificate of Incorporation of the Registrant, as currently in effect</w:t>
              </w:r>
            </w:hyperlink>
          </w:p>
        </w:tc>
        <w:tc>
          <w:tcPr>
            <w:tcW w:w="2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24"/>
                <w:szCs w:val="24"/>
                <w:color w:val="auto"/>
              </w:rPr>
            </w:pPr>
          </w:p>
        </w:tc>
        <w:tc>
          <w:tcPr>
            <w:tcW w:w="6500" w:type="dxa"/>
            <w:vAlign w:val="bottom"/>
            <w:tcBorders>
              <w:bottom w:val="single" w:sz="8" w:color="0000EE"/>
            </w:tcBorders>
            <w:gridSpan w:val="8"/>
          </w:tcPr>
          <w:p>
            <w:pPr>
              <w:spacing w:after="0"/>
              <w:rPr>
                <w:rFonts w:ascii="Arial" w:cs="Arial" w:eastAsia="Arial" w:hAnsi="Arial"/>
                <w:sz w:val="18"/>
                <w:szCs w:val="18"/>
                <w:color w:val="0000EE"/>
                <w:w w:val="91"/>
              </w:rPr>
            </w:pPr>
            <w:hyperlink r:id="rId315">
              <w:r>
                <w:rPr>
                  <w:rFonts w:ascii="Arial" w:cs="Arial" w:eastAsia="Arial" w:hAnsi="Arial"/>
                  <w:sz w:val="18"/>
                  <w:szCs w:val="18"/>
                  <w:color w:val="0000EE"/>
                  <w:w w:val="91"/>
                </w:rPr>
                <w:t>Amendment to Third Amended and Restated Certificate of Incorporation of the Registrant</w:t>
              </w:r>
            </w:hyperlink>
          </w:p>
        </w:tc>
        <w:tc>
          <w:tcPr>
            <w:tcW w:w="3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40" w:type="dxa"/>
            <w:vAlign w:val="bottom"/>
          </w:tcPr>
          <w:p>
            <w:pPr>
              <w:spacing w:after="0"/>
              <w:rPr>
                <w:sz w:val="24"/>
                <w:szCs w:val="24"/>
                <w:color w:val="auto"/>
              </w:rPr>
            </w:pPr>
          </w:p>
        </w:tc>
        <w:tc>
          <w:tcPr>
            <w:tcW w:w="8960" w:type="dxa"/>
            <w:vAlign w:val="bottom"/>
            <w:tcBorders>
              <w:bottom w:val="single" w:sz="8" w:color="0000EE"/>
            </w:tcBorders>
            <w:gridSpan w:val="10"/>
          </w:tcPr>
          <w:p>
            <w:pPr>
              <w:spacing w:after="0"/>
              <w:rPr>
                <w:rFonts w:ascii="Arial" w:cs="Arial" w:eastAsia="Arial" w:hAnsi="Arial"/>
                <w:sz w:val="18"/>
                <w:szCs w:val="18"/>
                <w:color w:val="0000EE"/>
                <w:w w:val="91"/>
              </w:rPr>
            </w:pPr>
            <w:hyperlink r:id="rId316">
              <w:r>
                <w:rPr>
                  <w:rFonts w:ascii="Arial" w:cs="Arial" w:eastAsia="Arial" w:hAnsi="Arial"/>
                  <w:sz w:val="18"/>
                  <w:szCs w:val="18"/>
                  <w:color w:val="0000EE"/>
                  <w:w w:val="91"/>
                </w:rPr>
                <w:t>Form of Fourth Amended and Restated Certificate of Incorporation of the Registrant (to be effective upon the closing of this</w:t>
              </w:r>
            </w:hyperlink>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316">
              <w:r>
                <w:rPr>
                  <w:rFonts w:ascii="Arial" w:cs="Arial" w:eastAsia="Arial" w:hAnsi="Arial"/>
                  <w:sz w:val="18"/>
                  <w:szCs w:val="18"/>
                  <w:color w:val="0000EE"/>
                  <w:w w:val="93"/>
                </w:rPr>
                <w:t>offering)</w:t>
              </w:r>
            </w:hyperlink>
          </w:p>
        </w:tc>
        <w:tc>
          <w:tcPr>
            <w:tcW w:w="89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24"/>
                <w:szCs w:val="24"/>
                <w:color w:val="auto"/>
              </w:rPr>
            </w:pPr>
          </w:p>
        </w:tc>
        <w:tc>
          <w:tcPr>
            <w:tcW w:w="3420" w:type="dxa"/>
            <w:vAlign w:val="bottom"/>
            <w:tcBorders>
              <w:bottom w:val="single" w:sz="8" w:color="0000EE"/>
            </w:tcBorders>
            <w:gridSpan w:val="5"/>
          </w:tcPr>
          <w:p>
            <w:pPr>
              <w:spacing w:after="0"/>
              <w:rPr>
                <w:rFonts w:ascii="Arial" w:cs="Arial" w:eastAsia="Arial" w:hAnsi="Arial"/>
                <w:sz w:val="18"/>
                <w:szCs w:val="18"/>
                <w:color w:val="0000EE"/>
                <w:w w:val="91"/>
              </w:rPr>
            </w:pPr>
            <w:hyperlink r:id="rId317">
              <w:r>
                <w:rPr>
                  <w:rFonts w:ascii="Arial" w:cs="Arial" w:eastAsia="Arial" w:hAnsi="Arial"/>
                  <w:sz w:val="18"/>
                  <w:szCs w:val="18"/>
                  <w:color w:val="0000EE"/>
                  <w:w w:val="91"/>
                </w:rPr>
                <w:t>By-laws of the Registrant, as currently in effect</w:t>
              </w:r>
            </w:hyperlink>
          </w:p>
        </w:tc>
        <w:tc>
          <w:tcPr>
            <w:tcW w:w="6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r:id="rId318">
              <w:r>
                <w:rPr>
                  <w:rFonts w:ascii="Arial" w:cs="Arial" w:eastAsia="Arial" w:hAnsi="Arial"/>
                  <w:sz w:val="18"/>
                  <w:szCs w:val="18"/>
                  <w:color w:val="0000EE"/>
                </w:rPr>
                <w:t>Form of Amended and Restated By-laws (to be effective upon the closing of this offering)</w:t>
              </w:r>
            </w:hyperlink>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319">
              <w:r>
                <w:rPr>
                  <w:rFonts w:ascii="Arial" w:cs="Arial" w:eastAsia="Arial" w:hAnsi="Arial"/>
                  <w:sz w:val="18"/>
                  <w:szCs w:val="18"/>
                  <w:color w:val="0000EE"/>
                  <w:w w:val="91"/>
                </w:rPr>
                <w:t>Form of Specimen Common Stock Certificate</w:t>
              </w:r>
            </w:hyperlink>
          </w:p>
        </w:tc>
        <w:tc>
          <w:tcPr>
            <w:tcW w:w="3160" w:type="dxa"/>
            <w:vAlign w:val="bottom"/>
            <w:tcBorders>
              <w:top w:val="single" w:sz="8" w:color="0000EE"/>
            </w:tcBorders>
            <w:gridSpan w:val="3"/>
          </w:tcPr>
          <w:p>
            <w:pPr>
              <w:spacing w:after="0"/>
              <w:rPr>
                <w:sz w:val="24"/>
                <w:szCs w:val="24"/>
                <w:color w:val="auto"/>
              </w:rPr>
            </w:pPr>
          </w:p>
        </w:tc>
        <w:tc>
          <w:tcPr>
            <w:tcW w:w="30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w w:val="90"/>
              </w:rPr>
            </w:pPr>
            <w:hyperlink r:id="rId320">
              <w:r>
                <w:rPr>
                  <w:rFonts w:ascii="Arial" w:cs="Arial" w:eastAsia="Arial" w:hAnsi="Arial"/>
                  <w:sz w:val="18"/>
                  <w:szCs w:val="18"/>
                  <w:color w:val="0000EE"/>
                  <w:w w:val="90"/>
                </w:rPr>
                <w:t>Second Amended and Restated Investors’ Rights Agreement among the Registrant and certain of its stockholders, dated January 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320">
              <w:r>
                <w:rPr>
                  <w:rFonts w:ascii="Arial" w:cs="Arial" w:eastAsia="Arial" w:hAnsi="Arial"/>
                  <w:sz w:val="18"/>
                  <w:szCs w:val="18"/>
                  <w:color w:val="0000EE"/>
                  <w:w w:val="84"/>
                </w:rPr>
                <w:t>2018</w:t>
              </w:r>
            </w:hyperlink>
          </w:p>
        </w:tc>
        <w:tc>
          <w:tcPr>
            <w:tcW w:w="2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r:id="rId321">
              <w:r>
                <w:rPr>
                  <w:rFonts w:ascii="Arial" w:cs="Arial" w:eastAsia="Arial" w:hAnsi="Arial"/>
                  <w:sz w:val="18"/>
                  <w:szCs w:val="18"/>
                  <w:color w:val="0000EE"/>
                </w:rPr>
                <w:t>Warrant to Purchase Stock issued to Silicon Valley Bank, dated June 23, 2017</w:t>
              </w:r>
            </w:hyperlink>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ind w:left="480"/>
              <w:spacing w:after="0"/>
              <w:rPr>
                <w:sz w:val="20"/>
                <w:szCs w:val="20"/>
                <w:color w:val="auto"/>
              </w:rPr>
            </w:pPr>
            <w:r>
              <w:rPr>
                <w:rFonts w:ascii="Arial" w:cs="Arial" w:eastAsia="Arial" w:hAnsi="Arial"/>
                <w:sz w:val="18"/>
                <w:szCs w:val="18"/>
                <w:color w:val="auto"/>
              </w:rPr>
              <w:t>II-3</w:t>
            </w:r>
          </w:p>
        </w:tc>
        <w:tc>
          <w:tcPr>
            <w:tcW w:w="39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80" w:type="dxa"/>
            <w:vAlign w:val="bottom"/>
            <w:gridSpan w:val="13"/>
            <w:vMerge w:val="restart"/>
          </w:tcPr>
          <w:p>
            <w:pPr>
              <w:ind w:left="1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NO.</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8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2"/>
                <w:szCs w:val="22"/>
                <w:color w:val="auto"/>
              </w:rPr>
            </w:pPr>
          </w:p>
        </w:tc>
        <w:tc>
          <w:tcPr>
            <w:tcW w:w="9820" w:type="dxa"/>
            <w:vAlign w:val="bottom"/>
            <w:gridSpan w:val="23"/>
          </w:tcPr>
          <w:p>
            <w:pPr>
              <w:spacing w:after="0"/>
              <w:rPr>
                <w:rFonts w:ascii="Arial" w:cs="Arial" w:eastAsia="Arial" w:hAnsi="Arial"/>
                <w:sz w:val="18"/>
                <w:szCs w:val="18"/>
                <w:color w:val="0000EE"/>
              </w:rPr>
            </w:pPr>
            <w:hyperlink r:id="rId323">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w:t>
            </w:r>
          </w:p>
        </w:tc>
        <w:tc>
          <w:tcPr>
            <w:tcW w:w="9820" w:type="dxa"/>
            <w:vAlign w:val="bottom"/>
            <w:gridSpan w:val="23"/>
          </w:tcPr>
          <w:p>
            <w:pPr>
              <w:spacing w:after="0"/>
              <w:rPr>
                <w:rFonts w:ascii="Arial" w:cs="Arial" w:eastAsia="Arial" w:hAnsi="Arial"/>
                <w:sz w:val="18"/>
                <w:szCs w:val="18"/>
                <w:color w:val="0000EE"/>
              </w:rPr>
            </w:pPr>
            <w:hyperlink r:id="rId324">
              <w:r>
                <w:rPr>
                  <w:rFonts w:ascii="Arial" w:cs="Arial" w:eastAsia="Arial" w:hAnsi="Arial"/>
                  <w:sz w:val="18"/>
                  <w:szCs w:val="18"/>
                  <w:color w:val="0000EE"/>
                </w:rPr>
                <w:t>2015 Amended and Restated Stock Option and Grant Plan, as amended, and forms of award agreements thereunder</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160" w:type="dxa"/>
            <w:vAlign w:val="bottom"/>
            <w:tcBorders>
              <w:bottom w:val="single" w:sz="8" w:color="0000EE"/>
            </w:tcBorders>
            <w:gridSpan w:val="18"/>
          </w:tcPr>
          <w:p>
            <w:pPr>
              <w:spacing w:after="0"/>
              <w:rPr>
                <w:rFonts w:ascii="Arial" w:cs="Arial" w:eastAsia="Arial" w:hAnsi="Arial"/>
                <w:sz w:val="18"/>
                <w:szCs w:val="18"/>
                <w:color w:val="0000EE"/>
                <w:w w:val="90"/>
              </w:rPr>
            </w:pPr>
            <w:hyperlink r:id="rId325">
              <w:r>
                <w:rPr>
                  <w:rFonts w:ascii="Arial" w:cs="Arial" w:eastAsia="Arial" w:hAnsi="Arial"/>
                  <w:sz w:val="18"/>
                  <w:szCs w:val="18"/>
                  <w:color w:val="0000EE"/>
                  <w:w w:val="90"/>
                </w:rPr>
                <w:t>2018 Stock Option and Incentive Plan and forms of award agreements thereunder (to be effective upon the effectiveness of this</w:t>
              </w:r>
            </w:hyperlink>
          </w:p>
        </w:tc>
        <w:tc>
          <w:tcPr>
            <w:tcW w:w="6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325">
              <w:r>
                <w:rPr>
                  <w:rFonts w:ascii="Arial" w:cs="Arial" w:eastAsia="Arial" w:hAnsi="Arial"/>
                  <w:sz w:val="18"/>
                  <w:szCs w:val="18"/>
                  <w:color w:val="0000EE"/>
                  <w:w w:val="89"/>
                </w:rPr>
                <w:t>registration statement)</w:t>
              </w:r>
            </w:hyperlink>
          </w:p>
        </w:tc>
        <w:tc>
          <w:tcPr>
            <w:tcW w:w="82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10.3#*</w:t>
            </w:r>
          </w:p>
        </w:tc>
        <w:tc>
          <w:tcPr>
            <w:tcW w:w="9820" w:type="dxa"/>
            <w:vAlign w:val="bottom"/>
            <w:gridSpan w:val="23"/>
          </w:tcPr>
          <w:p>
            <w:pPr>
              <w:spacing w:after="0"/>
              <w:rPr>
                <w:rFonts w:ascii="Arial" w:cs="Arial" w:eastAsia="Arial" w:hAnsi="Arial"/>
                <w:sz w:val="18"/>
                <w:szCs w:val="18"/>
                <w:color w:val="0000EE"/>
              </w:rPr>
            </w:pPr>
            <w:hyperlink r:id="rId326">
              <w:r>
                <w:rPr>
                  <w:rFonts w:ascii="Arial" w:cs="Arial" w:eastAsia="Arial" w:hAnsi="Arial"/>
                  <w:sz w:val="18"/>
                  <w:szCs w:val="18"/>
                  <w:color w:val="0000EE"/>
                </w:rPr>
                <w:t>Senior Executive Cash Incentive Bonus Plan</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3220" w:type="dxa"/>
            <w:vAlign w:val="bottom"/>
            <w:tcBorders>
              <w:top w:val="single" w:sz="8" w:color="0000EE"/>
            </w:tcBorders>
            <w:gridSpan w:val="9"/>
          </w:tcPr>
          <w:p>
            <w:pPr>
              <w:spacing w:after="0"/>
              <w:rPr>
                <w:rFonts w:ascii="Arial" w:cs="Arial" w:eastAsia="Arial" w:hAnsi="Arial"/>
                <w:sz w:val="18"/>
                <w:szCs w:val="18"/>
                <w:color w:val="0000EE"/>
              </w:rPr>
            </w:pPr>
            <w:hyperlink r:id="rId327">
              <w:r>
                <w:rPr>
                  <w:rFonts w:ascii="Arial" w:cs="Arial" w:eastAsia="Arial" w:hAnsi="Arial"/>
                  <w:sz w:val="18"/>
                  <w:szCs w:val="18"/>
                  <w:color w:val="0000EE"/>
                </w:rPr>
                <w:t>Form of Indemnification Agreement</w:t>
              </w:r>
            </w:hyperlink>
          </w:p>
        </w:tc>
        <w:tc>
          <w:tcPr>
            <w:tcW w:w="6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10.5†*</w:t>
            </w:r>
          </w:p>
        </w:tc>
        <w:tc>
          <w:tcPr>
            <w:tcW w:w="9820" w:type="dxa"/>
            <w:vAlign w:val="bottom"/>
            <w:gridSpan w:val="23"/>
          </w:tcPr>
          <w:p>
            <w:pPr>
              <w:spacing w:after="0"/>
              <w:rPr>
                <w:rFonts w:ascii="Arial" w:cs="Arial" w:eastAsia="Arial" w:hAnsi="Arial"/>
                <w:sz w:val="18"/>
                <w:szCs w:val="18"/>
                <w:color w:val="0000EE"/>
                <w:w w:val="92"/>
              </w:rPr>
            </w:pPr>
            <w:hyperlink r:id="rId328">
              <w:r>
                <w:rPr>
                  <w:rFonts w:ascii="Arial" w:cs="Arial" w:eastAsia="Arial" w:hAnsi="Arial"/>
                  <w:sz w:val="18"/>
                  <w:szCs w:val="18"/>
                  <w:color w:val="0000EE"/>
                  <w:w w:val="92"/>
                </w:rPr>
                <w:t>Exclusive License Agreement, by and between the Registrant and University Health Network, dated November 4, 2016, as amended</w:t>
              </w:r>
            </w:hyperlink>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10.6†*</w:t>
            </w:r>
          </w:p>
        </w:tc>
        <w:tc>
          <w:tcPr>
            <w:tcW w:w="79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329">
              <w:r>
                <w:rPr>
                  <w:rFonts w:ascii="Arial" w:cs="Arial" w:eastAsia="Arial" w:hAnsi="Arial"/>
                  <w:sz w:val="18"/>
                  <w:szCs w:val="18"/>
                  <w:color w:val="0000EE"/>
                  <w:w w:val="90"/>
                </w:rPr>
                <w:t>License Agreement, by and between the Registrant and BioMarin Pharmaceutical Inc., dated August 31, 2017</w:t>
              </w:r>
            </w:hyperlink>
          </w:p>
        </w:tc>
        <w:tc>
          <w:tcPr>
            <w:tcW w:w="1620" w:type="dxa"/>
            <w:vAlign w:val="bottom"/>
            <w:tcBorders>
              <w:top w:val="single" w:sz="8" w:color="0000EE"/>
            </w:tcBorders>
            <w:gridSpan w:val="5"/>
          </w:tcPr>
          <w:p>
            <w:pPr>
              <w:spacing w:after="0"/>
              <w:rPr>
                <w:sz w:val="24"/>
                <w:szCs w:val="24"/>
                <w:color w:val="auto"/>
              </w:rPr>
            </w:pPr>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10.7†*</w:t>
            </w:r>
          </w:p>
        </w:tc>
        <w:tc>
          <w:tcPr>
            <w:tcW w:w="9820" w:type="dxa"/>
            <w:vAlign w:val="bottom"/>
            <w:gridSpan w:val="23"/>
          </w:tcPr>
          <w:p>
            <w:pPr>
              <w:spacing w:after="0"/>
              <w:rPr>
                <w:rFonts w:ascii="Arial" w:cs="Arial" w:eastAsia="Arial" w:hAnsi="Arial"/>
                <w:sz w:val="18"/>
                <w:szCs w:val="18"/>
                <w:color w:val="0000EE"/>
              </w:rPr>
            </w:pPr>
            <w:hyperlink r:id="rId330">
              <w:r>
                <w:rPr>
                  <w:rFonts w:ascii="Arial" w:cs="Arial" w:eastAsia="Arial" w:hAnsi="Arial"/>
                  <w:sz w:val="18"/>
                  <w:szCs w:val="18"/>
                  <w:color w:val="0000EE"/>
                </w:rPr>
                <w:t>Exclusive License Agreement, by and among the Registrant, Stefan Karlsson and Maria Dahl, dated January 30, 2017</w:t>
              </w:r>
            </w:hyperlink>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10.8†*</w:t>
            </w:r>
          </w:p>
        </w:tc>
        <w:tc>
          <w:tcPr>
            <w:tcW w:w="8480" w:type="dxa"/>
            <w:vAlign w:val="bottom"/>
            <w:tcBorders>
              <w:top w:val="single" w:sz="8" w:color="0000EE"/>
            </w:tcBorders>
            <w:gridSpan w:val="17"/>
          </w:tcPr>
          <w:p>
            <w:pPr>
              <w:spacing w:after="0"/>
              <w:rPr>
                <w:rFonts w:ascii="Arial" w:cs="Arial" w:eastAsia="Arial" w:hAnsi="Arial"/>
                <w:sz w:val="18"/>
                <w:szCs w:val="18"/>
                <w:color w:val="0000EE"/>
                <w:w w:val="98"/>
              </w:rPr>
            </w:pPr>
            <w:hyperlink r:id="rId331">
              <w:r>
                <w:rPr>
                  <w:rFonts w:ascii="Arial" w:cs="Arial" w:eastAsia="Arial" w:hAnsi="Arial"/>
                  <w:sz w:val="18"/>
                  <w:szCs w:val="18"/>
                  <w:color w:val="0000EE"/>
                  <w:w w:val="98"/>
                </w:rPr>
                <w:t>License Agreement, by and between the Registrant and GenStem Therapeutics, Inc., dated October 2, 2017</w:t>
              </w:r>
            </w:hyperlink>
          </w:p>
        </w:tc>
        <w:tc>
          <w:tcPr>
            <w:tcW w:w="1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10.9#*</w:t>
            </w:r>
          </w:p>
        </w:tc>
        <w:tc>
          <w:tcPr>
            <w:tcW w:w="9820" w:type="dxa"/>
            <w:vAlign w:val="bottom"/>
            <w:gridSpan w:val="23"/>
          </w:tcPr>
          <w:p>
            <w:pPr>
              <w:spacing w:after="0"/>
              <w:rPr>
                <w:rFonts w:ascii="Arial" w:cs="Arial" w:eastAsia="Arial" w:hAnsi="Arial"/>
                <w:sz w:val="18"/>
                <w:szCs w:val="18"/>
                <w:color w:val="0000EE"/>
                <w:w w:val="91"/>
              </w:rPr>
            </w:pPr>
            <w:hyperlink r:id="rId332">
              <w:r>
                <w:rPr>
                  <w:rFonts w:ascii="Arial" w:cs="Arial" w:eastAsia="Arial" w:hAnsi="Arial"/>
                  <w:sz w:val="18"/>
                  <w:szCs w:val="18"/>
                  <w:color w:val="0000EE"/>
                  <w:w w:val="91"/>
                </w:rPr>
                <w:t>Amended and Restated Employment Agreement, by and between the Registrant and Geoff MacKay (to be effective upon the closing of</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332">
              <w:r>
                <w:rPr>
                  <w:rFonts w:ascii="Arial" w:cs="Arial" w:eastAsia="Arial" w:hAnsi="Arial"/>
                  <w:sz w:val="18"/>
                  <w:szCs w:val="18"/>
                  <w:color w:val="0000EE"/>
                </w:rPr>
                <w:t>this offering)</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10.10#*</w:t>
            </w:r>
          </w:p>
        </w:tc>
        <w:tc>
          <w:tcPr>
            <w:tcW w:w="9460" w:type="dxa"/>
            <w:vAlign w:val="bottom"/>
            <w:tcBorders>
              <w:bottom w:val="single" w:sz="8" w:color="0000EE"/>
            </w:tcBorders>
            <w:gridSpan w:val="19"/>
          </w:tcPr>
          <w:p>
            <w:pPr>
              <w:spacing w:after="0"/>
              <w:rPr>
                <w:rFonts w:ascii="Arial" w:cs="Arial" w:eastAsia="Arial" w:hAnsi="Arial"/>
                <w:sz w:val="18"/>
                <w:szCs w:val="18"/>
                <w:color w:val="0000EE"/>
                <w:w w:val="90"/>
              </w:rPr>
            </w:pPr>
            <w:hyperlink r:id="rId333">
              <w:r>
                <w:rPr>
                  <w:rFonts w:ascii="Arial" w:cs="Arial" w:eastAsia="Arial" w:hAnsi="Arial"/>
                  <w:sz w:val="18"/>
                  <w:szCs w:val="18"/>
                  <w:color w:val="0000EE"/>
                  <w:w w:val="90"/>
                </w:rPr>
                <w:t>Amended and Restated Employment Agreement, by and between the Registrant and Nerissa Kreher, M.D. (to be effective upon the</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rPr>
            </w:pPr>
            <w:hyperlink r:id="rId333">
              <w:r>
                <w:rPr>
                  <w:rFonts w:ascii="Arial" w:cs="Arial" w:eastAsia="Arial" w:hAnsi="Arial"/>
                  <w:sz w:val="18"/>
                  <w:szCs w:val="18"/>
                  <w:color w:val="0000EE"/>
                </w:rPr>
                <w:t>closing of this offering)</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10.11#*</w:t>
            </w:r>
          </w:p>
        </w:tc>
        <w:tc>
          <w:tcPr>
            <w:tcW w:w="9820" w:type="dxa"/>
            <w:vAlign w:val="bottom"/>
            <w:gridSpan w:val="23"/>
          </w:tcPr>
          <w:p>
            <w:pPr>
              <w:spacing w:after="0"/>
              <w:rPr>
                <w:rFonts w:ascii="Arial" w:cs="Arial" w:eastAsia="Arial" w:hAnsi="Arial"/>
                <w:sz w:val="18"/>
                <w:szCs w:val="18"/>
                <w:color w:val="0000EE"/>
                <w:w w:val="91"/>
              </w:rPr>
            </w:pPr>
            <w:hyperlink r:id="rId334">
              <w:r>
                <w:rPr>
                  <w:rFonts w:ascii="Arial" w:cs="Arial" w:eastAsia="Arial" w:hAnsi="Arial"/>
                  <w:sz w:val="18"/>
                  <w:szCs w:val="18"/>
                  <w:color w:val="0000EE"/>
                  <w:w w:val="91"/>
                </w:rPr>
                <w:t>Amended and Restated Employment Agreement, by and between the Registrant and Katina Dorton (to be effective upon the closing of</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334">
              <w:r>
                <w:rPr>
                  <w:rFonts w:ascii="Arial" w:cs="Arial" w:eastAsia="Arial" w:hAnsi="Arial"/>
                  <w:sz w:val="18"/>
                  <w:szCs w:val="18"/>
                  <w:color w:val="0000EE"/>
                </w:rPr>
                <w:t>this offering)</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10.12*</w:t>
            </w:r>
          </w:p>
        </w:tc>
        <w:tc>
          <w:tcPr>
            <w:tcW w:w="8300" w:type="dxa"/>
            <w:vAlign w:val="bottom"/>
            <w:tcBorders>
              <w:bottom w:val="single" w:sz="8" w:color="0000EE"/>
            </w:tcBorders>
            <w:gridSpan w:val="16"/>
          </w:tcPr>
          <w:p>
            <w:pPr>
              <w:spacing w:after="0"/>
              <w:rPr>
                <w:rFonts w:ascii="Arial" w:cs="Arial" w:eastAsia="Arial" w:hAnsi="Arial"/>
                <w:sz w:val="18"/>
                <w:szCs w:val="18"/>
                <w:color w:val="0000EE"/>
                <w:w w:val="90"/>
              </w:rPr>
            </w:pPr>
            <w:hyperlink r:id="rId335">
              <w:r>
                <w:rPr>
                  <w:rFonts w:ascii="Arial" w:cs="Arial" w:eastAsia="Arial" w:hAnsi="Arial"/>
                  <w:sz w:val="18"/>
                  <w:szCs w:val="18"/>
                  <w:color w:val="0000EE"/>
                  <w:w w:val="90"/>
                </w:rPr>
                <w:t>Lease Agreement, dated as of January 12, 2018, by and between the Registrant and ARE-MA Region No. 59, LLC</w:t>
              </w:r>
            </w:hyperlink>
          </w:p>
        </w:tc>
        <w:tc>
          <w:tcPr>
            <w:tcW w:w="1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10.13*</w:t>
            </w:r>
          </w:p>
        </w:tc>
        <w:tc>
          <w:tcPr>
            <w:tcW w:w="9820" w:type="dxa"/>
            <w:vAlign w:val="bottom"/>
            <w:gridSpan w:val="23"/>
          </w:tcPr>
          <w:p>
            <w:pPr>
              <w:spacing w:after="0"/>
              <w:rPr>
                <w:rFonts w:ascii="Arial" w:cs="Arial" w:eastAsia="Arial" w:hAnsi="Arial"/>
                <w:sz w:val="18"/>
                <w:szCs w:val="18"/>
                <w:color w:val="0000EE"/>
              </w:rPr>
            </w:pPr>
            <w:hyperlink r:id="rId336">
              <w:r>
                <w:rPr>
                  <w:rFonts w:ascii="Arial" w:cs="Arial" w:eastAsia="Arial" w:hAnsi="Arial"/>
                  <w:sz w:val="18"/>
                  <w:szCs w:val="18"/>
                  <w:color w:val="0000EE"/>
                </w:rPr>
                <w:t>Loan and Security Agreement, by and among the Registrant and Silicon Valley Bank, dated June 23, 2017</w:t>
              </w:r>
            </w:hyperlink>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10.14#*</w:t>
            </w:r>
          </w:p>
        </w:tc>
        <w:tc>
          <w:tcPr>
            <w:tcW w:w="76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r:id="rId337">
              <w:r>
                <w:rPr>
                  <w:rFonts w:ascii="Arial" w:cs="Arial" w:eastAsia="Arial" w:hAnsi="Arial"/>
                  <w:sz w:val="18"/>
                  <w:szCs w:val="18"/>
                  <w:color w:val="0000EE"/>
                  <w:w w:val="89"/>
                </w:rPr>
                <w:t>2018 Employee Stock Purchase Plan (to be effective upon the effectiveness of this registration statement)</w:t>
              </w:r>
            </w:hyperlink>
          </w:p>
        </w:tc>
        <w:tc>
          <w:tcPr>
            <w:tcW w:w="40" w:type="dxa"/>
            <w:vAlign w:val="bottom"/>
            <w:tcBorders>
              <w:top w:val="single" w:sz="8" w:color="0000EE"/>
            </w:tcBorders>
          </w:tcPr>
          <w:p>
            <w:pPr>
              <w:spacing w:after="0"/>
              <w:rPr>
                <w:sz w:val="24"/>
                <w:szCs w:val="24"/>
                <w:color w:val="auto"/>
              </w:rPr>
            </w:pPr>
          </w:p>
        </w:tc>
        <w:tc>
          <w:tcPr>
            <w:tcW w:w="21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rPr>
            </w:pPr>
            <w:hyperlink r:id="rId338">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58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3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rPr>
            </w:pPr>
            <w:hyperlink r:id="rId323">
              <w:r>
                <w:rPr>
                  <w:rFonts w:ascii="Arial" w:cs="Arial" w:eastAsia="Arial" w:hAnsi="Arial"/>
                  <w:sz w:val="18"/>
                  <w:szCs w:val="18"/>
                  <w:color w:val="0000EE"/>
                </w:rPr>
                <w:t>Consent of Goodwin Procter LLP (included in Exhibit 5.1)</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r:id="rId339">
              <w:r>
                <w:rPr>
                  <w:rFonts w:ascii="Arial" w:cs="Arial" w:eastAsia="Arial" w:hAnsi="Arial"/>
                  <w:sz w:val="18"/>
                  <w:szCs w:val="18"/>
                  <w:color w:val="0000EE"/>
                  <w:w w:val="92"/>
                </w:rPr>
                <w:t>Power of Attorney</w:t>
              </w:r>
            </w:hyperlink>
          </w:p>
        </w:tc>
        <w:tc>
          <w:tcPr>
            <w:tcW w:w="2900" w:type="dxa"/>
            <w:vAlign w:val="bottom"/>
            <w:tcBorders>
              <w:top w:val="single" w:sz="8" w:color="0000EE"/>
            </w:tcBorders>
            <w:gridSpan w:val="8"/>
          </w:tcPr>
          <w:p>
            <w:pPr>
              <w:spacing w:after="0"/>
              <w:rPr>
                <w:sz w:val="24"/>
                <w:szCs w:val="24"/>
                <w:color w:val="auto"/>
              </w:rPr>
            </w:pPr>
          </w:p>
        </w:tc>
        <w:tc>
          <w:tcPr>
            <w:tcW w:w="5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2140" w:type="dxa"/>
            <w:vAlign w:val="bottom"/>
            <w:tcBorders>
              <w:bottom w:val="single" w:sz="8" w:color="0000EE"/>
            </w:tcBorders>
            <w:gridSpan w:val="6"/>
          </w:tcPr>
          <w:p>
            <w:pPr>
              <w:spacing w:after="0"/>
              <w:rPr>
                <w:rFonts w:ascii="Arial" w:cs="Arial" w:eastAsia="Arial" w:hAnsi="Arial"/>
                <w:sz w:val="18"/>
                <w:szCs w:val="18"/>
                <w:color w:val="0000EE"/>
                <w:w w:val="91"/>
              </w:rPr>
            </w:pPr>
            <w:hyperlink r:id="rId340">
              <w:r>
                <w:rPr>
                  <w:rFonts w:ascii="Arial" w:cs="Arial" w:eastAsia="Arial" w:hAnsi="Arial"/>
                  <w:sz w:val="18"/>
                  <w:szCs w:val="18"/>
                  <w:color w:val="0000EE"/>
                  <w:w w:val="91"/>
                </w:rPr>
                <w:t>Consent of Director Nominee</w:t>
              </w:r>
            </w:hyperlink>
          </w:p>
        </w:tc>
        <w:tc>
          <w:tcPr>
            <w:tcW w:w="76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40" w:right="460" w:hanging="436"/>
        <w:spacing w:after="0" w:line="265"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ind w:left="5580" w:right="4520" w:hanging="5376"/>
        <w:spacing w:after="0" w:line="517" w:lineRule="auto"/>
        <w:tabs>
          <w:tab w:leader="none" w:pos="63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II-4</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1060" w:right="140" w:hanging="299"/>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060" w:right="120" w:hanging="310"/>
        <w:spacing w:after="0" w:line="259"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60" w:right="220" w:hanging="299"/>
        <w:spacing w:after="0" w:line="264"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60"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 behalf by the undersigned, thereunto duly authorized, in the City of Cambridge, Commonwealth of Massachusetts, on the 18th day of June, 2018.</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5715</wp:posOffset>
            </wp:positionV>
            <wp:extent cx="25641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rPr>
              <w:t>DATE</w:t>
            </w:r>
          </w:p>
        </w:tc>
      </w:tr>
      <w:tr>
        <w:trPr>
          <w:trHeight w:val="20"/>
        </w:trPr>
        <w:tc>
          <w:tcPr>
            <w:tcW w:w="224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9"/>
        </w:trPr>
        <w:tc>
          <w:tcPr>
            <w:tcW w:w="2240" w:type="dxa"/>
            <w:vAlign w:val="bottom"/>
            <w:gridSpan w:val="3"/>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Geoff MacKay</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Katina Dorton</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w:t>
            </w:r>
            <w:r>
              <w:rPr>
                <w:rFonts w:ascii="Arial" w:cs="Arial" w:eastAsia="Arial" w:hAnsi="Arial"/>
                <w:sz w:val="18"/>
                <w:szCs w:val="18"/>
                <w:color w:val="auto"/>
              </w:rPr>
              <w:t>s</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Annalisa Jenkins, M.B.B.S., F.R.C.P</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Christopher Paige, Ph.D.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89"/>
              </w:rPr>
              <w:t>Scott G. Requadt</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18,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0"/>
              </w:rPr>
              <w:t>Joshua Resnick, M.D.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674"/>
        </w:trPr>
        <w:tc>
          <w:tcPr>
            <w:tcW w:w="4920" w:type="dxa"/>
            <w:vAlign w:val="bottom"/>
            <w:gridSpan w:val="6"/>
          </w:tcPr>
          <w:p>
            <w:pPr>
              <w:spacing w:after="0"/>
              <w:rPr>
                <w:sz w:val="20"/>
                <w:szCs w:val="20"/>
                <w:color w:val="auto"/>
              </w:rPr>
            </w:pPr>
            <w:r>
              <w:rPr>
                <w:rFonts w:ascii="Arial" w:cs="Arial" w:eastAsia="Arial" w:hAnsi="Arial"/>
                <w:sz w:val="18"/>
                <w:szCs w:val="18"/>
                <w:color w:val="auto"/>
              </w:rPr>
              <w:t>*By:  /s/ Geoff MacKay</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Geoff MacKay</w:t>
            </w:r>
          </w:p>
        </w:tc>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gridSpan w:val="4"/>
          </w:tcPr>
          <w:p>
            <w:pPr>
              <w:ind w:left="80"/>
              <w:spacing w:after="0"/>
              <w:rPr>
                <w:sz w:val="20"/>
                <w:szCs w:val="20"/>
                <w:color w:val="auto"/>
              </w:rPr>
            </w:pPr>
            <w:r>
              <w:rPr>
                <w:rFonts w:ascii="Arial" w:cs="Arial" w:eastAsia="Arial" w:hAnsi="Arial"/>
                <w:sz w:val="18"/>
                <w:szCs w:val="18"/>
                <w:i w:val="1"/>
                <w:iCs w:val="1"/>
                <w:color w:val="auto"/>
              </w:rPr>
              <w:t>Attorney-in-fact</w:t>
            </w: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460"/>
              <w:spacing w:after="0"/>
              <w:rPr>
                <w:sz w:val="20"/>
                <w:szCs w:val="20"/>
                <w:color w:val="auto"/>
              </w:rPr>
            </w:pPr>
            <w:r>
              <w:rPr>
                <w:rFonts w:ascii="Arial" w:cs="Arial" w:eastAsia="Arial" w:hAnsi="Arial"/>
                <w:sz w:val="18"/>
                <w:szCs w:val="18"/>
                <w:color w:val="auto"/>
              </w:rPr>
              <w:t>II-6</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6, 2018 (except Note 17(b), as to which the date is June 11, 2018) in Amendment No. 3 to the Registration Statement (Form S-1 No. 333-225213) and related Prospectus of AVROBIO, Inc. for the registration of 5,073,800 shares of its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ectPr>
          <w:pgSz w:w="11900" w:h="16838" w:orient="portrait"/>
          <w:cols w:equalWidth="0" w:num="1">
            <w:col w:w="11020"/>
          </w:cols>
          <w:pgMar w:left="440" w:top="121" w:right="439" w:bottom="1440" w:gutter="0" w:footer="0" w:header="0"/>
        </w:sectPr>
      </w:pPr>
    </w:p>
    <w:bookmarkStart w:id="245" w:name="page246"/>
    <w:bookmarkEnd w:id="245"/>
    <w:p>
      <w:pPr>
        <w:ind w:left="870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00860" cy="4457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1800860" cy="445770"/>
                    </a:xfrm>
                    <a:prstGeom prst="rect">
                      <a:avLst/>
                    </a:prstGeom>
                    <a:noFill/>
                  </pic:spPr>
                </pic:pic>
              </a:graphicData>
            </a:graphic>
          </wp:anchor>
        </w:drawing>
      </w:r>
    </w:p>
    <w:p>
      <w:pPr>
        <w:spacing w:after="0" w:line="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+1 617 570 1000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18,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FEDERAL EXPRESS AND EDGAR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Rolf Sundwall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Jim Rosenberg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Dorrie Yale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Suzanne Hayes</w:t>
      </w: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333-225213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CIK No. 0001681087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letter is being submitted on behalf of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in response to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respect to the above-referenced Amendment No. 2 to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that was filed with the Commission on June 11, 2018, as set forth in the Staff’s letter to the Company dated June 13, 2018 (the “</w:t>
      </w:r>
      <w:r>
        <w:rPr>
          <w:rFonts w:ascii="Arial" w:cs="Arial" w:eastAsia="Arial" w:hAnsi="Arial"/>
          <w:sz w:val="18"/>
          <w:szCs w:val="18"/>
          <w:u w:val="single" w:color="auto"/>
          <w:color w:val="auto"/>
        </w:rPr>
        <w:t>Comment Letter</w:t>
      </w:r>
      <w:r>
        <w:rPr>
          <w:rFonts w:ascii="Arial" w:cs="Arial" w:eastAsia="Arial" w:hAnsi="Arial"/>
          <w:sz w:val="18"/>
          <w:szCs w:val="18"/>
          <w:color w:val="auto"/>
        </w:rPr>
        <w:t>”). On June 15, 2018, the Company submitted a response letter (the “</w:t>
      </w:r>
      <w:r>
        <w:rPr>
          <w:rFonts w:ascii="Arial" w:cs="Arial" w:eastAsia="Arial" w:hAnsi="Arial"/>
          <w:sz w:val="18"/>
          <w:szCs w:val="18"/>
          <w:u w:val="single" w:color="auto"/>
          <w:color w:val="auto"/>
        </w:rPr>
        <w:t>Response Letter</w:t>
      </w:r>
      <w:r>
        <w:rPr>
          <w:rFonts w:ascii="Arial" w:cs="Arial" w:eastAsia="Arial" w:hAnsi="Arial"/>
          <w:sz w:val="18"/>
          <w:szCs w:val="18"/>
          <w:color w:val="auto"/>
        </w:rPr>
        <w:t>”) to the Comment Letter. The Company is supplementally providing to the Staff additional information with respect to Comment No. 4 from the Comment Letter following a telephonic conversation with the Staff after its receipt of the Response Letter.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comments from the Comment Letter. Unless otherwise indicated, page references in the descriptions of the Staff’s comments and in the responses refer to the Registration Statement. All capitalized terms used and not otherwise defined herein shall have the meanings set forth in the Registration Statement.</w:t>
      </w:r>
    </w:p>
    <w:p>
      <w:pPr>
        <w:sectPr>
          <w:pgSz w:w="11900" w:h="16838" w:orient="portrait"/>
          <w:cols w:equalWidth="0" w:num="1">
            <w:col w:w="11400"/>
          </w:cols>
          <w:pgMar w:left="240" w:top="125" w:right="2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18,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the Staff’s convenience and to facilitate the Staff’s analysis of the Comment Letter, the Company’s responses below do not give the effect to the 1-for-4.132 reverse stock split that was completed on June 7, 2018, as described in the Registration Statement.</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responses provided herein are based upon information provided to Goodwin Procter LLP by the Company. In addition to submitting this letter via EDGAR, we are sending via Federal Express four (4) copies of this letter.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No. 2 to Registration Statement on Form S-1 Submitted on June 11,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 dated June 1, 2018 regarding determination of fair value of the Company’s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Valuations, page 3</w:t>
      </w:r>
    </w:p>
    <w:p>
      <w:pPr>
        <w:spacing w:after="0" w:line="116" w:lineRule="exact"/>
        <w:rPr>
          <w:sz w:val="20"/>
          <w:szCs w:val="20"/>
          <w:color w:val="auto"/>
        </w:rPr>
      </w:pPr>
    </w:p>
    <w:p>
      <w:pPr>
        <w:ind w:left="900" w:right="120" w:hanging="446"/>
        <w:spacing w:after="0" w:line="34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Refer to your response to Comment 2 from our June 8, 2018 letter. Please reconcile for us the significant increase in the IPO scenario price per share as of March 31, 2018 as per your June 11, 2018 response to the estimated IPO mid-point price before effecting the reverse stock split</w:t>
      </w:r>
      <w:r>
        <w:rPr>
          <w:rFonts w:ascii="Arial" w:cs="Arial" w:eastAsia="Arial" w:hAnsi="Arial"/>
          <w:sz w:val="16"/>
          <w:szCs w:val="16"/>
          <w:color w:val="auto"/>
        </w:rPr>
        <w: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SUPPLEMENTAL RESPONSE: The Company advises the Staff that, as disclosed in the Registration Statement, the fair value of the Company’s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common stock as of the March 16, 2018 option grants was retrospectively adjusted as a result of a contemporaneous valuation performed as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March 31, 2018. The exercise price for the option grants on such date was $1.21 per share, while the adjusted fair value was $1.46 per share based on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contemporaneous valuation performed as of March 31, 2018. Following discussions with the Staff, the Company re-assessed the fair value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common stock after consideration of the estimated price range that had been established for the Company’s IPO. The Company performed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retrospective valuation and determined that the fair value of common stock as of March 31, 2018 was $2.12, which assumes the mid-point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price range of $4.11 per share is used as the estimated IPO price in the IPO scenario, and after applying the same discount for lack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marketability, adjusting for present value and applying the weighted-average derived value with the remain private scenario as presented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31, 2018 contemporaneous valuation.</w:t>
      </w:r>
    </w:p>
    <w:p>
      <w:pPr>
        <w:spacing w:after="0" w:line="103"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Using such revised value, the Company would have recorded additional stock-based compensation expense of $17.7 thousand for the three months ended March 31, 2018. The Company respectfully reiterates that it does not believe such additional expense is material enough to require disclosure in the Registration Statement with respect to the three months ended March 31, 2018.</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In addition, using such revised value, the Company will recognize incremental stock-based compensation expense of $1.8 million over the four-year vesting period that will be recognized in future periods. The Company advises the Staff that it has revised its disclosures on pages 83 and 84 of the Registration Statement to disclose such aggregate amount that it expects to recognize in additional stock compensation expense in future periods and will recognize the respective amounts over the vesting period.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18,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570-1483.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James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Xu,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52" w:lineRule="exact"/>
        <w:rPr>
          <w:sz w:val="20"/>
          <w:szCs w:val="20"/>
          <w:color w:val="auto"/>
        </w:rPr>
      </w:pPr>
    </w:p>
    <w:p>
      <w:pPr>
        <w:jc w:val="both"/>
        <w:ind w:left="460" w:right="8400" w:hanging="452"/>
        <w:spacing w:after="0" w:line="291" w:lineRule="auto"/>
        <w:tabs>
          <w:tab w:leader="none" w:pos="4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Geoff MacKay, </w:t>
      </w:r>
      <w:r>
        <w:rPr>
          <w:rFonts w:ascii="Arial" w:cs="Arial" w:eastAsia="Arial" w:hAnsi="Arial"/>
          <w:sz w:val="16"/>
          <w:szCs w:val="16"/>
          <w:i w:val="1"/>
          <w:iCs w:val="1"/>
          <w:color w:val="auto"/>
        </w:rPr>
        <w:t>AVROBIO, Inc.</w:t>
      </w:r>
      <w:r>
        <w:rPr>
          <w:rFonts w:ascii="Arial" w:cs="Arial" w:eastAsia="Arial" w:hAnsi="Arial"/>
          <w:sz w:val="16"/>
          <w:szCs w:val="16"/>
          <w:color w:val="auto"/>
        </w:rPr>
        <w:t xml:space="preserve"> Katina Dorton, </w:t>
      </w:r>
      <w:r>
        <w:rPr>
          <w:rFonts w:ascii="Arial" w:cs="Arial" w:eastAsia="Arial" w:hAnsi="Arial"/>
          <w:sz w:val="16"/>
          <w:szCs w:val="16"/>
          <w:i w:val="1"/>
          <w:iCs w:val="1"/>
          <w:color w:val="auto"/>
        </w:rPr>
        <w:t>AVROBIO, Inc.</w:t>
      </w: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sectPr>
      <w:pgSz w:w="11900" w:h="16838" w:orient="portrait"/>
      <w:cols w:equalWidth="0" w:num="1">
        <w:col w:w="11120"/>
      </w:cols>
      <w:pgMar w:left="2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1)"/>
      <w:numFmt w:val="decimal"/>
      <w:start w:val="1"/>
    </w:lvl>
  </w:abstractNum>
  <w:abstractNum w:abstractNumId="10">
    <w:nsid w:val="6590700B"/>
    <w:multiLevelType w:val="hybridMultilevel"/>
    <w:lvl w:ilvl="0">
      <w:lvlJc w:val="left"/>
      <w:lvlText w:val="(%1)"/>
      <w:numFmt w:val="decimal"/>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1)"/>
      <w:numFmt w:val="decimal"/>
      <w:start w:val="2"/>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lvl w:ilvl="1">
      <w:lvlJc w:val="left"/>
      <w:lvlText w:val="•"/>
      <w:numFmt w:val="bullet"/>
      <w:start w:val="1"/>
    </w:lvl>
  </w:abstractNum>
  <w:abstractNum w:abstractNumId="42">
    <w:nsid w:val="6EB5BD4"/>
    <w:multiLevelType w:val="hybridMultilevel"/>
    <w:lvl w:ilvl="0">
      <w:lvlJc w:val="left"/>
      <w:lvlText w:val="(%1)"/>
      <w:numFmt w:val="decimal"/>
      <w:start w:val="1"/>
    </w:lvl>
    <w:lvl w:ilvl="1">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1)"/>
      <w:numFmt w:val="decimal"/>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1)"/>
      <w:numFmt w:val="lowerRoman"/>
      <w:start w:val="2"/>
    </w:lvl>
  </w:abstractNum>
  <w:abstractNum w:abstractNumId="79">
    <w:nsid w:val="14FCE74E"/>
    <w:multiLevelType w:val="hybridMultilevel"/>
    <w:lvl w:ilvl="0">
      <w:lvlJc w:val="left"/>
      <w:lvlText w:val="(%1)"/>
      <w:numFmt w:val="decimal"/>
      <w:start w:val="1"/>
    </w:lvl>
  </w:abstractNum>
  <w:abstractNum w:abstractNumId="80">
    <w:nsid w:val="6A3DD3E8"/>
    <w:multiLevelType w:val="hybridMultilevel"/>
    <w:lvl w:ilvl="0">
      <w:lvlJc w:val="left"/>
      <w:lvlText w:val="(%1)"/>
      <w:numFmt w:val="lowerRoman"/>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1)"/>
      <w:numFmt w:val="decimal"/>
      <w:start w:val="4"/>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4"/>
    </w:lvl>
  </w:abstractNum>
  <w:abstractNum w:abstractNumId="90">
    <w:nsid w:val="1D9F6E5F"/>
    <w:multiLevelType w:val="hybridMultilevel"/>
    <w:lvl w:ilvl="0">
      <w:lvlJc w:val="left"/>
      <w:lvlText w:val="(%1)"/>
      <w:numFmt w:val="lowerRoman"/>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1)"/>
      <w:numFmt w:val="lowerRoman"/>
      <w:start w:val="1"/>
    </w:lvl>
    <w:lvl w:ilvl="1">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1)"/>
      <w:numFmt w:val="lowerLetter"/>
      <w:start w:val="1"/>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decimal"/>
      <w:start w:val="2"/>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1."/>
      <w:numFmt w:val="decimal"/>
      <w:start w:val="11"/>
    </w:lvl>
  </w:abstractNum>
  <w:abstractNum w:abstractNumId="110">
    <w:nsid w:val="4C9B0904"/>
    <w:multiLevelType w:val="hybridMultilevel"/>
    <w:lvl w:ilvl="0">
      <w:lvlJc w:val="left"/>
      <w:lvlText w:val="%1."/>
      <w:numFmt w:val="decimal"/>
      <w:start w:val="13"/>
    </w:lvl>
  </w:abstractNum>
  <w:abstractNum w:abstractNumId="111">
    <w:nsid w:val="6AA7B75C"/>
    <w:multiLevelType w:val="hybridMultilevel"/>
    <w:lvl w:ilvl="0">
      <w:lvlJc w:val="left"/>
      <w:lvlText w:val="%1."/>
      <w:numFmt w:val="decimal"/>
      <w:start w:val="14"/>
    </w:lvl>
  </w:abstractNum>
  <w:abstractNum w:abstractNumId="112">
    <w:nsid w:val="1DF029D3"/>
    <w:multiLevelType w:val="hybridMultilevel"/>
    <w:lvl w:ilvl="0">
      <w:lvlJc w:val="left"/>
      <w:lvlText w:val="%1."/>
      <w:numFmt w:val="decimal"/>
      <w:start w:val="15"/>
    </w:lvl>
  </w:abstractNum>
  <w:abstractNum w:abstractNumId="113">
    <w:nsid w:val="5675FF36"/>
    <w:multiLevelType w:val="hybridMultilevel"/>
    <w:lvl w:ilvl="0">
      <w:lvlJc w:val="left"/>
      <w:lvlText w:val="(%1)"/>
      <w:numFmt w:val="lowerRoman"/>
      <w:start w:val="1"/>
    </w:lvl>
  </w:abstractNum>
  <w:abstractNum w:abstractNumId="114">
    <w:nsid w:val="3DD15094"/>
    <w:multiLevelType w:val="hybridMultilevel"/>
    <w:lvl w:ilvl="0">
      <w:lvlJc w:val="left"/>
      <w:lvlText w:val="%1."/>
      <w:numFmt w:val="decimal"/>
      <w:start w:val="2"/>
    </w:lvl>
  </w:abstractNum>
  <w:abstractNum w:abstractNumId="115">
    <w:nsid w:val="3DB012B3"/>
    <w:multiLevelType w:val="hybridMultilevel"/>
    <w:lvl w:ilvl="0">
      <w:lvlJc w:val="left"/>
      <w:lvlText w:val="(%1)"/>
      <w:numFmt w:val="lowerRoman"/>
      <w:start w:val="4"/>
    </w:lvl>
  </w:abstractNum>
  <w:abstractNum w:abstractNumId="116">
    <w:nsid w:val="2708C9AF"/>
    <w:multiLevelType w:val="hybridMultilevel"/>
    <w:lvl w:ilvl="0">
      <w:lvlJc w:val="left"/>
      <w:lvlText w:val="%1."/>
      <w:numFmt w:val="decimal"/>
      <w:start w:val="13"/>
    </w:lvl>
  </w:abstractNum>
  <w:abstractNum w:abstractNumId="117">
    <w:nsid w:val="5B25ACE2"/>
    <w:multiLevelType w:val="hybridMultilevel"/>
    <w:lvl w:ilvl="0">
      <w:lvlJc w:val="left"/>
      <w:lvlText w:val="%1."/>
      <w:numFmt w:val="decimal"/>
      <w:start w:val="14"/>
    </w:lvl>
  </w:abstractNum>
  <w:abstractNum w:abstractNumId="118">
    <w:nsid w:val="175DFCF0"/>
    <w:multiLevelType w:val="hybridMultilevel"/>
    <w:lvl w:ilvl="0">
      <w:lvlJc w:val="left"/>
      <w:lvlText w:val="(%1)"/>
      <w:numFmt w:val="lowerRoman"/>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
      <w:numFmt w:val="bullet"/>
      <w:start w:val="1"/>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22"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jpe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13" Type="http://schemas.openxmlformats.org/officeDocument/2006/relationships/hyperlink" Target="http://www.sec.gov/Archives/edgar/data/1681087/000119312518188630/d562006dex11.htm" TargetMode="External"/><Relationship Id="rId314" Type="http://schemas.openxmlformats.org/officeDocument/2006/relationships/hyperlink" Target="http://www.sec.gov/Archives/edgar/data/1681087/000119312518175024/d562006dex31.htm" TargetMode="External"/><Relationship Id="rId315" Type="http://schemas.openxmlformats.org/officeDocument/2006/relationships/hyperlink" Target="http://www.sec.gov/Archives/edgar/data/1681087/000119312518188630/d562006dex32.htm" TargetMode="External"/><Relationship Id="rId316" Type="http://schemas.openxmlformats.org/officeDocument/2006/relationships/hyperlink" Target="http://www.sec.gov/Archives/edgar/data/1681087/000119312518188630/d562006dex33.htm" TargetMode="External"/><Relationship Id="rId317" Type="http://schemas.openxmlformats.org/officeDocument/2006/relationships/hyperlink" Target="http://www.sec.gov/Archives/edgar/data/1681087/000119312518175024/d562006dex34.htm" TargetMode="External"/><Relationship Id="rId318" Type="http://schemas.openxmlformats.org/officeDocument/2006/relationships/hyperlink" Target="http://www.sec.gov/Archives/edgar/data/1681087/000119312518188630/d562006dex35.htm" TargetMode="External"/><Relationship Id="rId319" Type="http://schemas.openxmlformats.org/officeDocument/2006/relationships/hyperlink" Target="http://www.sec.gov/Archives/edgar/data/1681087/000119312518188630/d562006dex41.htm" TargetMode="External"/><Relationship Id="rId320" Type="http://schemas.openxmlformats.org/officeDocument/2006/relationships/hyperlink" Target="http://www.sec.gov/Archives/edgar/data/1681087/000119312518175024/d562006dex42.htm" TargetMode="External"/><Relationship Id="rId321" Type="http://schemas.openxmlformats.org/officeDocument/2006/relationships/hyperlink" Target="http://www.sec.gov/Archives/edgar/data/1681087/000119312518175024/d562006dex43.htm" TargetMode="External"/><Relationship Id="rId323" Type="http://schemas.openxmlformats.org/officeDocument/2006/relationships/hyperlink" Target="http://www.sec.gov/Archives/edgar/data/1681087/000119312518188630/d562006dex51.htm" TargetMode="External"/><Relationship Id="rId324" Type="http://schemas.openxmlformats.org/officeDocument/2006/relationships/hyperlink" Target="http://www.sec.gov/Archives/edgar/data/1681087/000119312518175024/d562006dex101.htm" TargetMode="External"/><Relationship Id="rId325" Type="http://schemas.openxmlformats.org/officeDocument/2006/relationships/hyperlink" Target="http://www.sec.gov/Archives/edgar/data/1681087/000119312518188630/d562006dex102.htm" TargetMode="External"/><Relationship Id="rId326" Type="http://schemas.openxmlformats.org/officeDocument/2006/relationships/hyperlink" Target="http://www.sec.gov/Archives/edgar/data/1681087/000119312518188630/d562006dex103.htm" TargetMode="External"/><Relationship Id="rId327" Type="http://schemas.openxmlformats.org/officeDocument/2006/relationships/hyperlink" Target="http://www.sec.gov/Archives/edgar/data/1681087/000119312518188630/d562006dex104.htm" TargetMode="External"/><Relationship Id="rId328" Type="http://schemas.openxmlformats.org/officeDocument/2006/relationships/hyperlink" Target="http://www.sec.gov/Archives/edgar/data/1681087/000119312518181102/d562006dex105.htm" TargetMode="External"/><Relationship Id="rId329" Type="http://schemas.openxmlformats.org/officeDocument/2006/relationships/hyperlink" Target="http://www.sec.gov/Archives/edgar/data/1681087/000119312518188630/d562006dex106.htm" TargetMode="External"/><Relationship Id="rId330" Type="http://schemas.openxmlformats.org/officeDocument/2006/relationships/hyperlink" Target="http://www.sec.gov/Archives/edgar/data/1681087/000119312518175024/d562006dex107.htm" TargetMode="External"/><Relationship Id="rId331" Type="http://schemas.openxmlformats.org/officeDocument/2006/relationships/hyperlink" Target="http://www.sec.gov/Archives/edgar/data/1681087/000119312518175024/d562006dex108.htm" TargetMode="External"/><Relationship Id="rId332" Type="http://schemas.openxmlformats.org/officeDocument/2006/relationships/hyperlink" Target="http://www.sec.gov/Archives/edgar/data/1681087/000119312518188630/d562006dex109.htm" TargetMode="External"/><Relationship Id="rId333" Type="http://schemas.openxmlformats.org/officeDocument/2006/relationships/hyperlink" Target="http://www.sec.gov/Archives/edgar/data/1681087/000119312518188630/d562006dex1010.htm" TargetMode="External"/><Relationship Id="rId334" Type="http://schemas.openxmlformats.org/officeDocument/2006/relationships/hyperlink" Target="http://www.sec.gov/Archives/edgar/data/1681087/000119312518188630/d562006dex1011.htm" TargetMode="External"/><Relationship Id="rId335" Type="http://schemas.openxmlformats.org/officeDocument/2006/relationships/hyperlink" Target="http://www.sec.gov/Archives/edgar/data/1681087/000119312518175024/d562006dex1012.htm" TargetMode="External"/><Relationship Id="rId336" Type="http://schemas.openxmlformats.org/officeDocument/2006/relationships/hyperlink" Target="http://www.sec.gov/Archives/edgar/data/1681087/000119312518175024/d562006dex1013.htm" TargetMode="External"/><Relationship Id="rId337" Type="http://schemas.openxmlformats.org/officeDocument/2006/relationships/hyperlink" Target="http://www.sec.gov/Archives/edgar/data/1681087/000119312518188630/d562006dex1014.htm" TargetMode="External"/><Relationship Id="rId338" Type="http://schemas.openxmlformats.org/officeDocument/2006/relationships/hyperlink" Target="http://www.sec.gov/Archives/edgar/data/1681087/000119312518175024/d562006dex211.htm" TargetMode="External"/><Relationship Id="rId339" Type="http://schemas.openxmlformats.org/officeDocument/2006/relationships/hyperlink" Target="http://www.sec.gov/Archives/edgar/data/1681087/000119312518175024/d562006ds1.htm" TargetMode="External"/><Relationship Id="rId340" Type="http://schemas.openxmlformats.org/officeDocument/2006/relationships/hyperlink" Target="http://www.sec.gov/Archives/edgar/data/1681087/000119312518188630/d56200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2019-12-08T15:55:07Z</dcterms:created>
  <dcterms:modified xsi:type="dcterms:W3CDTF">2019-12-08T15:55:07Z</dcterms:modified>
</cp:coreProperties>
</file>