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493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49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Golipour Azadeh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AVROBIO,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TECHNOLOGY SQUARE, 6TH FLOOR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AVROBIO,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AVRO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06/12/2023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5,463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1.19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30,881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1.205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30,770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Consists of 36,344 RSUs granted on June 10, 2021. 50% of the shares vest on the second anniversary of the grant date and the remaining 50% vest on the third anniversary of the grant date.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Withholding of shares to cover a tax liability due to the vesting of 18,172 RSUs granted on June 10, 2021.</w:t>
      </w:r>
    </w:p>
    <w:p>
      <w:pPr>
        <w:ind w:left="658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Steven Avruch,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06/13/2023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-28575</wp:posOffset>
            </wp:positionV>
            <wp:extent cx="13462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Azadeh Golipour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-22860</wp:posOffset>
            </wp:positionV>
            <wp:extent cx="114363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5579745</wp:posOffset>
            </wp:positionH>
            <wp:positionV relativeFrom="paragraph">
              <wp:posOffset>-91440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32510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2023-06-13T15:37:17Z</dcterms:created>
  <dcterms:modified xsi:type="dcterms:W3CDTF">2023-06-13T15:37:17Z</dcterms:modified>
</cp:coreProperties>
</file>