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001-38537</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81-0710585</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Technology Square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5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AVRO</w:t>
            </w:r>
          </w:p>
        </w:tc>
        <w:tc>
          <w:tcPr>
            <w:tcW w:w="1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2022, AVROBIO, Inc. (the “Company”) received a written notice from the staff (the “Staff”) of the Listing Qualifications Department of The Nasdaq Stock Market (“Nasdaq”), notifying the Company that, for the 30 consecutive business day period between August 22, 2022 through October 3, 2022, the Company’s common stock, $0.0001 par value per share (the “Common Stock”), had not maintained a minimum bid price of $1.00 per share, required for continued listing on The Nasdaq Global Select Market pursuant to Nasdaq Listing Rule 5450(a)(1) (the “Minimum Bid Price Requirement”). The Nasdaq’s written notice does not result in the immediate delisting of the Common Stock from The Nasdaq Global Select Market; however, an indicator of the Company’s non-compliance will be displayed with quotation information related to the Common Stock on NASDAQ.com and NASDAQTrader.com.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“Compliance Period Rule”), the Company has 180 calendar days, or until April 3, 2023 (the “Compliance Date”), to regain compliance with the Minimum Bid Price Requirement. According to the written notice, if, at any time during this 180-day period, the closing bid price for the Common Stock is at least $1.00 per share for a minimum of ten consecutive business days, as required under the Compliance Period Rule, the Staff will provide written confirmation of compliance and the Common Stock will remain listed on The Nasdaq Global Select Market.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the Compliance Date, the Company may be eligible for an additional 180 calendar day compliance period. To qualify, the Company would be required to transfer its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its intention to cure the deficiency during the additional 180-day compliance period, such as by effecting a reverse stock split, if necessary. As part of its review process, the Staff will make a determination of whether it believes the Company will be able to cure this deficiency.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appears to the Staff that the Company will not be able to cure the deficiency, then the Staff will provide written notice to the Company that its Common Stock will be subject to delisting. At that time, the Company may appeal the Staff’s delisting determination to a Nasdaq Hearing Panel. There can no assurance that, if the Company receives a delisting notice and appeals the delisting determination by the Staff to the Hearing Panel, such appeal would be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and may, if appropriate, consider available options to regain compliance with the Minimum Bid Price Requirement. However, the Company may not regain compliance with such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4480" w:val="left"/>
          <w:tab w:leader="none" w:pos="5100" w:val="left"/>
        </w:tabs>
        <w:rPr>
          <w:sz w:val="20"/>
          <w:szCs w:val="20"/>
          <w:color w:val="auto"/>
        </w:rPr>
      </w:pPr>
      <w:r>
        <w:rPr>
          <w:rFonts w:ascii="Times New Roman" w:cs="Times New Roman" w:eastAsia="Times New Roman" w:hAnsi="Times New Roman"/>
          <w:sz w:val="18"/>
          <w:szCs w:val="18"/>
          <w:color w:val="auto"/>
        </w:rPr>
        <w:t>Date: October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2022-10-07T15:55:54Z</dcterms:created>
  <dcterms:modified xsi:type="dcterms:W3CDTF">2022-10-07T15:55:54Z</dcterms:modified>
</cp:coreProperties>
</file>