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ecx-20251106.htm"/>
      <w:bookmarkStart w:id="1" w:name="kstecx202511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06,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Tectonic Therapeutic,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001-38537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490 Arsenal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(339)</w:t>
            </w:r>
            <w:r>
              <w:rPr>
                <w:rFonts w:ascii="Times New Roman" w:hAnsi="Times New Roman"/>
                <w:color w:val="000000"/>
                <w:sz w:val="20"/>
              </w:rPr>
              <w:t xml:space="preserve"> </w:t>
            </w:r>
            <w:r>
              <w:rPr>
                <w:rFonts w:ascii="Times New Roman" w:hAnsi="Times New Roman"/>
                <w:b/>
                <w:color w:val="000000"/>
                <w:sz w:val="20"/>
              </w:rPr>
              <w:t>666-3320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6, 2025, Tectonic Therapeutic, Inc. announced its financial results for the quarter ended September 30, 2025 and provided a general business update. The full text of the press release is furnished as Exhibit 99.1 to this Current Report on Form 8-K.</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082" w:type="dxa"/>
        <w:jc w:val="left"/>
        <w:tblInd w:w="0" w:type="dxa"/>
        <w:tblLayout w:type="fixed"/>
        <w:tblCellMar>
          <w:top w:w="28" w:type="dxa"/>
          <w:left w:w="28" w:type="dxa"/>
          <w:bottom w:w="28" w:type="dxa"/>
          <w:right w:w="28" w:type="dxa"/>
        </w:tblCellMar>
      </w:tblPr>
      <w:tblGrid>
        <w:gridCol w:w="481"/>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ecx-ex99_1.htm">
              <w:r>
                <w:rPr>
                  <w:rStyle w:val="InternetLink"/>
                  <w:rFonts w:ascii="Times New Roman" w:hAnsi="Times New Roman"/>
                  <w:color w:val="0000FF"/>
                  <w:sz w:val="20"/>
                  <w:u w:val="single"/>
                </w:rPr>
                <w:t>Press Release of Tectonic Therapeutic, Inc. dated November 6, 2025</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49" w:type="dxa"/>
        <w:jc w:val="left"/>
        <w:tblInd w:w="0" w:type="dxa"/>
        <w:tblLayout w:type="fixed"/>
        <w:tblCellMar>
          <w:top w:w="28" w:type="dxa"/>
          <w:left w:w="28" w:type="dxa"/>
          <w:bottom w:w="28" w:type="dxa"/>
          <w:right w:w="28" w:type="dxa"/>
        </w:tblCellMar>
      </w:tblPr>
      <w:tblGrid>
        <w:gridCol w:w="556"/>
        <w:gridCol w:w="1606"/>
        <w:gridCol w:w="451"/>
        <w:gridCol w:w="3136"/>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T</w:t>
            </w:r>
            <w:r>
              <w:rPr>
                <w:rFonts w:ascii="Times New Roman" w:hAnsi="Times New Roman"/>
                <w:b/>
                <w:caps/>
                <w:color w:val="000000"/>
                <w:sz w:val="20"/>
              </w:rPr>
              <w:t>ectonic Therapeutic,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6,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Daniel Lochner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Daniel Lochner</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ecx-ex99_1.htm"/>
      <w:bookmarkStart w:id="3" w:name="kstecxex99_1"/>
      <w:bookmarkEnd w:id="2"/>
      <w:bookmarkEnd w:id="3"/>
      <w:r>
        <w:rPr>
          <w:rFonts w:ascii="Times New Roman" w:hAnsi="Times New Roman"/>
          <w:b/>
          <w:color w:val="000000"/>
          <w:sz w:val="20"/>
        </w:rPr>
        <w:t>Exhibit 99.1</w:t>
      </w:r>
      <w:r>
        <w:br w:type="page"/>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b/>
          <w:color w:val="000000"/>
          <w:sz w:val="26"/>
        </w:rPr>
      </w:pPr>
      <w:r>
        <w:rPr>
          <w:rFonts w:ascii="Times New Roman" w:hAnsi="Times New Roman"/>
          <w:b/>
          <w:color w:val="000000"/>
          <w:sz w:val="26"/>
        </w:rPr>
        <w:t>Tectonic Therapeutic Announces Third Quarter 2025 Financial Results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topline data from Part B of the TX45 Phase 1b trial demonstrated improvements in both left heart function and pulmonary hemodynamics in patients with Group 2 Pulmonary Hypertension in Heart Failure with reduced Ejection Fraction (“PH-HFrEF”)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 to initiate TX2100 Phase 1 clinical trial in healthy volunteers in Q1’2026 as a potential treatment for Hereditary Hemorrhagic Telangiectasia (“HHT”)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TX45 PH-ILD Phase 2 clinical trial is planned to initiate in 2026 to evaluate TX45’s safety and hemodynamic effects in patients with Pulmonary Hypertension associated with Interstitial Lung Disease (“PH-ILD”, Group 3 PH) to expand the therapeutic breadth of TX45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TX45 APEX Phase 2 clinical trial in patients with Group 2 Pulmonary Hypertension in Heart Failure with preserved Ejection Fraction (“PH-HFpEF”) continues to enroll; topline results expected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$268.4 million as of September 30, 2025, expected to provide cash runway into Q4’2028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WATERTOWN, Mass., November 6, 2025 (GLOBE NEWSWIRE) -- Tectonic Therapeutic, Inc. (NASDAQ: TECX) (“Tectonic”), a clinical stage biotechnology company focused on the discovery and development of therapeutic proteins and antibodies that modulate the activity of G-protein coupled receptors (GPCRs), today announced financial results for the third quarter ended September 30, 2025, and provided an overview of recent business highlights. </w:t>
      </w:r>
    </w:p>
    <w:p>
      <w:pPr>
        <w:pStyle w:val="TextBody"/>
        <w:bidi w:val="0"/>
        <w:jc w:val="left"/>
        <w:rPr>
          <w:color w:val="000000"/>
        </w:rPr>
      </w:pPr>
      <w:r>
        <w:rPr>
          <w:color w:val="000000"/>
        </w:rPr>
        <w:t>“</w:t>
      </w:r>
      <w:r>
        <w:rPr>
          <w:rFonts w:ascii="Times New Roman" w:hAnsi="Times New Roman"/>
          <w:color w:val="000000"/>
          <w:sz w:val="20"/>
        </w:rPr>
        <w:t>Our team continued to advance our lead asset TX45 with the positive topline data from Part B of our Phase 1b study in patients with HFrEF. Following our recent presentation of the full Part A data set at the ESC Heart Failure 2025 Congress, the improvements demonstrated in both left heart function and pulmonary hemodynamics across both PH-HFrEF and PH-HFpEF populations suggest TX45 has the potential to be effective in a broad patient population,” said Alise Reicin, M.D., President and Chief Executive Officer of Tectonic. “Enrollment continues in our global APEX Phase 2 trial in PH-HFpEF, and we expect to report topline results from that study in 2026.”</w:t>
      </w:r>
    </w:p>
    <w:p>
      <w:pPr>
        <w:pStyle w:val="TextBody"/>
        <w:bidi w:val="0"/>
        <w:jc w:val="left"/>
        <w:rPr>
          <w:rFonts w:ascii="Times New Roman" w:hAnsi="Times New Roman"/>
          <w:b/>
          <w:color w:val="000000"/>
          <w:sz w:val="20"/>
        </w:rPr>
      </w:pPr>
      <w:r>
        <w:rPr>
          <w:rFonts w:ascii="Times New Roman" w:hAnsi="Times New Roman"/>
          <w:b/>
          <w:color w:val="000000"/>
          <w:sz w:val="20"/>
        </w:rPr>
        <w:t>Recent Business Highlights</w:t>
      </w:r>
    </w:p>
    <w:p>
      <w:pPr>
        <w:pStyle w:val="TextBody"/>
        <w:bidi w:val="0"/>
        <w:spacing w:before="0" w:after="80"/>
        <w:jc w:val="left"/>
        <w:rPr>
          <w:color w:val="000000"/>
        </w:rPr>
      </w:pPr>
      <w:r>
        <w:rPr>
          <w:color w:val="000000"/>
        </w:rPr>
        <w:t>•</w:t>
      </w:r>
    </w:p>
    <w:p>
      <w:pPr>
        <w:pStyle w:val="TextBody"/>
        <w:bidi w:val="0"/>
        <w:spacing w:before="0" w:after="80"/>
        <w:jc w:val="left"/>
        <w:rPr/>
      </w:pPr>
      <w:r>
        <w:rPr>
          <w:rFonts w:ascii="Times New Roman" w:hAnsi="Times New Roman"/>
          <w:b/>
          <w:color w:val="000000"/>
          <w:sz w:val="20"/>
        </w:rPr>
        <w:t>Positive Topline Results from Part B of the TX45</w:t>
      </w:r>
      <w:r>
        <w:rPr>
          <w:color w:val="000000"/>
        </w:rPr>
        <w:t xml:space="preserve"> </w:t>
      </w:r>
      <w:r>
        <w:rPr>
          <w:rFonts w:ascii="Times New Roman" w:hAnsi="Times New Roman"/>
          <w:b/>
          <w:color w:val="000000"/>
          <w:sz w:val="20"/>
        </w:rPr>
        <w:t xml:space="preserve">Phase 1b Clinical Trial: </w:t>
      </w:r>
      <w:r>
        <w:rPr>
          <w:rFonts w:ascii="Times New Roman" w:hAnsi="Times New Roman"/>
          <w:color w:val="000000"/>
          <w:sz w:val="20"/>
        </w:rPr>
        <w:t>In October 2025, positive topline results from Part B of the TX45 Phase 1b clinical trial in 14 patients with PH-HFrEF were announced. TX45 was well tolerated in the overall study population and demonstrated a 29.2% reduction in pulmonary capillary wedge pressure (PCWP) and a 17.3% improvement in cardiac output. In the subpopulation with combined pre- and post-capillary pulmonary hypertension (“CpcPH”) who have an elevated pulmonary vascular resistance (PVR) and more severe disease, TX45 demonstrated a 19.7% reduction in PVR in patients with a PVR≥ 3 Wood Units and a 10.3% reduction in PVR in patients with a PVR≥ 2 Wood Units. PCWP and PVR are endpoints known to correlate with exercise capacity, morbidity and mortality in this patient population.</w:t>
      </w:r>
    </w:p>
    <w:p>
      <w:pPr>
        <w:pStyle w:val="TextBody"/>
        <w:bidi w:val="0"/>
        <w:jc w:val="left"/>
        <w:rPr>
          <w:rFonts w:ascii="Times New Roman" w:hAnsi="Times New Roman"/>
          <w:b/>
          <w:color w:val="000000"/>
          <w:sz w:val="20"/>
        </w:rPr>
      </w:pPr>
      <w:r>
        <w:rPr>
          <w:rFonts w:ascii="Times New Roman" w:hAnsi="Times New Roman"/>
          <w:b/>
          <w:color w:val="000000"/>
          <w:sz w:val="20"/>
        </w:rPr>
        <w:t>Upcoming Milestones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TX2100 GPCR Antagonist Phase 1 Clinical Trial Initiation for HHT Expected Q1’2026:</w:t>
      </w:r>
      <w:r>
        <w:rPr>
          <w:color w:val="000000"/>
        </w:rPr>
        <w:t xml:space="preserve"> </w:t>
      </w:r>
      <w:r>
        <w:rPr>
          <w:rFonts w:ascii="Times New Roman" w:hAnsi="Times New Roman"/>
          <w:color w:val="000000"/>
          <w:sz w:val="20"/>
        </w:rPr>
        <w:t>TX2100 is a GPCR targeting biotherapeutic being developed as a potential treatment for HHT, the second-most common genetic bleeding disorder. The in-life portion of the IND-enabling non-human primate GLP toxicology studies are now complete. We expect to initiate a Phase 1 clinical trial in healthy volunteers for TX2100 in Q1’2026.</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TX45 Pulmonary Hypertension associated with Interstitial Lung Disease (“PH-ILD”) Phase 2 Clinical Trial Initiation Expected in 2026:</w:t>
      </w:r>
      <w:r>
        <w:rPr>
          <w:color w:val="000000"/>
        </w:rPr>
        <w:t xml:space="preserve"> </w:t>
      </w:r>
      <w:r>
        <w:rPr>
          <w:rFonts w:ascii="Times New Roman" w:hAnsi="Times New Roman"/>
          <w:color w:val="000000"/>
          <w:sz w:val="20"/>
        </w:rPr>
        <w:t xml:space="preserve">PH-ILD (Group 3 PH) is an orphan disease with limited treatment options and a high mortality rate. In 2026, Tectonic plans to initiate a 16-week, open label, repeat dose, Phase 2 clinical trial to evaluate TX45’s safety and hemodynamic effects in up to 25 patients with PH-ILD. The study is being initiated at a dose of TX45 300 mg every four weeks administered subcutaneously, with the primary efficacy endpoint being the change from baseline in PVR at Week 16. TX45 is designed to address key aspects of PH-ILD’s disease pathophysiology, including pulmonary vasodilation, anti-inflammatory, remodeling and anti-fibrotic activity.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Ongoing TX45 APEX Phase 2 Clinical Trial Results Expected in 2026</w:t>
      </w:r>
      <w:r>
        <w:rPr>
          <w:rFonts w:ascii="Times New Roman" w:hAnsi="Times New Roman"/>
          <w:color w:val="000000"/>
          <w:sz w:val="20"/>
        </w:rPr>
        <w:t>: The global, randomized, placebo-controlled 24-week APEX Phase 2 clinical trial is designed to evaluate the safety and efficacy of TX45 administered subcutaneously in patients with PH-HFpEF, enriched for CpcPH. The primary efficacy endpoint of the trial is the change from baseline in PVR in the CpcPH with PVR≥3 Wood Units population, and the trial aims to enroll 70% of patients in the enriched population of CpcPH with a PVR≥3. The clinical trial is now over 50% enrolled and topline results are expected in 2026.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Overview of Financial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Cash Position</w:t>
      </w:r>
      <w:r>
        <w:rPr>
          <w:rFonts w:ascii="Times New Roman" w:hAnsi="Times New Roman"/>
          <w:color w:val="000000"/>
          <w:sz w:val="20"/>
        </w:rPr>
        <w:t>: As of September 30, 2025, cash and cash equivalents were $268.4 million, compared to $287.4 million as of June 30, 2025. Tectonic anticipates that, based on current operating assumptions, its current cash and cash equivalents will provide a cash runway into Q4’2028, including through the Phase 2 readout for TX45 in PH-HFpEF and PH-ILD, and the progression of TX2100 for HHT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Research and Development Expenses</w:t>
      </w:r>
      <w:r>
        <w:rPr>
          <w:rFonts w:ascii="Times New Roman" w:hAnsi="Times New Roman"/>
          <w:color w:val="000000"/>
          <w:sz w:val="20"/>
        </w:rPr>
        <w:t>: Research and development expenses were $16.9 million for the three months ended September 30, 2025, as compared to $14.3 million for the three months ended September 30, 2024. The increase was primarily the result of the discovery, development and manufacturing of TX2100 and employee-related expenses due to an increase in non-cash,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General and Administrative Expenses</w:t>
      </w:r>
      <w:r>
        <w:rPr>
          <w:rFonts w:ascii="Times New Roman" w:hAnsi="Times New Roman"/>
          <w:color w:val="000000"/>
          <w:sz w:val="20"/>
        </w:rPr>
        <w:t xml:space="preserve">: General and administrative expenses were $5.0 million for the three months ended September 30, 2025, as compared to $5.3 million for the three months ended September 30, 2024.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Net Loss</w:t>
      </w:r>
      <w:r>
        <w:rPr>
          <w:rFonts w:ascii="Times New Roman" w:hAnsi="Times New Roman"/>
          <w:color w:val="000000"/>
          <w:sz w:val="20"/>
        </w:rPr>
        <w:t>: For the three months ended September 30, 2025, the Company had a net loss of $19.0 million compared to a net loss of $17.7 million for the three months ended September 30, 2024.</w:t>
      </w:r>
    </w:p>
    <w:p>
      <w:pPr>
        <w:pStyle w:val="TextBody"/>
        <w:bidi w:val="0"/>
        <w:jc w:val="left"/>
        <w:rPr>
          <w:rFonts w:ascii="Times New Roman" w:hAnsi="Times New Roman"/>
          <w:sz w:val="20"/>
        </w:rPr>
      </w:pPr>
      <w:r>
        <w:rPr>
          <w:rFonts w:ascii="Times New Roman" w:hAnsi="Times New Roman"/>
          <w:b/>
          <w:color w:val="000000"/>
          <w:sz w:val="20"/>
        </w:rPr>
        <w:t>About Group 2 Pulmonary Hypertension in HFpEF</w:t>
      </w:r>
      <w:r>
        <w:rPr>
          <w:rFonts w:ascii="Times New Roman" w:hAnsi="Times New Roman"/>
          <w:color w:val="000000"/>
          <w:sz w:val="20"/>
        </w:rPr>
        <w:br/>
        <w:t>The World Health Organization has defined 5 groups of PH. Tectonic’s initial focus has been on the Group 2 subtype, a condition that develops due to left-sided heart disease, specifically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Combined pre- and post-capillary PH (“CpcPH”). CpcPH is more severe, accounts for about one third to one half of the 1.4 million PH-HFpEF patients in the U.S. and is characterized by additional, abnormal changes to the pulmonary vasculature, leading to an increase in Pulmonary Vascular Resistance (“PVR”). Although several Group 1 PH (Pulmonary Arterial Hypertension, “PAH”) medications have been explored in Group 2 PH, to date, no medications have been approved for its treatment.</w:t>
      </w:r>
    </w:p>
    <w:p>
      <w:pPr>
        <w:pStyle w:val="TextBody"/>
        <w:bidi w:val="0"/>
        <w:jc w:val="left"/>
        <w:rPr>
          <w:rFonts w:ascii="Times New Roman" w:hAnsi="Times New Roman"/>
          <w:b/>
          <w:color w:val="000000"/>
          <w:sz w:val="20"/>
        </w:rPr>
      </w:pPr>
      <w:r>
        <w:rPr>
          <w:rFonts w:ascii="Times New Roman" w:hAnsi="Times New Roman"/>
          <w:b/>
          <w:color w:val="000000"/>
          <w:sz w:val="20"/>
        </w:rPr>
        <w:t>About Group 3 Pulmonary Hypertension and PH-ILD</w:t>
      </w:r>
    </w:p>
    <w:p>
      <w:pPr>
        <w:pStyle w:val="TextBody"/>
        <w:bidi w:val="0"/>
        <w:jc w:val="left"/>
        <w:rPr>
          <w:rFonts w:ascii="Times New Roman" w:hAnsi="Times New Roman"/>
          <w:color w:val="000000"/>
          <w:sz w:val="20"/>
        </w:rPr>
      </w:pPr>
      <w:r>
        <w:rPr>
          <w:rFonts w:ascii="Times New Roman" w:hAnsi="Times New Roman"/>
          <w:color w:val="000000"/>
          <w:sz w:val="20"/>
        </w:rPr>
        <w:t>The World Health Organization has defined 5 groups of PH. Group 3 is PH due to chronic lung disease. Tectonic is focused on a Group 3 subtype, called PH-ILD where PH develops in patients who have ILD. ILD is a group of rare conditions causing inflammation and scarring in the lungs. It is believed that a combination of factors leads to the formation of PH-ILD, including lung fibrosis, chronic hypoxia, vascular remodeling and other factors that lead to worsening exercise capacity. PH-ILD has worse survival than ILD without PH. There are currently two approved treatments for PH-ILD, both of which contain the active ingredient treprostinil administered via nebulizer or dry powder inhaler.</w:t>
      </w:r>
    </w:p>
    <w:p>
      <w:pPr>
        <w:pStyle w:val="TextBody"/>
        <w:bidi w:val="0"/>
        <w:jc w:val="left"/>
        <w:rPr>
          <w:rFonts w:ascii="Times New Roman" w:hAnsi="Times New Roman"/>
          <w:sz w:val="20"/>
        </w:rPr>
      </w:pPr>
      <w:r>
        <w:rPr>
          <w:rFonts w:ascii="Times New Roman" w:hAnsi="Times New Roman"/>
          <w:b/>
          <w:color w:val="000000"/>
          <w:sz w:val="20"/>
        </w:rPr>
        <w:t>About TX45, a long-acting Fc-relaxin fusion protein</w:t>
      </w:r>
      <w:r>
        <w:rPr>
          <w:rFonts w:ascii="Times New Roman" w:hAnsi="Times New Roman"/>
          <w:color w:val="000000"/>
          <w:sz w:val="20"/>
        </w:rPr>
        <w:b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pStyle w:val="TextBody"/>
        <w:bidi w:val="0"/>
        <w:jc w:val="left"/>
        <w:rPr>
          <w:rFonts w:ascii="Times New Roman" w:hAnsi="Times New Roman"/>
          <w:sz w:val="20"/>
        </w:rPr>
      </w:pPr>
      <w:r>
        <w:rPr>
          <w:rFonts w:ascii="Times New Roman" w:hAnsi="Times New Roman"/>
          <w:b/>
          <w:color w:val="000000"/>
          <w:sz w:val="20"/>
        </w:rPr>
        <w:t>About Tectonic</w:t>
      </w:r>
      <w:r>
        <w:rPr>
          <w:rFonts w:ascii="Times New Roman" w:hAnsi="Times New Roman"/>
          <w:color w:val="000000"/>
          <w:sz w:val="20"/>
        </w:rPr>
        <w:br/>
        <w:t>Tectonic Therapeutic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www.tectonictx.com and follow us on LinkedIn.</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1b and Phase 2 clinical trials for its lead program, TX45, in Group 2 PH-HFpEF and Group 2 PH-HFrEF and its planned Phase 2 clinical trial for TX45 in PH-ILD; the Company’s planned initiation of a Phase 1 clinical trial for TX2100; and the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Company’s expected cash runway.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 the SEC on November 6, 2025,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follow @TectonicTx on X (formerly Twitter) and LinkedIn.</w:t>
      </w:r>
    </w:p>
    <w:p>
      <w:pPr>
        <w:pStyle w:val="TextBody"/>
        <w:bidi w:val="0"/>
        <w:jc w:val="left"/>
        <w:rPr>
          <w:rFonts w:ascii="Times New Roman" w:hAnsi="Times New Roman"/>
          <w:b/>
          <w:color w:val="000000"/>
          <w:sz w:val="20"/>
        </w:rPr>
      </w:pPr>
      <w:r>
        <w:rPr>
          <w:rFonts w:ascii="Times New Roman" w:hAnsi="Times New Roman"/>
          <w:b/>
          <w:color w:val="000000"/>
          <w:sz w:val="20"/>
        </w:rPr>
        <w:t>Contacts:</w:t>
      </w:r>
    </w:p>
    <w:p>
      <w:pPr>
        <w:pStyle w:val="TextBody"/>
        <w:bidi w:val="0"/>
        <w:jc w:val="left"/>
        <w:rPr>
          <w:rFonts w:ascii="Times New Roman" w:hAnsi="Times New Roman"/>
          <w:color w:val="000000"/>
          <w:sz w:val="20"/>
        </w:rPr>
      </w:pPr>
      <w:r>
        <w:rPr>
          <w:rFonts w:ascii="Times New Roman" w:hAnsi="Times New Roman"/>
          <w:color w:val="000000"/>
          <w:sz w:val="20"/>
        </w:rPr>
        <w:t>Investors:</w:t>
      </w:r>
    </w:p>
    <w:p>
      <w:pPr>
        <w:pStyle w:val="TextBody"/>
        <w:bidi w:val="0"/>
        <w:jc w:val="left"/>
        <w:rPr>
          <w:rFonts w:ascii="Times New Roman" w:hAnsi="Times New Roman"/>
          <w:color w:val="000000"/>
          <w:sz w:val="20"/>
        </w:rPr>
      </w:pPr>
      <w:r>
        <w:rPr>
          <w:rFonts w:ascii="Times New Roman" w:hAnsi="Times New Roman"/>
          <w:color w:val="000000"/>
          <w:sz w:val="20"/>
        </w:rPr>
        <w:t>Dan Ferry</w:t>
      </w:r>
    </w:p>
    <w:p>
      <w:pPr>
        <w:pStyle w:val="TextBody"/>
        <w:bidi w:val="0"/>
        <w:jc w:val="left"/>
        <w:rPr>
          <w:rFonts w:ascii="Times New Roman" w:hAnsi="Times New Roman"/>
          <w:color w:val="000000"/>
          <w:sz w:val="20"/>
        </w:rPr>
      </w:pPr>
      <w:r>
        <w:rPr>
          <w:rFonts w:ascii="Times New Roman" w:hAnsi="Times New Roman"/>
          <w:color w:val="000000"/>
          <w:sz w:val="20"/>
        </w:rPr>
        <w:t>LifeSci Advisors</w:t>
      </w:r>
    </w:p>
    <w:p>
      <w:pPr>
        <w:pStyle w:val="TextBody"/>
        <w:bidi w:val="0"/>
        <w:jc w:val="left"/>
        <w:rPr>
          <w:rFonts w:ascii="Times New Roman" w:hAnsi="Times New Roman"/>
          <w:color w:val="000000"/>
          <w:sz w:val="20"/>
        </w:rPr>
      </w:pPr>
      <w:r>
        <w:rPr>
          <w:rFonts w:ascii="Times New Roman" w:hAnsi="Times New Roman"/>
          <w:color w:val="000000"/>
          <w:sz w:val="20"/>
        </w:rPr>
        <w:t>daniel@lifesciadvisors.com</w:t>
      </w:r>
    </w:p>
    <w:p>
      <w:pPr>
        <w:pStyle w:val="TextBody"/>
        <w:bidi w:val="0"/>
        <w:jc w:val="left"/>
        <w:rPr>
          <w:rFonts w:ascii="Times New Roman" w:hAnsi="Times New Roman"/>
          <w:color w:val="000000"/>
          <w:sz w:val="20"/>
        </w:rPr>
      </w:pPr>
      <w:r>
        <w:rPr>
          <w:rFonts w:ascii="Times New Roman" w:hAnsi="Times New Roman"/>
          <w:color w:val="000000"/>
          <w:sz w:val="20"/>
        </w:rPr>
        <w:t>(617) 430-7576</w:t>
      </w:r>
    </w:p>
    <w:p>
      <w:pPr>
        <w:pStyle w:val="TextBody"/>
        <w:bidi w:val="0"/>
        <w:jc w:val="left"/>
        <w:rPr>
          <w:rFonts w:ascii="Times New Roman" w:hAnsi="Times New Roman"/>
          <w:color w:val="000000"/>
          <w:sz w:val="20"/>
        </w:rPr>
      </w:pPr>
      <w:r>
        <w:rPr>
          <w:rFonts w:ascii="Times New Roman" w:hAnsi="Times New Roman"/>
          <w:color w:val="000000"/>
          <w:sz w:val="20"/>
        </w:rPr>
        <w:t>Media:</w:t>
      </w:r>
    </w:p>
    <w:p>
      <w:pPr>
        <w:pStyle w:val="TextBody"/>
        <w:bidi w:val="0"/>
        <w:jc w:val="left"/>
        <w:rPr>
          <w:rFonts w:ascii="Times New Roman" w:hAnsi="Times New Roman"/>
          <w:color w:val="000000"/>
          <w:sz w:val="20"/>
        </w:rPr>
      </w:pPr>
      <w:r>
        <w:rPr>
          <w:rFonts w:ascii="Times New Roman" w:hAnsi="Times New Roman"/>
          <w:color w:val="000000"/>
          <w:sz w:val="20"/>
        </w:rPr>
        <w:t>Kathryn Morris</w:t>
      </w:r>
    </w:p>
    <w:p>
      <w:pPr>
        <w:pStyle w:val="TextBody"/>
        <w:bidi w:val="0"/>
        <w:jc w:val="left"/>
        <w:rPr>
          <w:rFonts w:ascii="Times New Roman" w:hAnsi="Times New Roman"/>
          <w:color w:val="000000"/>
          <w:sz w:val="20"/>
        </w:rPr>
      </w:pPr>
      <w:r>
        <w:rPr>
          <w:rFonts w:ascii="Times New Roman" w:hAnsi="Times New Roman"/>
          <w:color w:val="000000"/>
          <w:sz w:val="20"/>
        </w:rPr>
        <w:t>The Yates Network</w:t>
      </w:r>
    </w:p>
    <w:p>
      <w:pPr>
        <w:pStyle w:val="TextBody"/>
        <w:bidi w:val="0"/>
        <w:jc w:val="left"/>
        <w:rPr>
          <w:rFonts w:ascii="Times New Roman" w:hAnsi="Times New Roman"/>
          <w:color w:val="000000"/>
          <w:sz w:val="20"/>
        </w:rPr>
      </w:pPr>
      <w:r>
        <w:rPr>
          <w:rFonts w:ascii="Times New Roman" w:hAnsi="Times New Roman"/>
          <w:color w:val="000000"/>
          <w:sz w:val="20"/>
        </w:rPr>
        <w:t>kathryn@theyatesnetwork.com</w:t>
      </w:r>
    </w:p>
    <w:p>
      <w:pPr>
        <w:pStyle w:val="TextBody"/>
        <w:bidi w:val="0"/>
        <w:jc w:val="left"/>
        <w:rPr>
          <w:rFonts w:ascii="Times New Roman" w:hAnsi="Times New Roman"/>
          <w:color w:val="000000"/>
          <w:sz w:val="20"/>
        </w:rPr>
      </w:pPr>
      <w:r>
        <w:rPr>
          <w:rFonts w:ascii="Times New Roman" w:hAnsi="Times New Roman"/>
          <w:color w:val="000000"/>
          <w:sz w:val="20"/>
        </w:rPr>
        <w:t>(914) 204-6412</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8"/>
        <w:gridCol w:w="146"/>
        <w:gridCol w:w="221"/>
        <w:gridCol w:w="1089"/>
        <w:gridCol w:w="174"/>
        <w:gridCol w:w="153"/>
        <w:gridCol w:w="221"/>
        <w:gridCol w:w="1089"/>
        <w:gridCol w:w="166"/>
        <w:gridCol w:w="146"/>
        <w:gridCol w:w="221"/>
        <w:gridCol w:w="1088"/>
        <w:gridCol w:w="174"/>
        <w:gridCol w:w="153"/>
        <w:gridCol w:w="221"/>
        <w:gridCol w:w="978"/>
        <w:gridCol w:w="617"/>
      </w:tblGrid>
      <w:tr>
        <w:trPr/>
        <w:tc>
          <w:tcPr>
            <w:tcW w:w="3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32,208</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44,024</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(45,609</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(45,609</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(19,061</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(55,009</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(45,675</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18,712,767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14,729,018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18,189,185</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6,373,717</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br/>
        <w:t>Tectonic Therapeutic,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Select Condensed Consolidated Balance Sheet Data</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6390" w:type="dxa"/>
        <w:jc w:val="left"/>
        <w:tblInd w:w="0" w:type="dxa"/>
        <w:tblLayout w:type="fixed"/>
        <w:tblCellMar>
          <w:top w:w="28" w:type="dxa"/>
          <w:left w:w="28" w:type="dxa"/>
          <w:bottom w:w="28" w:type="dxa"/>
          <w:right w:w="28" w:type="dxa"/>
        </w:tblCellMar>
      </w:tblPr>
      <w:tblGrid>
        <w:gridCol w:w="2266"/>
        <w:gridCol w:w="146"/>
        <w:gridCol w:w="374"/>
        <w:gridCol w:w="1396"/>
        <w:gridCol w:w="146"/>
        <w:gridCol w:w="146"/>
        <w:gridCol w:w="367"/>
        <w:gridCol w:w="1358"/>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*Working capital is defined as current assets less current liabilities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2653</Words>
  <Characters>15031</Characters>
  <CharactersWithSpaces>17712</CharactersWithSpaces>
  <Paragraphs>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