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935,121.00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935,121.00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935,121.00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71"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18,662,672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1, 2025, as reported in the Form 10-K filed by the Issuer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935,121.00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935,121.00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935,121.00</w:t>
      </w:r>
    </w:p>
    <w:p>
      <w:pPr>
        <w:sectPr>
          <w:pgSz w:w="11900" w:h="16871" w:orient="portrait"/>
          <w:cols w:equalWidth="0" w:num="1">
            <w:col w:w="11140"/>
          </w:cols>
          <w:pgMar w:left="320" w:top="166"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18,662,672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1, 2025, as reported in the Form 10-K filed by the Issuer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879,710.00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879,710.00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879,710.00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18,662,672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1, 2025, as reported in the Form 10-K filed by the Issuer for the fiscal year ended December 31, 2024.</w:t>
      </w:r>
    </w:p>
    <w:p>
      <w:pPr>
        <w:sectPr>
          <w:pgSz w:w="11900" w:h="16838" w:orient="portrait"/>
          <w:cols w:equalWidth="0" w:num="1">
            <w:col w:w="11140"/>
          </w:cols>
          <w:pgMar w:left="32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40"/>
          </w:cols>
          <w:pgMar w:left="320" w:top="111" w:right="4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 Suite 210,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EcoR1: 935,121 Oleg Nodelman: 935,121 Qualified Fund: 879,710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5.0% Oleg Nodelman: 5.0% Qualified Fund: 4.7%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935,121 Oleg Nodelman: 935,121 Qualified Fund: 879,710</w:t>
      </w:r>
    </w:p>
    <w:p>
      <w:pPr>
        <w:sectPr>
          <w:pgSz w:w="11900" w:h="16838" w:orient="portrait"/>
          <w:cols w:equalWidth="0" w:num="1">
            <w:col w:w="11060"/>
          </w:cols>
          <w:pgMar w:left="360" w:top="193" w:right="47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right="438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EcoR1: 935,121 Oleg Nodelman: 935,121 Qualified Fund: 879,710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5"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Agreement Regarding Joint Filing of Statement on Schedule 13D or 13G</w:t>
      </w:r>
    </w:p>
    <w:p>
      <w:pPr>
        <w:sectPr>
          <w:pgSz w:w="11900" w:h="16838" w:orient="portrait"/>
          <w:cols w:equalWidth="0" w:num="1">
            <w:col w:w="11140"/>
          </w:cols>
          <w:pgMar w:left="360" w:top="112" w:right="399" w:bottom="5"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2025</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2025-05-15T13:33:36Z</dcterms:created>
  <dcterms:modified xsi:type="dcterms:W3CDTF">2025-05-15T13:33:36Z</dcterms:modified>
</cp:coreProperties>
</file>