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639"/>
        <w:spacing w:after="0"/>
        <w:rPr>
          <w:sz w:val="20"/>
          <w:szCs w:val="20"/>
          <w:color w:val="auto"/>
        </w:rPr>
      </w:pPr>
      <w:r>
        <w:rPr>
          <w:rFonts w:ascii="Times New Roman" w:cs="Times New Roman" w:eastAsia="Times New Roman" w:hAnsi="Times New Roman"/>
          <w:sz w:val="13"/>
          <w:szCs w:val="13"/>
          <w:color w:val="auto"/>
        </w:rPr>
        <w:t>Filed by AVROBIO, Inc.</w:t>
      </w:r>
    </w:p>
    <w:p>
      <w:pPr>
        <w:spacing w:after="0" w:line="15" w:lineRule="exact"/>
        <w:rPr>
          <w:sz w:val="24"/>
          <w:szCs w:val="24"/>
          <w:color w:val="auto"/>
        </w:rPr>
      </w:pPr>
    </w:p>
    <w:p>
      <w:pPr>
        <w:jc w:val="right"/>
        <w:ind w:right="639"/>
        <w:spacing w:after="0"/>
        <w:rPr>
          <w:sz w:val="20"/>
          <w:szCs w:val="20"/>
          <w:color w:val="auto"/>
        </w:rPr>
      </w:pPr>
      <w:r>
        <w:rPr>
          <w:rFonts w:ascii="Times New Roman" w:cs="Times New Roman" w:eastAsia="Times New Roman" w:hAnsi="Times New Roman"/>
          <w:sz w:val="13"/>
          <w:szCs w:val="13"/>
          <w:color w:val="auto"/>
        </w:rPr>
        <w:t>Pursuant to Rule 425 under the Securities Act of 1933</w:t>
      </w:r>
    </w:p>
    <w:p>
      <w:pPr>
        <w:spacing w:after="0" w:line="2" w:lineRule="exact"/>
        <w:rPr>
          <w:sz w:val="24"/>
          <w:szCs w:val="24"/>
          <w:color w:val="auto"/>
        </w:rPr>
      </w:pPr>
    </w:p>
    <w:p>
      <w:pPr>
        <w:jc w:val="right"/>
        <w:ind w:right="639"/>
        <w:spacing w:after="0"/>
        <w:rPr>
          <w:sz w:val="20"/>
          <w:szCs w:val="20"/>
          <w:color w:val="auto"/>
        </w:rPr>
      </w:pPr>
      <w:r>
        <w:rPr>
          <w:rFonts w:ascii="Times New Roman" w:cs="Times New Roman" w:eastAsia="Times New Roman" w:hAnsi="Times New Roman"/>
          <w:sz w:val="13"/>
          <w:szCs w:val="13"/>
          <w:color w:val="auto"/>
        </w:rPr>
        <w:t>Deemed filed pursuant to Rule 14a-12 under the Securities Exchange Act of 1934</w:t>
      </w:r>
    </w:p>
    <w:p>
      <w:pPr>
        <w:spacing w:after="0" w:line="141" w:lineRule="exact"/>
        <w:rPr>
          <w:sz w:val="24"/>
          <w:szCs w:val="24"/>
          <w:color w:val="auto"/>
        </w:rPr>
      </w:pPr>
    </w:p>
    <w:p>
      <w:pPr>
        <w:jc w:val="right"/>
        <w:ind w:right="639"/>
        <w:spacing w:after="0"/>
        <w:rPr>
          <w:sz w:val="20"/>
          <w:szCs w:val="20"/>
          <w:color w:val="auto"/>
        </w:rPr>
      </w:pPr>
      <w:r>
        <w:rPr>
          <w:rFonts w:ascii="Times New Roman" w:cs="Times New Roman" w:eastAsia="Times New Roman" w:hAnsi="Times New Roman"/>
          <w:sz w:val="13"/>
          <w:szCs w:val="13"/>
          <w:color w:val="auto"/>
        </w:rPr>
        <w:t>Subject Company: AVROBIO, Inc.</w:t>
      </w:r>
    </w:p>
    <w:p>
      <w:pPr>
        <w:spacing w:after="0" w:line="15" w:lineRule="exact"/>
        <w:rPr>
          <w:sz w:val="24"/>
          <w:szCs w:val="24"/>
          <w:color w:val="auto"/>
        </w:rPr>
      </w:pPr>
    </w:p>
    <w:p>
      <w:pPr>
        <w:jc w:val="right"/>
        <w:ind w:right="639"/>
        <w:spacing w:after="0"/>
        <w:rPr>
          <w:sz w:val="20"/>
          <w:szCs w:val="20"/>
          <w:color w:val="auto"/>
        </w:rPr>
      </w:pPr>
      <w:r>
        <w:rPr>
          <w:rFonts w:ascii="Times New Roman" w:cs="Times New Roman" w:eastAsia="Times New Roman" w:hAnsi="Times New Roman"/>
          <w:sz w:val="13"/>
          <w:szCs w:val="13"/>
          <w:color w:val="auto"/>
        </w:rPr>
        <w:t>Commission File No.: 001-38537</w:t>
      </w:r>
    </w:p>
    <w:p>
      <w:pPr>
        <w:spacing w:after="0" w:line="2" w:lineRule="exact"/>
        <w:rPr>
          <w:sz w:val="24"/>
          <w:szCs w:val="24"/>
          <w:color w:val="auto"/>
        </w:rPr>
      </w:pPr>
    </w:p>
    <w:p>
      <w:pPr>
        <w:jc w:val="right"/>
        <w:ind w:right="639"/>
        <w:spacing w:after="0"/>
        <w:rPr>
          <w:sz w:val="20"/>
          <w:szCs w:val="20"/>
          <w:color w:val="auto"/>
        </w:rPr>
      </w:pPr>
      <w:r>
        <w:rPr>
          <w:rFonts w:ascii="Times New Roman" w:cs="Times New Roman" w:eastAsia="Times New Roman" w:hAnsi="Times New Roman"/>
          <w:sz w:val="13"/>
          <w:szCs w:val="13"/>
          <w:color w:val="auto"/>
        </w:rPr>
        <w:t>Date: April 4, 2024</w:t>
      </w:r>
    </w:p>
    <w:p>
      <w:pPr>
        <w:spacing w:after="0" w:line="141" w:lineRule="exact"/>
        <w:rPr>
          <w:sz w:val="24"/>
          <w:szCs w:val="24"/>
          <w:color w:val="auto"/>
        </w:rPr>
      </w:pPr>
    </w:p>
    <w:p>
      <w:pPr>
        <w:ind w:left="640" w:right="699"/>
        <w:spacing w:after="0" w:line="272" w:lineRule="auto"/>
        <w:rPr>
          <w:sz w:val="20"/>
          <w:szCs w:val="20"/>
          <w:color w:val="auto"/>
        </w:rPr>
      </w:pPr>
      <w:r>
        <w:rPr>
          <w:rFonts w:ascii="Times New Roman" w:cs="Times New Roman" w:eastAsia="Times New Roman" w:hAnsi="Times New Roman"/>
          <w:sz w:val="12"/>
          <w:szCs w:val="12"/>
          <w:color w:val="auto"/>
        </w:rPr>
        <w:t>This filing relates to the proposed transaction pursuant to the terms of that certain Agreement and Plan of Merger and Reorganization, dated as of January 30, 2024, among AVROBIO, Inc., a Delaware corporation (“AVROBIO”), Alpine Merger Subsidiary, Inc., a Delaware corporation and a wholly-owned subsidiary of AVROBIO (“Merger Sub”), and Tectonic Therapeutic, Inc., a Delaware corporation (“Tectonic”), (the “Merger Agreement”), pursuant to which, and subject to the satisfaction or waiver of the conditions set forth in the Merger Agreement, Merger Sub will be merged with and into Tectonic (the “Merger”), with Tectonic continuing after the Merger as the surviving corporation and a wholly-owned subsidiary of AVROBIO. The following is Tectonic’s updated corporate deck made available on Tectonic’s website at https://tectonictx.com on April 4,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128270</wp:posOffset>
            </wp:positionV>
            <wp:extent cx="4910455" cy="120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12065"/>
                    </a:xfrm>
                    <a:prstGeom prst="rect">
                      <a:avLst/>
                    </a:prstGeom>
                    <a:noFill/>
                  </pic:spPr>
                </pic:pic>
              </a:graphicData>
            </a:graphic>
          </wp:anchor>
        </w:drawing>
      </w:r>
    </w:p>
    <w:p>
      <w:pPr>
        <w:sectPr>
          <w:pgSz w:w="11900" w:h="16838" w:orient="portrait"/>
          <w:cols w:equalWidth="0" w:num="1">
            <w:col w:w="9019"/>
          </w:cols>
          <w:pgMar w:left="1440" w:top="202"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2024-04-04T07:25:05Z</dcterms:created>
  <dcterms:modified xsi:type="dcterms:W3CDTF">2024-04-04T07:25:05Z</dcterms:modified>
</cp:coreProperties>
</file>