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640" w:right="1580" w:hanging="3619"/>
        <w:spacing w:after="0" w:line="365" w:lineRule="auto"/>
        <w:tabs>
          <w:tab w:leader="none" w:pos="48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34" w:lineRule="exact"/>
        <w:rPr>
          <w:sz w:val="24"/>
          <w:szCs w:val="24"/>
          <w:color w:val="auto"/>
        </w:rPr>
      </w:pPr>
    </w:p>
    <w:p>
      <w:pPr>
        <w:ind w:left="3040" w:right="1600" w:hanging="3019"/>
        <w:spacing w:after="0" w:line="328" w:lineRule="auto"/>
        <w:tabs>
          <w:tab w:leader="none" w:pos="48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001-38537</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-306705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00" w:type="dxa"/>
            <w:vAlign w:val="bottom"/>
            <w:gridSpan w:val="3"/>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Pr>
          <w:p>
            <w:pPr>
              <w:jc w:val="right"/>
              <w:ind w:right="2301"/>
              <w:spacing w:after="0"/>
              <w:rPr>
                <w:sz w:val="20"/>
                <w:szCs w:val="20"/>
                <w:color w:val="auto"/>
              </w:rPr>
            </w:pPr>
            <w:r>
              <w:rPr>
                <w:rFonts w:ascii="Times New Roman" w:cs="Times New Roman" w:eastAsia="Times New Roman" w:hAnsi="Times New Roman"/>
                <w:sz w:val="18"/>
                <w:szCs w:val="18"/>
                <w:b w:val="1"/>
                <w:bCs w:val="1"/>
                <w:color w:val="auto"/>
              </w:rPr>
              <w:t>81-0710585</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Pr>
          <w:p>
            <w:pPr>
              <w:jc w:val="center"/>
              <w:ind w:right="2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jc w:val="center"/>
              <w:ind w:right="21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1"/>
        </w:trPr>
        <w:tc>
          <w:tcPr>
            <w:tcW w:w="4500" w:type="dxa"/>
            <w:vAlign w:val="bottom"/>
            <w:gridSpan w:val="3"/>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490 Arsenal Way, Suite 210</w:t>
            </w:r>
          </w:p>
        </w:tc>
        <w:tc>
          <w:tcPr>
            <w:tcW w:w="2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500" w:type="dxa"/>
            <w:vAlign w:val="bottom"/>
            <w:gridSpan w:val="3"/>
          </w:tcPr>
          <w:p>
            <w:pPr>
              <w:jc w:val="center"/>
              <w:ind w:left="1037"/>
              <w:spacing w:after="0"/>
              <w:rPr>
                <w:sz w:val="20"/>
                <w:szCs w:val="20"/>
                <w:color w:val="auto"/>
              </w:rPr>
            </w:pPr>
            <w:r>
              <w:rPr>
                <w:rFonts w:ascii="Times New Roman" w:cs="Times New Roman" w:eastAsia="Times New Roman" w:hAnsi="Times New Roman"/>
                <w:sz w:val="18"/>
                <w:szCs w:val="18"/>
                <w:b w:val="1"/>
                <w:bCs w:val="1"/>
                <w:color w:val="auto"/>
                <w:w w:val="99"/>
              </w:rPr>
              <w:t>Watertown, MA</w:t>
            </w:r>
          </w:p>
        </w:tc>
        <w:tc>
          <w:tcPr>
            <w:tcW w:w="2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02472</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jc w:val="center"/>
              <w:ind w:right="21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66"/>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(339) 666-3320</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840" w:type="dxa"/>
            <w:vAlign w:val="bottom"/>
            <w:gridSpan w:val="7"/>
          </w:tcPr>
          <w:p>
            <w:pPr>
              <w:jc w:val="center"/>
              <w:ind w:left="3277"/>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5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334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TECX</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36"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 w:lineRule="exact"/>
        <w:rPr>
          <w:sz w:val="24"/>
          <w:szCs w:val="24"/>
          <w:color w:val="auto"/>
        </w:rPr>
      </w:pPr>
    </w:p>
    <w:p>
      <w:pPr>
        <w:ind w:right="2140"/>
        <w:spacing w:after="0" w:line="277"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 Yes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3, 2025, the registrant had 18,716,280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020" w:type="dxa"/>
            <w:vAlign w:val="bottom"/>
            <w:vMerge w:val="continue"/>
          </w:tcPr>
          <w:p>
            <w:pPr>
              <w:spacing w:after="0"/>
              <w:rPr>
                <w:sz w:val="16"/>
                <w:szCs w:val="16"/>
                <w:color w:val="auto"/>
              </w:rPr>
            </w:pPr>
          </w:p>
        </w:tc>
        <w:tc>
          <w:tcPr>
            <w:tcW w:w="928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FINANCIAL INFORMATION</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 30,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2025 and 2024</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Convertible Preferred Stock and Stockholders’ Equity (Deficit) for the three and nine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right w:val="single" w:sz="8" w:color="0000FF"/>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months ended September 30, 2025 and 2024</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2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right w:val="single" w:sz="8" w:color="0000FF"/>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Interim Condensed Consolidated Financial Statements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40" w:type="dxa"/>
            <w:vAlign w:val="bottom"/>
            <w:tcBorders>
              <w:left w:val="single" w:sz="8" w:color="0000FF"/>
            </w:tcBorders>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2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229"/>
        </w:trPr>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w:t>
      </w:r>
    </w:p>
    <w:p>
      <w:pPr>
        <w:spacing w:after="0" w:line="30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TX2100 and any other product candidates, and our anticipated milestones and timing therefor;</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if approved, or the commercial or market opportunity with respect to any of our future products,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w:t>
      </w:r>
    </w:p>
    <w:p>
      <w:pPr>
        <w:spacing w:after="0" w:line="16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those described under the section titled “Risk Factors” under Part II, Item 1A below, and under similar captions in our</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on Form 10-Q.</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268,435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141,239</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6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273,241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146,857</w:t>
            </w: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277,001</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152,905</w:t>
            </w:r>
          </w:p>
        </w:tc>
        <w:tc>
          <w:tcPr>
            <w:tcW w:w="10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liability</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1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10,000,000 shares authorized as of September 30, 2025</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December 31, 2024; no shares issued and outstanding as of September 30, 2025</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December 31, 2024</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of September 30, 2025 and December 31, 2024; 18,713,223 and 14,856,309 shares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and outstanding as of September 30, 2025 and December 31, 2024, respectively</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289,351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(203,511)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(148,586)</w:t>
            </w:r>
          </w:p>
        </w:tc>
      </w:tr>
      <w:tr>
        <w:trPr>
          <w:trHeight w:val="210"/>
        </w:trPr>
        <w:tc>
          <w:tcPr>
            <w:tcW w:w="71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267,528</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140,776</w:t>
            </w:r>
          </w:p>
        </w:tc>
        <w:tc>
          <w:tcPr>
            <w:tcW w:w="100" w:type="dxa"/>
            <w:vAlign w:val="bottom"/>
            <w:tcBorders>
              <w:top w:val="single" w:sz="8" w:color="CFF0FC"/>
            </w:tcBorders>
          </w:tcPr>
          <w:p>
            <w:pPr>
              <w:spacing w:after="0"/>
              <w:rPr>
                <w:sz w:val="18"/>
                <w:szCs w:val="18"/>
                <w:color w:val="auto"/>
              </w:rPr>
            </w:pPr>
          </w:p>
        </w:tc>
      </w:tr>
      <w:tr>
        <w:trPr>
          <w:trHeight w:val="230"/>
        </w:trPr>
        <w:tc>
          <w:tcPr>
            <w:tcW w:w="7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152,905</w:t>
            </w:r>
          </w:p>
        </w:tc>
        <w:tc>
          <w:tcPr>
            <w:tcW w:w="100" w:type="dxa"/>
            <w:vAlign w:val="bottom"/>
            <w:shd w:val="clear" w:color="auto" w:fill="CFF0FC"/>
          </w:tcPr>
          <w:p>
            <w:pPr>
              <w:spacing w:after="0"/>
              <w:rPr>
                <w:sz w:val="19"/>
                <w:szCs w:val="19"/>
                <w:color w:val="auto"/>
              </w:rPr>
            </w:pP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-4225290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-3394075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47,148</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12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20" w:type="dxa"/>
            <w:vAlign w:val="bottom"/>
          </w:tcPr>
          <w:p>
            <w:pPr>
              <w:spacing w:after="0"/>
              <w:rPr>
                <w:sz w:val="18"/>
                <w:szCs w:val="18"/>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(21,890)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(62,520)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(44,024)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(1,585)</w:t>
            </w:r>
          </w:p>
        </w:tc>
      </w:tr>
      <w:tr>
        <w:trPr>
          <w:trHeight w:val="20"/>
        </w:trPr>
        <w:tc>
          <w:tcPr>
            <w:tcW w:w="52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(53,949)</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(45,609)</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(54,925)</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(45,609)</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(19,061)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(17,733)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(55,009)</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(45,675)</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5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(7.16)</w:t>
            </w: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2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18,712,767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14,729,018</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18,189,185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6,373,717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-2331085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-2331085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-2331085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-2331085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-1207770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-1207770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-925195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-925195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-925195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-351155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-334010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-351155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-334010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-351155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-334010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80" w:type="dxa"/>
            <w:vAlign w:val="bottom"/>
          </w:tcPr>
          <w:p>
            <w:pPr>
              <w:spacing w:after="0"/>
              <w:rPr>
                <w:sz w:val="13"/>
                <w:szCs w:val="13"/>
                <w:color w:val="auto"/>
              </w:rPr>
            </w:pPr>
          </w:p>
        </w:tc>
        <w:tc>
          <w:tcPr>
            <w:tcW w:w="20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8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28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060" w:type="dxa"/>
            <w:vAlign w:val="bottom"/>
            <w:gridSpan w:val="2"/>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960" w:type="dxa"/>
            <w:vAlign w:val="bottom"/>
            <w:gridSpan w:val="2"/>
          </w:tcPr>
          <w:p>
            <w:pPr>
              <w:jc w:val="right"/>
              <w:ind w:right="128"/>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0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0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6,825,483</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80,627</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2,634,246</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5,979</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80" w:type="dxa"/>
            <w:vAlign w:val="bottom"/>
            <w:gridSpan w:val="2"/>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(90,604)</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(84,636)</w:t>
            </w: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 reverse</w:t>
            </w: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(3,177,808)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(1,226,493)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6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recapitalization</w:t>
            </w: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Adjusted balance, beginning of period</w:t>
            </w:r>
          </w:p>
        </w:tc>
        <w:tc>
          <w:tcPr>
            <w:tcW w:w="10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3,647,675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80,627</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1,407,753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5,979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(90,604)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(84,636)</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2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(15,221)</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(15,221)</w:t>
            </w:r>
          </w:p>
        </w:tc>
        <w:tc>
          <w:tcPr>
            <w:tcW w:w="0" w:type="dxa"/>
            <w:vAlign w:val="bottom"/>
          </w:tcPr>
          <w:p>
            <w:pPr>
              <w:spacing w:after="0"/>
              <w:rPr>
                <w:sz w:val="1"/>
                <w:szCs w:val="1"/>
                <w:color w:val="auto"/>
              </w:rPr>
            </w:pPr>
          </w:p>
        </w:tc>
      </w:tr>
      <w:tr>
        <w:trPr>
          <w:trHeight w:val="142"/>
        </w:trPr>
        <w:tc>
          <w:tcPr>
            <w:tcW w:w="2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04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3,647,675</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80,627</w:t>
            </w:r>
          </w:p>
        </w:tc>
        <w:tc>
          <w:tcPr>
            <w:tcW w:w="1140" w:type="dxa"/>
            <w:vAlign w:val="bottom"/>
            <w:gridSpan w:val="3"/>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1,409,288</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6,304</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8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(105,825)</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(99,574)</w:t>
            </w:r>
          </w:p>
        </w:tc>
        <w:tc>
          <w:tcPr>
            <w:tcW w:w="0" w:type="dxa"/>
            <w:vAlign w:val="bottom"/>
          </w:tcPr>
          <w:p>
            <w:pPr>
              <w:spacing w:after="0"/>
              <w:rPr>
                <w:sz w:val="1"/>
                <w:szCs w:val="1"/>
                <w:color w:val="auto"/>
              </w:rPr>
            </w:pPr>
          </w:p>
        </w:tc>
      </w:tr>
      <w:tr>
        <w:trPr>
          <w:trHeight w:val="119"/>
        </w:trPr>
        <w:tc>
          <w:tcPr>
            <w:tcW w:w="26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Conversion of convertible preferred stock</w:t>
            </w:r>
          </w:p>
        </w:tc>
        <w:tc>
          <w:tcPr>
            <w:tcW w:w="10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into common stock in connection with the</w:t>
            </w:r>
          </w:p>
        </w:tc>
        <w:tc>
          <w:tcPr>
            <w:tcW w:w="104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(3,647,675)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(80,627)</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3,647,675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80,627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80,627</w:t>
            </w:r>
          </w:p>
        </w:tc>
        <w:tc>
          <w:tcPr>
            <w:tcW w:w="0" w:type="dxa"/>
            <w:vAlign w:val="bottom"/>
          </w:tcPr>
          <w:p>
            <w:pPr>
              <w:spacing w:after="0"/>
              <w:rPr>
                <w:sz w:val="1"/>
                <w:szCs w:val="1"/>
                <w:color w:val="auto"/>
              </w:rPr>
            </w:pPr>
          </w:p>
        </w:tc>
      </w:tr>
      <w:tr>
        <w:trPr>
          <w:trHeight w:val="171"/>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Merger</w:t>
            </w: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265,165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 related party</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0"/>
                <w:szCs w:val="10"/>
                <w:color w:val="auto"/>
              </w:rPr>
            </w:pPr>
          </w:p>
        </w:tc>
        <w:tc>
          <w:tcPr>
            <w:tcW w:w="1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1,470,839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34,125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34,125</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investors upon redemption of the SAFEs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subscription agreement, net of offering</w:t>
            </w:r>
          </w:p>
        </w:tc>
        <w:tc>
          <w:tcPr>
            <w:tcW w:w="10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4,163,606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94,600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94,601</w:t>
            </w:r>
          </w:p>
        </w:tc>
        <w:tc>
          <w:tcPr>
            <w:tcW w:w="0" w:type="dxa"/>
            <w:vAlign w:val="bottom"/>
          </w:tcPr>
          <w:p>
            <w:pPr>
              <w:spacing w:after="0"/>
              <w:rPr>
                <w:sz w:val="1"/>
                <w:szCs w:val="1"/>
                <w:color w:val="auto"/>
              </w:rPr>
            </w:pPr>
          </w:p>
        </w:tc>
      </w:tr>
      <w:tr>
        <w:trPr>
          <w:trHeight w:val="171"/>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costs of $2,000</w:t>
            </w: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the</w:t>
            </w: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0"/>
                <w:szCs w:val="10"/>
                <w:color w:val="auto"/>
              </w:rPr>
            </w:pPr>
          </w:p>
        </w:tc>
        <w:tc>
          <w:tcPr>
            <w:tcW w:w="1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3,777,709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68,219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68,220</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Merger, net of transaction costs of $9,937</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(12,671)</w:t>
            </w: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04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14,734,282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284,922</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280" w:type="dxa"/>
            <w:vAlign w:val="bottom"/>
            <w:gridSpan w:val="2"/>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(118,496)</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166,367</w:t>
            </w:r>
          </w:p>
        </w:tc>
        <w:tc>
          <w:tcPr>
            <w:tcW w:w="0" w:type="dxa"/>
            <w:vAlign w:val="bottom"/>
          </w:tcPr>
          <w:p>
            <w:pPr>
              <w:spacing w:after="0"/>
              <w:rPr>
                <w:sz w:val="1"/>
                <w:szCs w:val="1"/>
                <w:color w:val="auto"/>
              </w:rPr>
            </w:pPr>
          </w:p>
        </w:tc>
      </w:tr>
      <w:tr>
        <w:trPr>
          <w:trHeight w:val="142"/>
        </w:trPr>
        <w:tc>
          <w:tcPr>
            <w:tcW w:w="2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w:t>
            </w:r>
          </w:p>
        </w:tc>
        <w:tc>
          <w:tcPr>
            <w:tcW w:w="1040" w:type="dxa"/>
            <w:vAlign w:val="bottom"/>
            <w:tcBorders>
              <w:top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right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10,154</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(17,717)</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(17,717)</w:t>
            </w:r>
          </w:p>
        </w:tc>
        <w:tc>
          <w:tcPr>
            <w:tcW w:w="0" w:type="dxa"/>
            <w:vAlign w:val="bottom"/>
          </w:tcPr>
          <w:p>
            <w:pPr>
              <w:spacing w:after="0"/>
              <w:rPr>
                <w:sz w:val="1"/>
                <w:szCs w:val="1"/>
                <w:color w:val="auto"/>
              </w:rPr>
            </w:pPr>
          </w:p>
        </w:tc>
      </w:tr>
      <w:tr>
        <w:trPr>
          <w:trHeight w:val="142"/>
        </w:trPr>
        <w:tc>
          <w:tcPr>
            <w:tcW w:w="2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040" w:type="dxa"/>
            <w:vAlign w:val="bottom"/>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14,744,436</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286,649</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28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(136,213)</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150,361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-3166745</wp:posOffset>
            </wp:positionV>
            <wp:extent cx="34290" cy="376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765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-2720975</wp:posOffset>
            </wp:positionV>
            <wp:extent cx="34290" cy="213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-2047875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-2047875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-2047875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-2047875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-2047875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-2047875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-2155190</wp:posOffset>
            </wp:positionV>
            <wp:extent cx="90170" cy="231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-513715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-723265</wp:posOffset>
            </wp:positionV>
            <wp:extent cx="90170" cy="231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-513715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-513715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-513715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-513715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-513715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-128270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-128270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-128270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-128270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-128270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-128270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-234950</wp:posOffset>
            </wp:positionV>
            <wp:extent cx="90170" cy="248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0170" cy="24828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TECTONIC THERAPEUTIC, INC.</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80" w:type="dxa"/>
            <w:vAlign w:val="bottom"/>
          </w:tcPr>
          <w:p>
            <w:pPr>
              <w:spacing w:after="0"/>
              <w:rPr>
                <w:sz w:val="13"/>
                <w:szCs w:val="13"/>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89"/>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28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060" w:type="dxa"/>
            <w:vAlign w:val="bottom"/>
            <w:gridSpan w:val="2"/>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960" w:type="dxa"/>
            <w:vAlign w:val="bottom"/>
            <w:gridSpan w:val="2"/>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42"/>
        </w:trPr>
        <w:tc>
          <w:tcPr>
            <w:tcW w:w="33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34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020" w:type="dxa"/>
            <w:vAlign w:val="bottom"/>
            <w:gridSpan w:val="2"/>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14,856,309</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289,351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gridSpan w:val="2"/>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(148,586)</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140,776</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gridSpan w:val="2"/>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125,455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2,103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2,103</w:t>
            </w:r>
          </w:p>
        </w:tc>
        <w:tc>
          <w:tcPr>
            <w:tcW w:w="0" w:type="dxa"/>
            <w:vAlign w:val="bottom"/>
          </w:tcPr>
          <w:p>
            <w:pPr>
              <w:spacing w:after="0"/>
              <w:rPr>
                <w:sz w:val="1"/>
                <w:szCs w:val="1"/>
                <w:color w:val="auto"/>
              </w:rPr>
            </w:pPr>
          </w:p>
        </w:tc>
      </w:tr>
      <w:tr>
        <w:trPr>
          <w:trHeight w:val="126"/>
        </w:trPr>
        <w:tc>
          <w:tcPr>
            <w:tcW w:w="3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with the private placement, net of offering</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02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3,689,465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173,098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173,098</w:t>
            </w:r>
          </w:p>
        </w:tc>
        <w:tc>
          <w:tcPr>
            <w:tcW w:w="0" w:type="dxa"/>
            <w:vAlign w:val="bottom"/>
          </w:tcPr>
          <w:p>
            <w:pPr>
              <w:spacing w:after="0"/>
              <w:rPr>
                <w:sz w:val="1"/>
                <w:szCs w:val="1"/>
                <w:color w:val="auto"/>
              </w:rPr>
            </w:pPr>
          </w:p>
        </w:tc>
      </w:tr>
      <w:tr>
        <w:trPr>
          <w:trHeight w:val="171"/>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of $11,928</w:t>
            </w: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(15,906)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(15,906)</w:t>
            </w: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18,671,229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465,524</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(164,492)</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301,036</w:t>
            </w:r>
          </w:p>
        </w:tc>
        <w:tc>
          <w:tcPr>
            <w:tcW w:w="0" w:type="dxa"/>
            <w:vAlign w:val="bottom"/>
          </w:tcPr>
          <w:p>
            <w:pPr>
              <w:spacing w:after="0"/>
              <w:rPr>
                <w:sz w:val="1"/>
                <w:szCs w:val="1"/>
                <w:color w:val="auto"/>
              </w:rPr>
            </w:pPr>
          </w:p>
        </w:tc>
      </w:tr>
      <w:tr>
        <w:trPr>
          <w:trHeight w:val="142"/>
        </w:trPr>
        <w:tc>
          <w:tcPr>
            <w:tcW w:w="2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right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38,838</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26"/>
        </w:trPr>
        <w:tc>
          <w:tcPr>
            <w:tcW w:w="33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3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3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3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(19,984)</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(19,984)</w:t>
            </w: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18,712,138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468,289</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80" w:type="dxa"/>
            <w:vAlign w:val="bottom"/>
            <w:gridSpan w:val="2"/>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(184,476)</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283,766</w:t>
            </w:r>
          </w:p>
        </w:tc>
        <w:tc>
          <w:tcPr>
            <w:tcW w:w="0" w:type="dxa"/>
            <w:vAlign w:val="bottom"/>
          </w:tcPr>
          <w:p>
            <w:pPr>
              <w:spacing w:after="0"/>
              <w:rPr>
                <w:sz w:val="1"/>
                <w:szCs w:val="1"/>
                <w:color w:val="auto"/>
              </w:rPr>
            </w:pPr>
          </w:p>
        </w:tc>
      </w:tr>
      <w:tr>
        <w:trPr>
          <w:trHeight w:val="142"/>
        </w:trPr>
        <w:tc>
          <w:tcPr>
            <w:tcW w:w="2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right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1,085</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2,817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26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(19,035)</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(19,035)</w:t>
            </w: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3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18,713,223</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471,112</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280" w:type="dxa"/>
            <w:vAlign w:val="bottom"/>
            <w:gridSpan w:val="2"/>
          </w:tcPr>
          <w:p>
            <w:pPr>
              <w:jc w:val="right"/>
              <w:ind w:right="37"/>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(203,511)</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267,528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-2412365</wp:posOffset>
            </wp:positionV>
            <wp:extent cx="34290" cy="3765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765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-1191260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-1400810</wp:posOffset>
            </wp:positionV>
            <wp:extent cx="90170" cy="2311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-1191260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-1191260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-1191260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-1191260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-1191260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-513715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-723900</wp:posOffset>
            </wp:positionV>
            <wp:extent cx="90170"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170" cy="23114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-513715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-513715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-513715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-513715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-513715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-128270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-128270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-128270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-128270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-128270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-128270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-234950</wp:posOffset>
            </wp:positionV>
            <wp:extent cx="90170" cy="2482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0170" cy="24828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15"/>
                <w:szCs w:val="15"/>
                <w:color w:val="auto"/>
              </w:rPr>
            </w:pPr>
          </w:p>
        </w:tc>
      </w:tr>
      <w:tr>
        <w:trPr>
          <w:trHeight w:val="142"/>
        </w:trPr>
        <w:tc>
          <w:tcPr>
            <w:tcW w:w="6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c>
          <w:tcPr>
            <w:tcW w:w="1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2"/>
                <w:szCs w:val="12"/>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(45,609)</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2,374</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Reduction in the carrying amount of the operating right-of-use assets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8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16"/>
        </w:trPr>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09"/>
        </w:trPr>
        <w:tc>
          <w:tcPr>
            <w:tcW w:w="6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(45,617)</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(42,259)</w:t>
            </w: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private placement, net of offering costs of $11,928</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173,098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Subscription Agreement, net of offering costs of $2,000</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94,600</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acquired in connection with the Merger, net of transaction costs of $7,412</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77,818</w:t>
            </w: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9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0"/>
        </w:trPr>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173,496</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172,783</w:t>
            </w: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127,681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130,326</w:t>
            </w: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9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141,826</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29,356</w:t>
            </w: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8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269,507</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159,682</w:t>
            </w: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9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268,435</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159,095</w:t>
            </w: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r>
      <w:tr>
        <w:trPr>
          <w:trHeight w:val="210"/>
        </w:trPr>
        <w:tc>
          <w:tcPr>
            <w:tcW w:w="6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269,507</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159,682</w:t>
            </w: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9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w:t>
            </w:r>
          </w:p>
        </w:tc>
        <w:tc>
          <w:tcPr>
            <w:tcW w:w="18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w:t>
            </w:r>
          </w:p>
        </w:tc>
        <w:tc>
          <w:tcPr>
            <w:tcW w:w="18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SAFEs to Common Stock</w:t>
            </w:r>
          </w:p>
        </w:tc>
        <w:tc>
          <w:tcPr>
            <w:tcW w:w="18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34,125</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18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-3676650</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-3110865</wp:posOffset>
            </wp:positionV>
            <wp:extent cx="1111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-2005330</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-1439545</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-856615</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 w:lineRule="exact"/>
        <w:rPr>
          <w:sz w:val="20"/>
          <w:szCs w:val="20"/>
          <w:color w:val="auto"/>
        </w:rPr>
      </w:pPr>
    </w:p>
    <w:p>
      <w:pPr>
        <w:ind w:left="760" w:right="8440" w:hanging="752"/>
        <w:spacing w:after="0" w:line="365"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b w:val="1"/>
          <w:bCs w:val="1"/>
          <w:i w:val="1"/>
          <w:iCs w:val="1"/>
          <w:color w:val="auto"/>
        </w:rPr>
        <w:t>Description of the Business</w:t>
      </w:r>
    </w:p>
    <w:p>
      <w:pPr>
        <w:ind w:left="760" w:right="80"/>
        <w:spacing w:after="0" w:line="261" w:lineRule="auto"/>
        <w:rPr>
          <w:sz w:val="20"/>
          <w:szCs w:val="20"/>
          <w:color w:val="auto"/>
        </w:rPr>
      </w:pPr>
      <w:r>
        <w:rPr>
          <w:rFonts w:ascii="Times New Roman" w:cs="Times New Roman" w:eastAsia="Times New Roman" w:hAnsi="Times New Roman"/>
          <w:sz w:val="18"/>
          <w:szCs w:val="18"/>
          <w:color w:val="auto"/>
        </w:rPr>
        <w:t>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21"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8"/>
          <w:szCs w:val="18"/>
          <w:color w:val="auto"/>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color w:val="auto"/>
        </w:rPr>
        <w:t>In February 2025, the Company entered into a securities purchase agreement (the “Private Placement”) pursuant to which the Company issued an aggregate of 3,689,465 shares of common stock, at a price of $50.00 per share to institutional accredited investors and $54.14 per share to individual accredited investors that are either an officer or director of the Company. The net proceeds from the Private Placement were approximately $173.1 million.</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760" w:right="140"/>
        <w:spacing w:after="0" w:line="256" w:lineRule="auto"/>
        <w:rPr>
          <w:sz w:val="20"/>
          <w:szCs w:val="20"/>
          <w:color w:val="auto"/>
        </w:rPr>
      </w:pPr>
      <w:r>
        <w:rPr>
          <w:rFonts w:ascii="Times New Roman" w:cs="Times New Roman" w:eastAsia="Times New Roman" w:hAnsi="Times New Roman"/>
          <w:sz w:val="18"/>
          <w:szCs w:val="18"/>
          <w:color w:val="auto"/>
        </w:rPr>
        <w:t>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8"/>
          <w:szCs w:val="18"/>
          <w:color w:val="auto"/>
        </w:rPr>
        <w:t>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$19.0 million and $54.9 million for the three and nine months ended September 30, 2025, respectively, and had an accumulated deficit of $203.5 million as of September 30, 2025. The Company has financed its operations primarily through the sale and issuance of common stock, convertible preferred stock, convertible promissory notes, SAFEs and the Merger. In February 2025, the Company sold shares of its common stock under a securities purchase agreement in exchange for net proceeds of approximately $173.1 million. The Company has devoted substantially all of its financial resources and efforts to business planning, conducting research and development, recruiting management and technical staff, and raising capital.</w:t>
      </w:r>
    </w:p>
    <w:p>
      <w:pPr>
        <w:spacing w:after="0" w:line="84" w:lineRule="exact"/>
        <w:rPr>
          <w:sz w:val="20"/>
          <w:szCs w:val="20"/>
          <w:color w:val="auto"/>
        </w:rPr>
      </w:pPr>
    </w:p>
    <w:p>
      <w:pPr>
        <w:ind w:left="760" w:right="20"/>
        <w:spacing w:after="0" w:line="277" w:lineRule="auto"/>
        <w:rPr>
          <w:sz w:val="20"/>
          <w:szCs w:val="20"/>
          <w:color w:val="auto"/>
        </w:rPr>
      </w:pPr>
      <w:r>
        <w:rPr>
          <w:rFonts w:ascii="Times New Roman" w:cs="Times New Roman" w:eastAsia="Times New Roman" w:hAnsi="Times New Roman"/>
          <w:sz w:val="17"/>
          <w:szCs w:val="17"/>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$268.4 million as of September 30, 2025. Management believes that the Company’s current cash and cash equivalents will be sufficient to fund its planned operations for at least 12 months from the issuance date of these condensed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752" w:right="3400" w:hanging="752"/>
        <w:spacing w:after="0" w:line="378" w:lineRule="auto"/>
        <w:tabs>
          <w:tab w:leader="none" w:pos="36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AND BASIS OF PRESENTATION </w:t>
      </w:r>
      <w:r>
        <w:rPr>
          <w:rFonts w:ascii="Times New Roman" w:cs="Times New Roman" w:eastAsia="Times New Roman" w:hAnsi="Times New Roman"/>
          <w:sz w:val="18"/>
          <w:szCs w:val="18"/>
          <w:b w:val="1"/>
          <w:bCs w:val="1"/>
          <w:i w:val="1"/>
          <w:iCs w:val="1"/>
          <w:color w:val="auto"/>
        </w:rPr>
        <w:t>Basis of Presentation</w:t>
      </w:r>
    </w:p>
    <w:p>
      <w:pPr>
        <w:ind w:left="752" w:right="20"/>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These condensed consolidated financial statements are unaudited and, in the opinion of management, include all adjustments (consisting only of normal recurring adjustments and accruals) necessary for a fair statement of the results for the periods presented in accordance with GAAP. The year-end condensed consolidated balance sheet data was derived from our audited consolidated financial statements but does not include all disclosures required by GAAP. Operating results for the three and nine months ended September 30, 2025 are not necessarily indicative of the results that may be expected for the fiscal year ending December 31, 2025. Certain information and footnote disclosures normally included in the annual consolidated financial statements prepared in accordance with GAAP have been omitted in accordance with the SEC’s rules and regulations for interim reporting.</w:t>
      </w:r>
    </w:p>
    <w:p>
      <w:pPr>
        <w:spacing w:after="0" w:line="86" w:lineRule="exact"/>
        <w:rPr>
          <w:sz w:val="20"/>
          <w:szCs w:val="20"/>
          <w:color w:val="auto"/>
        </w:rPr>
      </w:pPr>
    </w:p>
    <w:p>
      <w:pPr>
        <w:ind w:left="752" w:right="3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should be read in conjunction with our audited consolidated financial statements for the year ended December 31, 2024, which is included in our 2024 Annual Report on Form 10-K for the fiscal year ended December 31, 2024 (the “2024 Annual Report on Form 10-K”)</w:t>
      </w:r>
    </w:p>
    <w:p>
      <w:pPr>
        <w:spacing w:after="0" w:line="68" w:lineRule="exact"/>
        <w:rPr>
          <w:sz w:val="20"/>
          <w:szCs w:val="20"/>
          <w:color w:val="auto"/>
        </w:rPr>
      </w:pPr>
    </w:p>
    <w:p>
      <w:pPr>
        <w:ind w:left="752" w:right="2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disclosed in Note 2 of the consolidated financial statements for the year ended December 31, 2024, which is included in our 2024 Annual Report on Form 10-K. There have been no material changes to our significant accounting policies during the three and nine months ended September 30, 2025.</w:t>
      </w:r>
    </w:p>
    <w:p>
      <w:pPr>
        <w:spacing w:after="0" w:line="6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752" w:right="48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50"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752" w:right="60"/>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prepaid and accrued research and development activities,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7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752" w:right="80"/>
        <w:spacing w:after="0" w:line="256" w:lineRule="auto"/>
        <w:rPr>
          <w:sz w:val="20"/>
          <w:szCs w:val="20"/>
          <w:color w:val="auto"/>
        </w:rPr>
      </w:pPr>
      <w:r>
        <w:rPr>
          <w:rFonts w:ascii="Times New Roman" w:cs="Times New Roman" w:eastAsia="Times New Roman" w:hAnsi="Times New Roman"/>
          <w:sz w:val="18"/>
          <w:szCs w:val="18"/>
          <w:color w:val="auto"/>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one reportable segment and manages its operations on a consolidated basis for the purposes of assessing performance and making operating decisions. See Note 12,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 regarding the Company’s segment information.</w:t>
      </w:r>
    </w:p>
    <w:p>
      <w:pPr>
        <w:spacing w:after="0" w:line="7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left="752"/>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disclosed, the impact of recently issued standards that are not yet effective are not anticipated to have a material impact on the Company’s condensed consolidated financial statements upon adoption.</w:t>
      </w:r>
    </w:p>
    <w:p>
      <w:pPr>
        <w:spacing w:after="0" w:line="6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752" w:right="40"/>
        <w:spacing w:after="0" w:line="257"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to clarify the effective date of ASU No. 2024-03 </w:t>
      </w:r>
      <w:r>
        <w:rPr>
          <w:rFonts w:ascii="Times New Roman" w:cs="Times New Roman" w:eastAsia="Times New Roman" w:hAnsi="Times New Roman"/>
          <w:sz w:val="18"/>
          <w:szCs w:val="18"/>
          <w:i w:val="1"/>
          <w:iCs w:val="1"/>
          <w:color w:val="auto"/>
        </w:rPr>
        <w:t>Income Statement—Reporting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Income—Expense Disaggregation Disclosures </w:t>
      </w:r>
      <w:r>
        <w:rPr>
          <w:rFonts w:ascii="Times New Roman" w:cs="Times New Roman" w:eastAsia="Times New Roman" w:hAnsi="Times New Roman"/>
          <w:sz w:val="18"/>
          <w:szCs w:val="18"/>
          <w:color w:val="auto"/>
        </w:rPr>
        <w:t>(Subtopic 220-40) (“ASU 2024-03”), which requires disaggregated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income statement captions within the footnotes to the financial statements. ASU 2025-01 requires adoption of the amendments of ASU 2024-03 in annual reporting periods beginning after December 15, 2026, and interim periods within annual reporting periods beginning after December 15, 2027. Early adoption is permitted. The Company is currently evaluating the impact of this standard on its financial statements and related disclosures.</w:t>
      </w:r>
    </w:p>
    <w:p>
      <w:pPr>
        <w:spacing w:after="0" w:line="2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10" w:name="page11"/>
    <w:bookmarkEnd w:id="10"/>
    <w:p>
      <w:pPr>
        <w:ind w:left="760"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this standard on its financial statements and related disclosures.</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Tax Law Changes</w:t>
      </w:r>
    </w:p>
    <w:p>
      <w:pPr>
        <w:spacing w:after="0" w:line="121" w:lineRule="exact"/>
        <w:rPr>
          <w:sz w:val="20"/>
          <w:szCs w:val="20"/>
          <w:color w:val="auto"/>
        </w:rPr>
      </w:pPr>
    </w:p>
    <w:p>
      <w:pPr>
        <w:ind w:left="760" w:right="20"/>
        <w:spacing w:after="0" w:line="256"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(“OBBA”) was signed into law, making permanent certain provisions of the Tax Cuts and Jobs Act, including 100% bonus depreciation, domestic research cost expensing, and the business interest expense limitation. In accordance with ASC Topic 740,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the Company has recognized the effects of the new tax law in the period of enactment. As the Company maintains a full valuation allowance on its U.S. deferred tax assets, the legislation did not have a material impact on the condensed consolidated financial statements for three months ended September 30, 2025, and does not expect the legislation to have a material impact on its consolidated financial statements for the year ending December 31, 2025.</w:t>
      </w:r>
    </w:p>
    <w:p>
      <w:pPr>
        <w:spacing w:after="0" w:line="18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267,141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267,141</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267,141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267,141</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139,610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139,610</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139,610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139,610</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-1259840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-1259840</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-1259840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Money market funds are included in cash and cash equivalents on the condensed consolidated balance sheets and are classified within Level 1 of the fair value hierarchy because they are valued using quoted prices in active markets for identical assets.</w:t>
      </w:r>
    </w:p>
    <w:p>
      <w:pPr>
        <w:spacing w:after="0" w:line="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PROPERTY AND EQUIPMENT, NET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Property and equipment, net is comprised of the following (in thousands):</w:t>
      </w:r>
    </w:p>
    <w:tbl>
      <w:tblPr>
        <w:tblLayout w:type="fixed"/>
        <w:tblInd w:w="800" w:type="dxa"/>
        <w:tblCellMar>
          <w:top w:w="0" w:type="dxa"/>
          <w:left w:w="0" w:type="dxa"/>
          <w:bottom w:w="0" w:type="dxa"/>
          <w:right w:w="0" w:type="dxa"/>
        </w:tblCellMar>
      </w:tblPr>
      <w:tr>
        <w:trPr>
          <w:trHeight w:val="151"/>
        </w:trPr>
        <w:tc>
          <w:tcPr>
            <w:tcW w:w="50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94"/>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34"/>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4,286</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4,590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furniture and fixtures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4,592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4,896</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50"/>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-24765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left="760" w:right="320"/>
        <w:spacing w:after="0" w:line="266" w:lineRule="auto"/>
        <w:rPr>
          <w:sz w:val="20"/>
          <w:szCs w:val="20"/>
          <w:color w:val="auto"/>
        </w:rPr>
      </w:pPr>
      <w:r>
        <w:rPr>
          <w:rFonts w:ascii="Times New Roman" w:cs="Times New Roman" w:eastAsia="Times New Roman" w:hAnsi="Times New Roman"/>
          <w:sz w:val="18"/>
          <w:szCs w:val="18"/>
          <w:color w:val="auto"/>
        </w:rPr>
        <w:t>Depreciation expense was $0.2 million and $0.3 million during the three months ended September 30, 2025 and 2024, respectively, and $0.8 million during each of the nine month periods ended September 30, 2025 and 2024, respectively, and is primarily attributable to research and development activities.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1" w:name="page12"/>
    <w:bookmarkEnd w:id="11"/>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ACCRUED EXPENSES AND OTHER CURRENT LIABILITIES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9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3,293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3,585</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8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2,787</w:t>
            </w: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1,478</w:t>
            </w:r>
          </w:p>
        </w:tc>
      </w:tr>
      <w:tr>
        <w:trPr>
          <w:trHeight w:val="20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6,750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7,850</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-170815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1" w:lineRule="exact"/>
        <w:rPr>
          <w:sz w:val="20"/>
          <w:szCs w:val="20"/>
          <w:color w:val="auto"/>
        </w:rPr>
      </w:pPr>
    </w:p>
    <w:p>
      <w:pPr>
        <w:jc w:val="center"/>
        <w:ind w:right="854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6.</w:t>
        <w:tab/>
        <w:t>STOCKHOLDERS’ EQUITY</w:t>
      </w:r>
    </w:p>
    <w:p>
      <w:pPr>
        <w:spacing w:after="0" w:line="117"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760" w:right="1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150,000,000 shares of common stock at a par value of $0.0001 per share. Holders of voting common stock are entitled to one vote per share. In addition, holders of voting common stock are entitled to receive dividends, if and when declared by the Company’s Board of Directors. As of September 30, 2025, no dividends have been declared.</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outstanding equity awards as well as reserved common stock for future issuance are as follows:</w:t>
      </w:r>
    </w:p>
    <w:p>
      <w:pPr>
        <w:spacing w:after="0" w:line="9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5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80" w:type="dxa"/>
            <w:vAlign w:val="bottom"/>
          </w:tcPr>
          <w:p>
            <w:pPr>
              <w:spacing w:after="0"/>
              <w:rPr>
                <w:sz w:val="15"/>
                <w:szCs w:val="15"/>
                <w:color w:val="auto"/>
              </w:rPr>
            </w:pPr>
          </w:p>
        </w:tc>
        <w:tc>
          <w:tcPr>
            <w:tcW w:w="15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1,945,103</w:t>
            </w:r>
          </w:p>
        </w:tc>
        <w:tc>
          <w:tcPr>
            <w:tcW w:w="1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1,626,841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256,325</w:t>
            </w:r>
          </w:p>
        </w:tc>
        <w:tc>
          <w:tcPr>
            <w:tcW w:w="16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25,612</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awards available for future issuance under the 2024 Equity Incentive Plan</w:t>
            </w:r>
          </w:p>
        </w:tc>
        <w:tc>
          <w:tcPr>
            <w:tcW w:w="15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962,566</w:t>
            </w:r>
          </w:p>
        </w:tc>
        <w:tc>
          <w:tcPr>
            <w:tcW w:w="16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976,082</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purchase under the 2024 Employee Stock Purchase Plan</w:t>
            </w:r>
          </w:p>
        </w:tc>
        <w:tc>
          <w:tcPr>
            <w:tcW w:w="15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295,906</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147,343</w:t>
            </w:r>
          </w:p>
        </w:tc>
      </w:tr>
      <w:tr>
        <w:trPr>
          <w:trHeight w:val="250"/>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3,459,900</w:t>
            </w:r>
          </w:p>
        </w:tc>
        <w:tc>
          <w:tcPr>
            <w:tcW w:w="1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2,775,878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-24765</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0" w:lineRule="exact"/>
        <w:rPr>
          <w:sz w:val="20"/>
          <w:szCs w:val="20"/>
          <w:color w:val="auto"/>
        </w:rPr>
      </w:pPr>
    </w:p>
    <w:p>
      <w:pPr>
        <w:jc w:val="right"/>
        <w:ind w:left="760" w:right="8460" w:hanging="752"/>
        <w:spacing w:after="0" w:line="400" w:lineRule="auto"/>
        <w:tabs>
          <w:tab w:leader="none" w:pos="37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b w:val="1"/>
          <w:bCs w:val="1"/>
          <w:i w:val="1"/>
          <w:iCs w:val="1"/>
          <w:color w:val="auto"/>
        </w:rPr>
        <w:t>2019 Equity Incentive Plan</w:t>
      </w:r>
    </w:p>
    <w:p>
      <w:pPr>
        <w:ind w:left="760"/>
        <w:spacing w:after="0" w:line="261" w:lineRule="auto"/>
        <w:rPr>
          <w:sz w:val="20"/>
          <w:szCs w:val="20"/>
          <w:color w:val="auto"/>
        </w:rPr>
      </w:pPr>
      <w:r>
        <w:rPr>
          <w:rFonts w:ascii="Times New Roman" w:cs="Times New Roman" w:eastAsia="Times New Roman" w:hAnsi="Times New Roman"/>
          <w:sz w:val="18"/>
          <w:szCs w:val="18"/>
          <w:color w:val="auto"/>
        </w:rPr>
        <w:t>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as described below, no further grants will be made under the 2019 Plan; however, any outstanding equity awards granted under the 2019 Plan will continue to be governed by the terms of the 2019 Plan.</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760" w:right="240"/>
        <w:spacing w:after="0" w:line="261" w:lineRule="auto"/>
        <w:rPr>
          <w:sz w:val="20"/>
          <w:szCs w:val="20"/>
          <w:color w:val="auto"/>
        </w:rPr>
      </w:pPr>
      <w:r>
        <w:rPr>
          <w:rFonts w:ascii="Times New Roman" w:cs="Times New Roman" w:eastAsia="Times New Roman" w:hAnsi="Times New Roman"/>
          <w:sz w:val="18"/>
          <w:szCs w:val="18"/>
          <w:color w:val="auto"/>
        </w:rPr>
        <w:t>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w:t>
      </w:r>
    </w:p>
    <w:p>
      <w:pPr>
        <w:spacing w:after="0" w:line="72" w:lineRule="exact"/>
        <w:rPr>
          <w:sz w:val="20"/>
          <w:szCs w:val="20"/>
          <w:color w:val="auto"/>
        </w:rPr>
      </w:pPr>
    </w:p>
    <w:p>
      <w:pPr>
        <w:jc w:val="both"/>
        <w:ind w:left="760" w:right="180"/>
        <w:spacing w:after="0" w:line="266" w:lineRule="auto"/>
        <w:rPr>
          <w:sz w:val="20"/>
          <w:szCs w:val="20"/>
          <w:color w:val="auto"/>
        </w:rPr>
      </w:pPr>
      <w:r>
        <w:rPr>
          <w:rFonts w:ascii="Times New Roman" w:cs="Times New Roman" w:eastAsia="Times New Roman" w:hAnsi="Times New Roman"/>
          <w:sz w:val="18"/>
          <w:szCs w:val="18"/>
          <w:color w:val="auto"/>
        </w:rPr>
        <w:t>The 2024 Plan initially provided for the issuance of up to 1,938,799 shares of common stock (the “Initial Share Reserve”). Effective January 1, 2025, in connection with the evergreen provision contained in the 2024 Plan, an additional 742,815 shares of common stock were reserved for issuance under the 2024 Plan.</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760" w:right="120"/>
        <w:spacing w:after="0" w:line="261" w:lineRule="auto"/>
        <w:rPr>
          <w:sz w:val="20"/>
          <w:szCs w:val="20"/>
          <w:color w:val="auto"/>
        </w:rPr>
      </w:pPr>
      <w:r>
        <w:rPr>
          <w:rFonts w:ascii="Times New Roman" w:cs="Times New Roman" w:eastAsia="Times New Roman" w:hAnsi="Times New Roman"/>
          <w:sz w:val="18"/>
          <w:szCs w:val="18"/>
          <w:color w:val="auto"/>
        </w:rPr>
        <w:t>On June 20, 2024, the Company adopted the 2024 Employee Stock Purchase Plan (the “2024 ESPP”), which became effective upon completion of the Merger. The 2024 ESPP initially provided for the issuance of up to 147,343 shares of common stock. Effective January 1, 2025, in connection with an evergreen provision contained in the ESPP, an additional 148,563 shares of common stock were reserved for issuance under the ESPP. No offering periods under the 2024 ESPP had been initiated as of September 30, 2025.</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2019 Plan and 2024 Plan for the nine months ended September 30, 2025 (in thousands except share, contractual term and per share amounts):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20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46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4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1,534,361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533,063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(94,163)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2.91</w:t>
            </w:r>
          </w:p>
        </w:tc>
        <w:tc>
          <w:tcPr>
            <w:tcW w:w="15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1,945,103</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19.39</w:t>
            </w:r>
          </w:p>
        </w:tc>
        <w:tc>
          <w:tcPr>
            <w:tcW w:w="1300" w:type="dxa"/>
            <w:vAlign w:val="bottom"/>
            <w:tcBorders>
              <w:bottom w:val="single" w:sz="8" w:color="CFF0FC"/>
            </w:tcBorders>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as of September 30, 2025</w:t>
            </w:r>
          </w:p>
        </w:tc>
        <w:tc>
          <w:tcPr>
            <w:tcW w:w="1200" w:type="dxa"/>
            <w:vAlign w:val="bottom"/>
            <w:tcBorders>
              <w:bottom w:val="single" w:sz="8" w:color="auto"/>
            </w:tcBorders>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701,780</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11.55</w:t>
            </w:r>
          </w:p>
        </w:tc>
        <w:tc>
          <w:tcPr>
            <w:tcW w:w="1300" w:type="dxa"/>
            <w:vAlign w:val="bottom"/>
            <w:gridSpan w:val="2"/>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as of September 30, 2025</w:t>
            </w:r>
          </w:p>
        </w:tc>
        <w:tc>
          <w:tcPr>
            <w:tcW w:w="1200" w:type="dxa"/>
            <w:vAlign w:val="bottom"/>
            <w:tcBorders>
              <w:bottom w:val="single" w:sz="8" w:color="auto"/>
            </w:tcBorders>
            <w:shd w:val="clear" w:color="auto" w:fill="CFF0FC"/>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1,945,103</w:t>
            </w:r>
          </w:p>
        </w:tc>
        <w:tc>
          <w:tcPr>
            <w:tcW w:w="2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19.39</w:t>
            </w:r>
          </w:p>
        </w:tc>
        <w:tc>
          <w:tcPr>
            <w:tcW w:w="1300" w:type="dxa"/>
            <w:vAlign w:val="bottom"/>
            <w:tcBorders>
              <w:bottom w:val="single" w:sz="8" w:color="CFF0FC"/>
            </w:tcBorders>
            <w:gridSpan w:val="2"/>
            <w:shd w:val="clear" w:color="auto" w:fill="CFF0FC"/>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-350520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-334010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-25400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4211320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for the options that were assumed from AVROBIO upon the Merger for the nine months ended September 30, 2025 (in thousands except share, contractual term and per share amounts):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40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40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92,480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Options forfeited and expired</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(21,265)</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56.44</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as of September 30, 2025</w:t>
            </w:r>
          </w:p>
        </w:tc>
        <w:tc>
          <w:tcPr>
            <w:tcW w:w="1400" w:type="dxa"/>
            <w:vAlign w:val="bottom"/>
            <w:tcBorders>
              <w:bottom w:val="single" w:sz="8" w:color="auto"/>
            </w:tcBorders>
            <w:shd w:val="clear" w:color="auto" w:fill="CFF0FC"/>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as of September 30, 2025</w:t>
            </w:r>
          </w:p>
        </w:tc>
        <w:tc>
          <w:tcPr>
            <w:tcW w:w="1400" w:type="dxa"/>
            <w:vAlign w:val="bottom"/>
            <w:tcBorders>
              <w:bottom w:val="single" w:sz="8" w:color="auto"/>
            </w:tcBorders>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7"/>
                <w:szCs w:val="17"/>
                <w:color w:val="auto"/>
              </w:rPr>
            </w:pPr>
          </w:p>
        </w:tc>
        <w:tc>
          <w:tcPr>
            <w:tcW w:w="3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-496570</wp:posOffset>
            </wp:positionV>
            <wp:extent cx="946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-187960</wp:posOffset>
            </wp:positionV>
            <wp:extent cx="946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-170815</wp:posOffset>
            </wp:positionV>
            <wp:extent cx="94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granted options with a weighted-average grant-date fair value of $29.76 and $13.94, respectively. As of September 30, 2025, the total unrecognized stock-based compensation expense for stock options was $23.2 million, which is expected to be recognized over a weighted-average period of 2.7 years.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for the estimated fair value of stock options granted under the Black-Scholes-Merton option pricing model:</w:t>
      </w:r>
    </w:p>
    <w:p>
      <w:pPr>
        <w:spacing w:after="0" w:line="47"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33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60" w:type="dxa"/>
            <w:vAlign w:val="bottom"/>
            <w:tcBorders>
              <w:bottom w:val="single" w:sz="8" w:color="auto"/>
            </w:tcBorders>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2340" w:type="dxa"/>
            <w:vAlign w:val="bottom"/>
            <w:tcBorders>
              <w:bottom w:val="single" w:sz="8" w:color="auto"/>
            </w:tcBorders>
          </w:tcPr>
          <w:p>
            <w:pPr>
              <w:jc w:val="right"/>
              <w:ind w:right="9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9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5.50 - 6.25</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6.00-6.25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 - 103.7%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 - 4.43%</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4.23%-4.26%</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Restricted stock units (“RSUs”) are granted to certain employees. The value of an RSU award is based on the Company's stock price on the date of the grant. The shares underlying the RSUs are not issued until they vest. Activity with respect to the Company's RSUs during the nine months ended September 30, 2025 was as follows (in thousands, except share, contractual term, and per share data):</w:t>
      </w: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33" w:right="339" w:bottom="1440" w:gutter="0" w:footer="0" w:header="0"/>
        </w:sectPr>
      </w:pPr>
    </w:p>
    <w:bookmarkStart w:id="13" w:name="page14"/>
    <w:bookmarkEnd w:id="13"/>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RSUs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0"/>
                <w:szCs w:val="10"/>
                <w:color w:val="auto"/>
              </w:rPr>
            </w:pPr>
          </w:p>
        </w:tc>
        <w:tc>
          <w:tcPr>
            <w:tcW w:w="138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8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2"/>
                <w:szCs w:val="12"/>
                <w:color w:val="auto"/>
              </w:rPr>
            </w:pPr>
          </w:p>
        </w:tc>
        <w:tc>
          <w:tcPr>
            <w:tcW w:w="138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3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Outstanding Units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25,612</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44.90</w:t>
            </w:r>
          </w:p>
        </w:tc>
        <w:tc>
          <w:tcPr>
            <w:tcW w:w="148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235,772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48.01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3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256,325</w:t>
            </w:r>
          </w:p>
        </w:tc>
        <w:tc>
          <w:tcPr>
            <w:tcW w:w="2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37.49</w:t>
            </w:r>
          </w:p>
        </w:tc>
        <w:tc>
          <w:tcPr>
            <w:tcW w:w="1480" w:type="dxa"/>
            <w:vAlign w:val="bottom"/>
            <w:tcBorders>
              <w:bottom w:val="single" w:sz="8" w:color="CFF0FC"/>
            </w:tcBorders>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Unvested and expected to vest as of September 30, 2025</w:t>
            </w:r>
          </w:p>
        </w:tc>
        <w:tc>
          <w:tcPr>
            <w:tcW w:w="138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256,325</w:t>
            </w:r>
          </w:p>
        </w:tc>
        <w:tc>
          <w:tcPr>
            <w:tcW w:w="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37.49</w:t>
            </w:r>
          </w:p>
        </w:tc>
        <w:tc>
          <w:tcPr>
            <w:tcW w:w="1480" w:type="dxa"/>
            <w:vAlign w:val="bottom"/>
            <w:gridSpan w:val="2"/>
          </w:tcPr>
          <w:p>
            <w:pPr>
              <w:jc w:val="right"/>
              <w:ind w:right="49"/>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-187960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ind w:left="760" w:right="600"/>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for RSUs was $7.8 million, which is expected to be recognized over a weighted average period of 2.5 years.</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relating to its employees and non-employee directors as follows (in thousands):</w:t>
      </w:r>
    </w:p>
    <w:p>
      <w:pPr>
        <w:spacing w:after="0" w:line="111"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48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1,654</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1,227</w:t>
            </w:r>
          </w:p>
        </w:tc>
        <w:tc>
          <w:tcPr>
            <w:tcW w:w="3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4,266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2,817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7,508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2,374</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records compensation expense for options and RSUs with service based vesting conditions on a straight-line basis over the vesting period.</w:t>
      </w:r>
    </w:p>
    <w:p>
      <w:pPr>
        <w:spacing w:after="0" w:line="266"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760" w:right="38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(45,609)</w:t>
            </w:r>
          </w:p>
        </w:tc>
      </w:tr>
      <w:tr>
        <w:trPr>
          <w:trHeight w:val="20"/>
        </w:trPr>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6"/>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18,712,767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14,729,018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18,189,185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6,373,717</w:t>
            </w:r>
          </w:p>
        </w:tc>
      </w:tr>
      <w:tr>
        <w:trPr>
          <w:trHeight w:val="20"/>
        </w:trPr>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6"/>
        </w:trPr>
        <w:tc>
          <w:tcPr>
            <w:tcW w:w="510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500" w:type="dxa"/>
            <w:vAlign w:val="bottom"/>
            <w:gridSpan w:val="2"/>
            <w:shd w:val="clear" w:color="auto" w:fill="CFF0FC"/>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(3.02)</w:t>
            </w:r>
          </w:p>
        </w:tc>
        <w:tc>
          <w:tcPr>
            <w:tcW w:w="3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(7.16)</w:t>
            </w: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diluted securities were excluded from the computation of diluted net loss per share attributable to common stockholders for the periods presented because including them would have been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40" w:type="dxa"/>
            <w:vAlign w:val="bottom"/>
            <w:tcBorders>
              <w:bottom w:val="single" w:sz="8" w:color="auto"/>
            </w:tcBorders>
          </w:tcPr>
          <w:p>
            <w:pPr>
              <w:spacing w:after="0"/>
              <w:rPr>
                <w:sz w:val="15"/>
                <w:szCs w:val="15"/>
                <w:color w:val="auto"/>
              </w:rPr>
            </w:pPr>
          </w:p>
        </w:tc>
      </w:tr>
      <w:tr>
        <w:trPr>
          <w:trHeight w:val="142"/>
        </w:trPr>
        <w:tc>
          <w:tcPr>
            <w:tcW w:w="8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20" w:type="dxa"/>
            <w:vAlign w:val="bottom"/>
            <w:tcBorders>
              <w:bottom w:val="single" w:sz="8" w:color="auto"/>
            </w:tcBorders>
          </w:tcPr>
          <w:p>
            <w:pPr>
              <w:jc w:val="right"/>
              <w:ind w:right="6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0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45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1,945,103</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1,800,596</w:t>
            </w:r>
          </w:p>
        </w:tc>
      </w:tr>
      <w:tr>
        <w:trPr>
          <w:trHeight w:val="216"/>
        </w:trPr>
        <w:tc>
          <w:tcPr>
            <w:tcW w:w="8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 and common stock</w:t>
            </w:r>
          </w:p>
        </w:tc>
        <w:tc>
          <w:tcPr>
            <w:tcW w:w="2940" w:type="dxa"/>
            <w:vAlign w:val="bottom"/>
          </w:tcPr>
          <w:p>
            <w:pPr>
              <w:spacing w:after="0"/>
              <w:rPr>
                <w:sz w:val="18"/>
                <w:szCs w:val="18"/>
                <w:color w:val="auto"/>
              </w:rPr>
            </w:pPr>
          </w:p>
        </w:tc>
        <w:tc>
          <w:tcPr>
            <w:tcW w:w="16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256,325</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6,859</w:t>
            </w:r>
          </w:p>
        </w:tc>
      </w:tr>
      <w:tr>
        <w:trPr>
          <w:trHeight w:val="250"/>
        </w:trPr>
        <w:tc>
          <w:tcPr>
            <w:tcW w:w="800" w:type="dxa"/>
            <w:vAlign w:val="bottom"/>
          </w:tcPr>
          <w:p>
            <w:pPr>
              <w:spacing w:after="0"/>
              <w:rPr>
                <w:sz w:val="21"/>
                <w:szCs w:val="21"/>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2,201,428</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1,807,455</w:t>
            </w:r>
          </w:p>
        </w:tc>
      </w:tr>
      <w:tr>
        <w:trPr>
          <w:trHeight w:val="628"/>
        </w:trPr>
        <w:tc>
          <w:tcPr>
            <w:tcW w:w="800" w:type="dxa"/>
            <w:vAlign w:val="bottom"/>
          </w:tcPr>
          <w:p>
            <w:pPr>
              <w:spacing w:after="0"/>
              <w:rPr>
                <w:sz w:val="24"/>
                <w:szCs w:val="24"/>
                <w:color w:val="auto"/>
              </w:rPr>
            </w:pPr>
          </w:p>
        </w:tc>
        <w:tc>
          <w:tcPr>
            <w:tcW w:w="4180" w:type="dxa"/>
            <w:vAlign w:val="bottom"/>
            <w:tcBorders>
              <w:top w:val="single" w:sz="8" w:color="CFF0FC"/>
            </w:tcBorders>
          </w:tcPr>
          <w:p>
            <w:pPr>
              <w:spacing w:after="0"/>
              <w:rPr>
                <w:sz w:val="24"/>
                <w:szCs w:val="24"/>
                <w:color w:val="auto"/>
              </w:rPr>
            </w:pPr>
          </w:p>
        </w:tc>
        <w:tc>
          <w:tcPr>
            <w:tcW w:w="2940" w:type="dxa"/>
            <w:vAlign w:val="bottom"/>
            <w:tcBorders>
              <w:top w:val="single" w:sz="8" w:color="CFF0FC"/>
            </w:tcBorders>
          </w:tcPr>
          <w:p>
            <w:pPr>
              <w:jc w:val="right"/>
              <w:ind w:right="2110"/>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-916940</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4" w:name="page15"/>
    <w:bookmarkEnd w:id="14"/>
    <w:p>
      <w:pPr>
        <w:ind w:left="760" w:right="8760" w:hanging="752"/>
        <w:spacing w:after="0" w:line="400" w:lineRule="auto"/>
        <w:tabs>
          <w:tab w:leader="none" w:pos="371"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AGREEMENTS </w:t>
      </w:r>
      <w:r>
        <w:rPr>
          <w:rFonts w:ascii="Times New Roman" w:cs="Times New Roman" w:eastAsia="Times New Roman" w:hAnsi="Times New Roman"/>
          <w:sz w:val="17"/>
          <w:szCs w:val="17"/>
          <w:b w:val="1"/>
          <w:bCs w:val="1"/>
          <w:i w:val="1"/>
          <w:iCs w:val="1"/>
          <w:color w:val="auto"/>
        </w:rPr>
        <w:t>Harvard Agreement</w:t>
      </w:r>
    </w:p>
    <w:p>
      <w:pPr>
        <w:ind w:left="760"/>
        <w:spacing w:after="0" w:line="254" w:lineRule="auto"/>
        <w:rPr>
          <w:sz w:val="20"/>
          <w:szCs w:val="20"/>
          <w:color w:val="auto"/>
        </w:rPr>
      </w:pPr>
      <w:r>
        <w:rPr>
          <w:rFonts w:ascii="Times New Roman" w:cs="Times New Roman" w:eastAsia="Times New Roman" w:hAnsi="Times New Roman"/>
          <w:sz w:val="18"/>
          <w:szCs w:val="18"/>
          <w:color w:val="auto"/>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w:t>
      </w:r>
    </w:p>
    <w:p>
      <w:pPr>
        <w:spacing w:after="0" w:line="84"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8"/>
          <w:szCs w:val="18"/>
          <w:color w:val="auto"/>
        </w:rPr>
        <w:t>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For each of the three and nine month periods ended September 30, 2025 and 2024, the Company incurred expense $0.1 million related to the License Agreement. No amounts were due to Harvard related to the License Agreement as of September 30, 2025 and December 31, 2024, respectively.</w:t>
      </w:r>
    </w:p>
    <w:p>
      <w:pPr>
        <w:spacing w:after="0" w:line="75" w:lineRule="exact"/>
        <w:rPr>
          <w:sz w:val="20"/>
          <w:szCs w:val="20"/>
          <w:color w:val="auto"/>
        </w:rPr>
      </w:pPr>
    </w:p>
    <w:p>
      <w:pPr>
        <w:ind w:left="760" w:right="7420" w:hanging="752"/>
        <w:spacing w:after="0" w:line="378" w:lineRule="auto"/>
        <w:tabs>
          <w:tab w:leader="none" w:pos="37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Commitments</w:t>
      </w:r>
    </w:p>
    <w:p>
      <w:pPr>
        <w:jc w:val="both"/>
        <w:ind w:left="760" w:right="22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68"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8"/>
          <w:szCs w:val="18"/>
          <w:color w:val="auto"/>
        </w:rPr>
        <w:t>The Company has lease obligations including amounts due on leases of certain laboratory equipment and office and laboratory space under the terms of non-cancelable operating and finance leases. In September 2025, the Company entered into a non-cancelable operating lease for office and laboratory space in Watertown, Massachusetts. The total future minimum lease payments under this agreement are approximately $5.4 million over the lease term of three years. As of September 30, 2025, the lease has not yet commenced, and therefore no right-of-use asset or lease liability has been recognized on the Company’s condensed consolidated balance sheet. The lease will be recorded on the balance sheet upon commencement, at which time the Company will recognize a right-of-use asset and corresponding lease liability based on the present value of lease payments over the lease term.</w:t>
      </w:r>
    </w:p>
    <w:p>
      <w:pPr>
        <w:spacing w:after="0" w:line="81" w:lineRule="exact"/>
        <w:rPr>
          <w:sz w:val="20"/>
          <w:szCs w:val="20"/>
          <w:color w:val="auto"/>
        </w:rPr>
      </w:pPr>
    </w:p>
    <w:p>
      <w:pPr>
        <w:ind w:left="760" w:right="180"/>
        <w:spacing w:after="0" w:line="282" w:lineRule="auto"/>
        <w:rPr>
          <w:sz w:val="20"/>
          <w:szCs w:val="20"/>
          <w:color w:val="auto"/>
        </w:rPr>
      </w:pPr>
      <w:r>
        <w:rPr>
          <w:rFonts w:ascii="Times New Roman" w:cs="Times New Roman" w:eastAsia="Times New Roman" w:hAnsi="Times New Roman"/>
          <w:sz w:val="18"/>
          <w:szCs w:val="18"/>
          <w:color w:val="auto"/>
        </w:rPr>
        <w:t>The Company’s lease obligations expire at various times through 2029. Minimum lease payments as of September 30, 2025 are $0.9 million in 2025, $1.7 million in 2026, $1.9 million in 2027, $2.0 million in 2028 and $0.2 million in 2029.</w:t>
      </w:r>
    </w:p>
    <w:p>
      <w:pPr>
        <w:spacing w:after="0" w:line="52" w:lineRule="exact"/>
        <w:rPr>
          <w:sz w:val="20"/>
          <w:szCs w:val="20"/>
          <w:color w:val="auto"/>
        </w:rPr>
      </w:pPr>
    </w:p>
    <w:p>
      <w:pPr>
        <w:ind w:left="760" w:right="1000"/>
        <w:spacing w:after="0" w:line="376" w:lineRule="auto"/>
        <w:rPr>
          <w:sz w:val="20"/>
          <w:szCs w:val="20"/>
          <w:color w:val="auto"/>
        </w:rPr>
      </w:pPr>
      <w:r>
        <w:rPr>
          <w:rFonts w:ascii="Times New Roman" w:cs="Times New Roman" w:eastAsia="Times New Roman" w:hAnsi="Times New Roman"/>
          <w:sz w:val="18"/>
          <w:szCs w:val="18"/>
          <w:color w:val="auto"/>
        </w:rPr>
        <w:t xml:space="preserve">The Company is also party to milestone, royalty and maintenance based commitments, as described in Note 9,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Contingencies</w:t>
      </w:r>
    </w:p>
    <w:p>
      <w:pPr>
        <w:spacing w:after="0" w:line="1"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pre-closing assets described in the CVR Agreement are highly susceptible to factors outside the Company’s influence that are not expected to be resolved within the timeline outlined in the CVR Agreement, if at all. In particular,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left="752" w:right="20"/>
        <w:spacing w:after="0" w:line="258" w:lineRule="auto"/>
        <w:rPr>
          <w:sz w:val="20"/>
          <w:szCs w:val="20"/>
          <w:color w:val="auto"/>
        </w:rPr>
      </w:pPr>
      <w:r>
        <w:rPr>
          <w:rFonts w:ascii="Times New Roman" w:cs="Times New Roman" w:eastAsia="Times New Roman" w:hAnsi="Times New Roman"/>
          <w:sz w:val="18"/>
          <w:szCs w:val="18"/>
          <w:color w:val="auto"/>
        </w:rPr>
        <w:t>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September 30, 2025 and December 31, 2024, no receivables or liabilities were recorded on the condensed consolidated balance sheets relating to such contingent payments.</w:t>
      </w:r>
    </w:p>
    <w:p>
      <w:pPr>
        <w:spacing w:after="0" w:line="75" w:lineRule="exact"/>
        <w:rPr>
          <w:sz w:val="20"/>
          <w:szCs w:val="20"/>
          <w:color w:val="auto"/>
        </w:rPr>
      </w:pPr>
    </w:p>
    <w:p>
      <w:pPr>
        <w:ind w:left="752"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spacing w:after="0" w:line="75" w:lineRule="exact"/>
        <w:rPr>
          <w:sz w:val="20"/>
          <w:szCs w:val="20"/>
          <w:color w:val="auto"/>
        </w:rPr>
      </w:pPr>
    </w:p>
    <w:p>
      <w:pPr>
        <w:ind w:left="752"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operations, the Company may become involved in various legal proceedings. As of September 30, 2025 and December 31,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w:t>
      </w:r>
    </w:p>
    <w:p>
      <w:pPr>
        <w:spacing w:after="0" w:line="68" w:lineRule="exact"/>
        <w:rPr>
          <w:sz w:val="20"/>
          <w:szCs w:val="20"/>
          <w:color w:val="auto"/>
        </w:rPr>
      </w:pPr>
    </w:p>
    <w:p>
      <w:pPr>
        <w:jc w:val="right"/>
        <w:ind w:left="752" w:right="7820" w:hanging="752"/>
        <w:spacing w:after="0" w:line="400" w:lineRule="auto"/>
        <w:tabs>
          <w:tab w:leader="none" w:pos="363"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Scientific Advisory Board Member</w:t>
      </w:r>
    </w:p>
    <w:p>
      <w:pPr>
        <w:ind w:left="752"/>
        <w:spacing w:after="0" w:line="266" w:lineRule="auto"/>
        <w:rPr>
          <w:sz w:val="20"/>
          <w:szCs w:val="20"/>
          <w:color w:val="auto"/>
        </w:rPr>
      </w:pPr>
      <w:r>
        <w:rPr>
          <w:rFonts w:ascii="Times New Roman" w:cs="Times New Roman" w:eastAsia="Times New Roman" w:hAnsi="Times New Roman"/>
          <w:sz w:val="18"/>
          <w:szCs w:val="18"/>
          <w:color w:val="auto"/>
        </w:rPr>
        <w:t>One of the Company’s co-founders and former director is a member of the Company’s Scientific Advisory Board (“SAB”) and meets the criteria of a related party. For each of the three and nine month periods ended September 30, 2025 and 2024, the Company incurred expense of $0.1 million for advisory services provided. There were no amounts due to this related party as of September 30, 2025 and December 31, 2024.</w:t>
      </w:r>
    </w:p>
    <w:p>
      <w:pPr>
        <w:spacing w:after="0" w:line="6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left="752" w:right="40"/>
        <w:spacing w:after="0" w:line="266" w:lineRule="auto"/>
        <w:rPr>
          <w:sz w:val="20"/>
          <w:szCs w:val="20"/>
          <w:color w:val="auto"/>
        </w:rPr>
      </w:pPr>
      <w:r>
        <w:rPr>
          <w:rFonts w:ascii="Times New Roman" w:cs="Times New Roman" w:eastAsia="Times New Roman" w:hAnsi="Times New Roman"/>
          <w:sz w:val="18"/>
          <w:szCs w:val="18"/>
          <w:color w:val="auto"/>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9,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752" w:right="240"/>
        <w:spacing w:after="0" w:line="266" w:lineRule="auto"/>
        <w:rPr>
          <w:sz w:val="20"/>
          <w:szCs w:val="20"/>
          <w:color w:val="auto"/>
        </w:rPr>
      </w:pPr>
      <w:r>
        <w:rPr>
          <w:rFonts w:ascii="Times New Roman" w:cs="Times New Roman" w:eastAsia="Times New Roman" w:hAnsi="Times New Roman"/>
          <w:sz w:val="18"/>
          <w:szCs w:val="18"/>
          <w:color w:val="auto"/>
        </w:rPr>
        <w:t>The Company incurred expense of $0.1 million related to the License Agreement during each of the three and nine month periods ended September 30, 2025 and 2024, respectively. No amounts were due to Harvard related to the License Agreement as of September 30, 2025 and December 31, 2024.</w:t>
      </w:r>
    </w:p>
    <w:p>
      <w:pPr>
        <w:spacing w:after="0" w:line="6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left="752" w:right="280"/>
        <w:spacing w:after="0" w:line="282" w:lineRule="auto"/>
        <w:rPr>
          <w:sz w:val="20"/>
          <w:szCs w:val="20"/>
          <w:color w:val="auto"/>
        </w:rPr>
      </w:pPr>
      <w:r>
        <w:rPr>
          <w:rFonts w:ascii="Times New Roman" w:cs="Times New Roman" w:eastAsia="Times New Roman" w:hAnsi="Times New Roman"/>
          <w:sz w:val="18"/>
          <w:szCs w:val="18"/>
          <w:color w:val="auto"/>
        </w:rPr>
        <w:t>The Company issued shares in connection with the Private Placement at a price of $54.14 per share to accredited individual investors that are either an officer or director of the Company.</w:t>
      </w:r>
    </w:p>
    <w:p>
      <w:pPr>
        <w:spacing w:after="0" w:line="16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9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21" w:lineRule="exact"/>
        <w:rPr>
          <w:sz w:val="20"/>
          <w:szCs w:val="20"/>
          <w:color w:val="auto"/>
        </w:rPr>
      </w:pPr>
    </w:p>
    <w:p>
      <w:pPr>
        <w:ind w:left="760" w:right="100"/>
        <w:spacing w:after="0" w:line="266" w:lineRule="auto"/>
        <w:rPr>
          <w:sz w:val="20"/>
          <w:szCs w:val="20"/>
          <w:color w:val="auto"/>
        </w:rPr>
      </w:pPr>
      <w:r>
        <w:rPr>
          <w:rFonts w:ascii="Times New Roman" w:cs="Times New Roman" w:eastAsia="Times New Roman" w:hAnsi="Times New Roman"/>
          <w:sz w:val="18"/>
          <w:szCs w:val="18"/>
          <w:color w:val="auto"/>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spacing w:after="0" w:line="68" w:lineRule="exact"/>
        <w:rPr>
          <w:sz w:val="20"/>
          <w:szCs w:val="20"/>
          <w:color w:val="auto"/>
        </w:rPr>
      </w:pPr>
    </w:p>
    <w:p>
      <w:pPr>
        <w:ind w:left="760" w:right="240"/>
        <w:spacing w:after="0" w:line="261" w:lineRule="auto"/>
        <w:rPr>
          <w:sz w:val="20"/>
          <w:szCs w:val="20"/>
          <w:color w:val="auto"/>
        </w:rPr>
      </w:pPr>
      <w:r>
        <w:rPr>
          <w:rFonts w:ascii="Times New Roman" w:cs="Times New Roman" w:eastAsia="Times New Roman" w:hAnsi="Times New Roman"/>
          <w:sz w:val="18"/>
          <w:szCs w:val="18"/>
          <w:color w:val="auto"/>
        </w:rPr>
        <w:t>The determination of a single segment is consistent with the consolidated financial information regularly reviewed by the Chief Executive Officer as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w:t>
      </w:r>
    </w:p>
    <w:p>
      <w:pPr>
        <w:spacing w:after="0" w:line="72" w:lineRule="exact"/>
        <w:rPr>
          <w:sz w:val="20"/>
          <w:szCs w:val="20"/>
          <w:color w:val="auto"/>
        </w:rPr>
      </w:pPr>
    </w:p>
    <w:p>
      <w:pPr>
        <w:ind w:left="760" w:right="120"/>
        <w:spacing w:after="0" w:line="266" w:lineRule="auto"/>
        <w:rPr>
          <w:sz w:val="20"/>
          <w:szCs w:val="20"/>
          <w:color w:val="auto"/>
        </w:rPr>
      </w:pPr>
      <w:r>
        <w:rPr>
          <w:rFonts w:ascii="Times New Roman" w:cs="Times New Roman" w:eastAsia="Times New Roman" w:hAnsi="Times New Roman"/>
          <w:sz w:val="18"/>
          <w:szCs w:val="18"/>
          <w:color w:val="auto"/>
        </w:rPr>
        <w:t>No segment asset information is provided below as the CODM is focused on how expenses impact ending cash by period and overall cash runway. Any review of segment assets, which would focus on cash and cash equivalents, would be at the same level as the consolidated balance sheet.</w:t>
      </w:r>
    </w:p>
    <w:p>
      <w:pPr>
        <w:spacing w:after="0" w:line="68"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net loss and significant segment expenses for the three and nine months ended September 30, 2025 and 2024 (in thousands):</w:t>
      </w:r>
    </w:p>
    <w:p>
      <w:pPr>
        <w:spacing w:after="0" w:line="290"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46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expenses: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employee-related expenses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2,682</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9,588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employee-related expenses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pre-clinical expenses</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Clinical and development expenses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5,749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6,689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15,845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Chemistry, manufacturing, and control expenses</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Non-employee-related general and administrative expenses</w:t>
            </w: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19,035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17,717</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54,925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-170815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111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56" w:lineRule="exact"/>
        <w:rPr>
          <w:sz w:val="20"/>
          <w:szCs w:val="20"/>
          <w:color w:val="auto"/>
        </w:rPr>
      </w:pPr>
    </w:p>
    <w:p>
      <w:pPr>
        <w:ind w:left="760" w:right="480" w:hanging="3"/>
        <w:spacing w:after="0" w:line="282" w:lineRule="auto"/>
        <w:tabs>
          <w:tab w:leader="none" w:pos="847"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Other segment expenses include stock-based compensation expense, depreciation and amortization, changes in the fair value of the SAFE liabilities, loss on the issuance of SAFEs, income tax expense, interest income, and interest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760" w:right="8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“Cautionary Note Regarding Forward-Looking Statements.”</w:t>
      </w:r>
    </w:p>
    <w:p>
      <w:pPr>
        <w:spacing w:after="0" w:line="6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i w:val="1"/>
          <w:iCs w:val="1"/>
          <w:color w:val="auto"/>
        </w:rPr>
        <w:t>All brand names or trademarks appearing in this report are the property of their respective holders. 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760" w:right="20"/>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7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Our lead product candidates are TX45, an Fc-relaxin fusion molecule that activates the RXFP1 receptor, the GPCR target of the hormone relaxin, and TX2100, a VHH-Fc fusion antagonist antibody that binds to an undisclosed GPCR target.</w:t>
      </w:r>
    </w:p>
    <w:p>
      <w:pPr>
        <w:spacing w:after="0" w:line="54"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color w:val="auto"/>
        </w:rPr>
        <w:t>In September 2024, we announced favorable results from a Phase 1a clinical trial evaluating safety, tolerability and pharmacokinetic (“PK”) and pharmacodynamic (“PD”) properties for TX45. In this clinical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clinical trial.</w:t>
      </w:r>
    </w:p>
    <w:p>
      <w:pPr>
        <w:spacing w:after="0" w:line="75"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In May 2025, we announced the complete results from Part A of the Phase 1b hemodynamic clinical trial of TX45 in subjects with Group 2 Pulmonary Hypertension (“PH”) in Heart Failure with Preserved Ejection Fraction (“HFpEF”), known as PH-HFpEF. Part A of the TX45 Phase 1b clinical trial was a single dose IV, open-label clinical trial evaluating the safety, tolerability and hemodynamic effects of TX45 over an 8-hour period in subjects with PH-HFpEF. The complete data from Part A confirmed the tolerability and hemodynamic effects of TX45 in subjects with PH-HFpEF previously reported in the interim data in January 2025. Based on the complete dataset, TX45 was well-tolerated in subjects with PH-HFpEF with no serious or severe adverse events. In the overall study population of the complete dataset, TX45 achieved a 19.0% reduction in pulmonary capillary wedge pressure (“PCWP”), an endpoint reported to correlate with exercise capacity, morbidity and mortality in patients with heart failure, and an 18.5% improvement in cardiac output. In the subpopulation with combined pre- and post-capillary pulmonary hypertension (“CpcPH”) who have an elevated Pulmonary Vascular Resistance (“PVR”) and more severe disease, TX45 demonstrated &gt;30% reduction in PVR, which along with PCWP is correlated to exercise capacity and mortality in this patient population.</w:t>
      </w:r>
    </w:p>
    <w:p>
      <w:pPr>
        <w:spacing w:after="0" w:line="86"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18"/>
          <w:szCs w:val="18"/>
          <w:color w:val="auto"/>
        </w:rPr>
        <w:t>In October 2025, we announced the topline results from Part B of the Phase 1b hemodynamic clinical trial of TX45 in subjects with Group 2 PH in Heart Failure with Reduced Ejection Fraction (“PH-HFrEF”). Part B of the TX45 Phase 1b clinical trial had a similar design as the Phase 1b Part A, assessing hemodynamic effects of TX45 but was conducted in subjects with PH-HFrEF. Based on the topline results, TX45 was well-tolerated in subjects with PH-HFrEF with no serious or severe adverse events. In the overall study population, TX45 achieved a 29.2% reduction in PCWP, an endpoint reported to correlate with exercise capacity, morbidity and mortality in patients with heart failure, and a 17.3% improvement in cardiac output. In the subpopulation with CpcPH who have an elevated PVR and more severe disease, TX45 demonstrated a 19.7% reduction in PVR in patients with a PVR equal to or greater than 3 Wood Units and a 10.3% reduction in PVR in patients with a PVR equal to or greater than 2 Wood Units. PVR along with PCWP is correlated to exercise capacity and mortality in this patient population.</w:t>
      </w:r>
    </w:p>
    <w:p>
      <w:pPr>
        <w:spacing w:after="0" w:line="84" w:lineRule="exact"/>
        <w:rPr>
          <w:sz w:val="20"/>
          <w:szCs w:val="20"/>
          <w:color w:val="auto"/>
        </w:rPr>
      </w:pPr>
    </w:p>
    <w:p>
      <w:pPr>
        <w:ind w:left="760" w:right="20"/>
        <w:spacing w:after="0" w:line="261" w:lineRule="auto"/>
        <w:rPr>
          <w:sz w:val="20"/>
          <w:szCs w:val="20"/>
          <w:color w:val="auto"/>
        </w:rPr>
      </w:pPr>
      <w:r>
        <w:rPr>
          <w:rFonts w:ascii="Times New Roman" w:cs="Times New Roman" w:eastAsia="Times New Roman" w:hAnsi="Times New Roman"/>
          <w:sz w:val="18"/>
          <w:szCs w:val="18"/>
          <w:color w:val="auto"/>
        </w:rPr>
        <w:t>The ongoing APEX Phase 2 clinical trial is a global, 24-week, placebo-controlled trial designed to evaluate the safety and efficacy of TX45 administered subcutaneously (“SC”) in subjects with PH-HFpEF, enriched for CpcPH. We dosed our first subject in the APEX Phase 2 clinical trial in October 2024. Subjects are being randomized to 300 mg SC (2 ml injection) once monthly of TX45, 300 mg SC once every other week of TX45, or placebo. Change from baseline in PVR in the PVR</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3</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right="40"/>
        <w:spacing w:after="0" w:line="282" w:lineRule="auto"/>
        <w:rPr>
          <w:sz w:val="20"/>
          <w:szCs w:val="20"/>
          <w:color w:val="auto"/>
        </w:rPr>
      </w:pPr>
      <w:r>
        <w:rPr>
          <w:rFonts w:ascii="Times New Roman" w:cs="Times New Roman" w:eastAsia="Times New Roman" w:hAnsi="Times New Roman"/>
          <w:sz w:val="18"/>
          <w:szCs w:val="18"/>
          <w:color w:val="auto"/>
        </w:rPr>
        <w:t>population is the primary endpoint of the trial. The trial is designed to enrich for patients with a PVR</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3 aiming for 70% of patients enrolled. We expect topline results from the APEX clinical trial in 2026.</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2026, we plan to initiate a 16-week, open label, repeat dose, Phase 2 clinical trial to evaluate TX45’s safety and hemodynamic effects in up to 25 subjects with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remodeling and anti-fibrotic activity. In patients with PH-ILD, elevation in PVR and mean pulmonary arterial pressure (“mPAP”) has been associated with increased mortality. The TX45 PH-ILD Phase 2 trial is being initiated at a dose of TX45 300 mg every four weeks administered SC with a primary efficacy endpoint of change from baseline in PVR at Week 16.</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second product candidate, TX2100, is being evaluated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Technical development activities to generate GMP drug supply and drug product for TX2100 started in the second quarter of 2025. The in-life portion of the IND-enabling NHP GLP toxicology studies are now complete. We expect to initiate a Phase 1 clinical trial in healthy volunteers for TX2100 in the first quarter of 2026. In addition, subject to positive Phase 1 data, we plan to initiate a Phase 2 clinical trial for TX2100 in early 2027.</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February 2025, we entered into a securities purchase agreement (the “Private Placement”) pursuant to which we issued an aggregate of 3,689,465 shares of common stock, at a price of $50.00 per share to institutional accredited investors and $54.14 per share to accredited individual investors that are either an officer or director of our Company. The net proceeds from the Private Placement were approximately $173.1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June 20, 2024, we completed our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our programs and platform. These expenses include:</w:t>
      </w:r>
    </w:p>
    <w:p>
      <w:pPr>
        <w:spacing w:after="0" w:line="54" w:lineRule="exact"/>
        <w:rPr>
          <w:sz w:val="20"/>
          <w:szCs w:val="20"/>
          <w:color w:val="auto"/>
        </w:rPr>
      </w:pPr>
    </w:p>
    <w:p>
      <w:pPr>
        <w:ind w:left="1020" w:right="20" w:hanging="515"/>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480" w:hanging="515"/>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fees paid to contract research organizations (“CROs”);</w:t>
      </w:r>
    </w:p>
    <w:p>
      <w:pPr>
        <w:spacing w:after="0" w:line="53" w:lineRule="exact"/>
        <w:rPr>
          <w:rFonts w:ascii="Times New Roman" w:cs="Times New Roman" w:eastAsia="Times New Roman" w:hAnsi="Times New Roman"/>
          <w:sz w:val="18"/>
          <w:szCs w:val="18"/>
          <w:color w:val="auto"/>
        </w:rPr>
      </w:pPr>
    </w:p>
    <w:p>
      <w:pPr>
        <w:ind w:left="1020" w:right="200" w:hanging="515"/>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development and manufacturing organizations (“CDMOs”);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19" w:name="page20"/>
    <w:bookmarkEnd w:id="19"/>
    <w:p>
      <w:pPr>
        <w:ind w:left="1020" w:hanging="51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17" w:lineRule="exact"/>
        <w:rPr>
          <w:rFonts w:ascii="Times New Roman" w:cs="Times New Roman" w:eastAsia="Times New Roman" w:hAnsi="Times New Roman"/>
          <w:sz w:val="18"/>
          <w:szCs w:val="18"/>
          <w:color w:val="auto"/>
        </w:rPr>
      </w:pPr>
    </w:p>
    <w:p>
      <w:pPr>
        <w:ind w:left="1020" w:right="600" w:hanging="515"/>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6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that are deployed across multiple internal programs, including programs aimed at the discovery and development of potential therapies for fibrotic and other diseases, and our platform technology and are not directly attributable to any single program are not allocated to any single program and, as such, are not separately classified. These costs include multi-program employee-related costs, cross-program payments made under third-party licensing agreements, costs of laboratory supplies and facilities expenses, including rent, depreciation and other indirect costs, the costs of our discovery efforts and projects, and other expenses.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6" w:lineRule="exact"/>
        <w:rPr>
          <w:sz w:val="20"/>
          <w:szCs w:val="20"/>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093" w:right="399" w:bottom="1440" w:gutter="0" w:footer="0" w:header="0"/>
        </w:sectPr>
      </w:pPr>
    </w:p>
    <w:bookmarkStart w:id="20" w:name="page21"/>
    <w:bookmarkEnd w:id="20"/>
    <w:p>
      <w:pPr>
        <w:ind w:left="1020" w:right="560" w:hanging="515"/>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candidates;</w:t>
      </w:r>
    </w:p>
    <w:p>
      <w:pPr>
        <w:spacing w:after="0" w:line="117" w:lineRule="exact"/>
        <w:rPr>
          <w:rFonts w:ascii="Times New Roman" w:cs="Times New Roman" w:eastAsia="Times New Roman" w:hAnsi="Times New Roman"/>
          <w:sz w:val="18"/>
          <w:szCs w:val="18"/>
          <w:color w:val="auto"/>
        </w:rPr>
      </w:pPr>
    </w:p>
    <w:p>
      <w:pPr>
        <w:ind w:left="1020" w:right="400" w:hanging="515"/>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salaries and bonuses, related benefits and stock-based compensation expense, for our personnel in executive, legal, accounting, human resources, information technology,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comprised of depreciation and other expenses.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continue to increase in the future as we expect to incur increased accounting, audit, information technology,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Issuance of SAFE Liabilities and Change in Fair Value of SAFE Liabilities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October and December 2023, Legacy Tectonic issued SAFEs for proceeds of $34.1 million. The SAFEs were recorded as liabilities in the condensed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money market funds, which are included in cash and cash equivalents in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recorded a tax expense of approximately $0.9 million related to the dissolution of its wholly owned Australian subsidiary, Tectonic Therapeutic Pty Ltd. This entity is being dissolved as part of a broader corporate initiative intended to streamline operations and reduce administrative costs. The dissolution triggered a taxable event under Australian tax law due to the deemed disposition of certain assets at fair market value. As a result, the Company recognized a tax liability based on the difference between the carrying amount of these assets for financial reporting purposes and their tax basis. The dissolution does not have a significant impact on the Company’s effective tax rate for the period, but it did result in a discrete item within the period. The Company does not expect material ongoing tax consequences from this dissolution.</w:t>
      </w:r>
    </w:p>
    <w:p>
      <w:pPr>
        <w:spacing w:after="0" w:line="200" w:lineRule="exact"/>
        <w:rPr>
          <w:sz w:val="20"/>
          <w:szCs w:val="20"/>
          <w:color w:val="auto"/>
        </w:rPr>
      </w:pPr>
    </w:p>
    <w:p>
      <w:pPr>
        <w:spacing w:after="0" w:line="3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14,317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21,890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19,637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948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w:t>
            </w:r>
          </w:p>
        </w:tc>
        <w:tc>
          <w:tcPr>
            <w:tcW w:w="1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1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8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-1165225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-1165225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-1165225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-873760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-873760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-873760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-316230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-316230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-316230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-25400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-25400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-25400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September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TX45</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6,807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TX2100</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3,945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Platform development and unallocated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services</w:t>
            </w: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Lab supplies and related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platform development and unallocated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6,953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14,317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-170815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-170815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Total research and development expenses increased $2.6 million for the three months ended September 30, 2025, compared to the three months ended September 30, 2024. The increase in direct research and development expenses was primarily the result of increased expenses related to the discovery, development and manufacturing of TX2100 and employee-related expenses. Employee-related expenses increased $1.3 million during the three months ended September 30, 2025 compared to the three months ended September 30, 2024. The increase in employee-related expenses was primarily due to an increase in</w:t>
      </w: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89" w:right="339" w:bottom="1440" w:gutter="0" w:footer="0" w:header="0"/>
        </w:sectPr>
      </w:pPr>
    </w:p>
    <w:bookmarkStart w:id="22" w:name="page23"/>
    <w:bookmarkEnd w:id="22"/>
    <w:p>
      <w:pPr>
        <w:ind w:left="760" w:right="2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the ongoing issuance of equity awards in 2025 and increase in the weighted-average fair value of the awards granted.</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September 30, 2025 and 2024:</w:t>
      </w: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2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2,949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3,131</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expenses</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5,320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-170815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remained consistent for the three months ended September 30, 2025 and 2024. We have been operating as a public company for more than a year and these expenses stabilized quarter over quarter, reflecting a consistent level of public company-related costs, including audit, legal, and administrative expenses.</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760" w:right="100"/>
        <w:spacing w:after="0" w:line="282" w:lineRule="auto"/>
        <w:rPr>
          <w:sz w:val="20"/>
          <w:szCs w:val="20"/>
          <w:color w:val="auto"/>
        </w:rPr>
      </w:pPr>
      <w:r>
        <w:rPr>
          <w:rFonts w:ascii="Times New Roman" w:cs="Times New Roman" w:eastAsia="Times New Roman" w:hAnsi="Times New Roman"/>
          <w:sz w:val="18"/>
          <w:szCs w:val="18"/>
          <w:color w:val="auto"/>
        </w:rPr>
        <w:t>Interest income increased $0.9 million for the three months ended September 30, 2025 compared to the three months ended September 30, 2024 primarily due to an increase in cash and cash equivalents as a result of the Private Placement.</w:t>
      </w:r>
    </w:p>
    <w:p>
      <w:pPr>
        <w:spacing w:after="0" w:line="3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47,148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32,208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15,372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11,816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62,520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18,496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(62,520)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3,610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8,571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10,156</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6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-2211070</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-2211070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-2211070</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-1919605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-1919605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-1919605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-1079500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-1079500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-1079500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3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TX45</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12,957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2,951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TX2100</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11,095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8,637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Platform development and unallocated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12,829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9,071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services</w:t>
            </w: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Lab supplies and related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3,297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platform development and unallocated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20,145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16,793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47,148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32,208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-170815</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-170815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Total research and development expenses increased $14.9 million for the nine months ended September 30, 2025, compared to the nine months ended September 30, 2024. The increase in direct research and development expenses was primarily the result of increased CRO and CDMO costs related to the Phase 1b and Phase 2 clinical trials for TX45 and the discovery, development and manufacturing of TX2100. Employee-related expenses increased $3.8 million during the nine months ended September 30, 2025 compared to the nine months ended September 30, 2024. The increase in employee-related expenses was primarily due to an increase in stock-based compensation expense as a result of the ongoing issuance of equity awards in 2024 and 2025 and increase in the weighted-average fair value of the awards granted.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2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Employee-related expenses, including stock-based compensation</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8,417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5,920</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2,497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expenses</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Facility related and other expenses, including depreciation</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15,372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11,816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-170815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-170815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-170815</wp:posOffset>
            </wp:positionV>
            <wp:extent cx="59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$3.6 million for the nine months ended September 30, 2025 compared to the nine months ended September 30, 2024. Employee-related expenses increased $2.5 million during the nine months ended September 30, 2025 compared to the nine months ended September 30, 2024. The increase in employee-related expenses was primarily due to an increase in stock-based compensation expense driven by a higher weighted-average grant date fair value of equity awards granted during the period. Professional and consulting fees increased $0.7 million during the nine months ended September 30, 2025 compared to the nine months ended September 30, 2024 due to an increase in administrative services to support our operations as a public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SAFE liabilities loss of $3.6 million resulted from the remeasurement of the SAFE liabilities to fair value during the nine months ended September 30, 2024.</w:t>
      </w:r>
    </w:p>
    <w:p>
      <w:pPr>
        <w:spacing w:after="0" w:line="200" w:lineRule="exact"/>
        <w:rPr>
          <w:sz w:val="20"/>
          <w:szCs w:val="20"/>
          <w:color w:val="auto"/>
        </w:rPr>
      </w:pPr>
    </w:p>
    <w:p>
      <w:pPr>
        <w:spacing w:after="0" w:line="3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income increased $6.2 million for the nine months ended September 30, 2025 compared to the nine months ended September 30, 2024 primarily due to an increase in cash and cash equivalents as a result of the Merger and the Private Placement.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in the Private Placement. The net proceeds from the Private Placement were approximately $173.1 million. As of September 30, 2025, we had $268.4 million in cash and cash equivalents and an accumulated deficit of $203.5 million. Based on our current business plans, management believes that our cash and cash equivalents on hand as of September 30, 2025 are sufficient to meet our operating requirements for at least the next 12 months from the issuance of the consolidated financial statements included in this Quarterly Report. We have based this estimate on assumptions that may prove to be wrong, and we could exhaust our capital resources sooner than we expect.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nine months ended September 30, 2025 and 2024:</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(45,617)</w:t>
            </w:r>
          </w:p>
        </w:tc>
        <w:tc>
          <w:tcPr>
            <w:tcW w:w="6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173,496</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172,783</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1"/>
        </w:trPr>
        <w:tc>
          <w:tcPr>
            <w:tcW w:w="5800" w:type="dxa"/>
            <w:vAlign w:val="bottom"/>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Net increase in cash, cash equivalents and</w:t>
            </w:r>
          </w:p>
        </w:tc>
        <w:tc>
          <w:tcPr>
            <w:tcW w:w="1380" w:type="dxa"/>
            <w:vAlign w:val="bottom"/>
            <w:vMerge w:val="restart"/>
            <w:shd w:val="clear" w:color="auto" w:fill="CFF0FC"/>
          </w:tcPr>
          <w:p>
            <w:pPr>
              <w:spacing w:after="0"/>
              <w:rPr>
                <w:sz w:val="16"/>
                <w:szCs w:val="16"/>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127,681</w:t>
            </w:r>
          </w:p>
        </w:tc>
        <w:tc>
          <w:tcPr>
            <w:tcW w:w="160" w:type="dxa"/>
            <w:vAlign w:val="bottom"/>
            <w:vMerge w:val="restart"/>
            <w:shd w:val="clear" w:color="auto" w:fill="CFF0FC"/>
          </w:tcPr>
          <w:p>
            <w:pPr>
              <w:spacing w:after="0"/>
              <w:rPr>
                <w:sz w:val="16"/>
                <w:szCs w:val="16"/>
                <w:color w:val="auto"/>
              </w:rPr>
            </w:pPr>
          </w:p>
        </w:tc>
        <w:tc>
          <w:tcPr>
            <w:tcW w:w="460" w:type="dxa"/>
            <w:vAlign w:val="bottom"/>
            <w:vMerge w:val="restart"/>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130,326</w:t>
            </w:r>
          </w:p>
        </w:tc>
        <w:tc>
          <w:tcPr>
            <w:tcW w:w="0" w:type="dxa"/>
            <w:vAlign w:val="bottom"/>
          </w:tcPr>
          <w:p>
            <w:pPr>
              <w:spacing w:after="0"/>
              <w:rPr>
                <w:sz w:val="1"/>
                <w:szCs w:val="1"/>
                <w:color w:val="auto"/>
              </w:rPr>
            </w:pPr>
          </w:p>
        </w:tc>
      </w:tr>
      <w:tr>
        <w:trPr>
          <w:trHeight w:val="234"/>
        </w:trPr>
        <w:tc>
          <w:tcPr>
            <w:tcW w:w="5800" w:type="dxa"/>
            <w:vAlign w:val="bottom"/>
            <w:tcBorders>
              <w:bottom w:val="single" w:sz="8" w:color="CFF0FC"/>
            </w:tcBorders>
            <w:shd w:val="clear" w:color="auto" w:fill="CFF0FC"/>
          </w:tcPr>
          <w:p>
            <w:pPr>
              <w:ind w:left="26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1380" w:type="dxa"/>
            <w:vAlign w:val="bottom"/>
            <w:tcBorders>
              <w:bottom w:val="single" w:sz="8" w:color="CFF0FC"/>
            </w:tcBorders>
            <w:vMerge w:val="continue"/>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46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5565775</wp:posOffset>
            </wp:positionH>
            <wp:positionV relativeFrom="paragraph">
              <wp:posOffset>-24765</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-7620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operating activities was $45.6 million. Cash used in operating activities was primarily used to fund our operations to develop our product candidates resulting in a net loss of $54.9 million and $1.0 million of changes in operating assets and liabilities related to the timing of the vendor payments partially offset by non-cash charges of $10.3 million.</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$42.3 million. Cash used in operating activities was primarily used to fund our operations to develop our product candidates resulting in a net loss of $45.6 million, and changes in our operating assets and liabilities of $4.7 million related to accrued expenses, timing of vendor payments and lease repayments, partially offset by non-cash charges of $8.0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net cash used in investing activities was nominal and related to the purchase and sale of property and equipment.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During the nine months ended September 30, 2025, net cash provided by financing activities was $173.5 million, primarily due to net proceeds of $173.1 million from the sale of shares pursuant to the Private Placement and $1.2 million in proceeds from the exercise of stock options.</w:t>
      </w:r>
    </w:p>
    <w:p>
      <w:pPr>
        <w:spacing w:after="0" w:line="2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3" w:right="339" w:bottom="1440" w:gutter="0" w:footer="0" w:header="0"/>
        </w:sectPr>
      </w:pPr>
    </w:p>
    <w:bookmarkStart w:id="25" w:name="page26"/>
    <w:bookmarkEnd w:id="2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2024 was $172.8 million, primarily due to net proceeds of $94.6 million from the sale of shares pursuant to the Subscription Agreement, $77.8 million of net cash acquired in connection with the Merger, and $0.7 million in proceeds from the exercise of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candidates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ongoing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expect our existing cash and cash equivalents will enable us to fund our operating expenses and capital expenditure requirements for at least the next twelve months. Our future capital requirements will depend on many factors, including:</w:t>
      </w:r>
    </w:p>
    <w:p>
      <w:pPr>
        <w:spacing w:after="0" w:line="54" w:lineRule="exact"/>
        <w:rPr>
          <w:sz w:val="20"/>
          <w:szCs w:val="20"/>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right="380" w:hanging="515"/>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right="260" w:hanging="515"/>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53" w:lineRule="exact"/>
        <w:rPr>
          <w:rFonts w:ascii="Times New Roman" w:cs="Times New Roman" w:eastAsia="Times New Roman" w:hAnsi="Times New Roman"/>
          <w:sz w:val="18"/>
          <w:szCs w:val="18"/>
          <w:color w:val="auto"/>
        </w:rPr>
      </w:pPr>
    </w:p>
    <w:p>
      <w:pPr>
        <w:ind w:left="1020" w:right="760" w:hanging="515"/>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53" w:lineRule="exact"/>
        <w:rPr>
          <w:rFonts w:ascii="Times New Roman" w:cs="Times New Roman" w:eastAsia="Times New Roman" w:hAnsi="Times New Roman"/>
          <w:sz w:val="18"/>
          <w:szCs w:val="18"/>
          <w:color w:val="auto"/>
        </w:rPr>
      </w:pPr>
    </w:p>
    <w:p>
      <w:pPr>
        <w:ind w:left="1020" w:right="300" w:hanging="515"/>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w:t>
      </w:r>
    </w:p>
    <w:p>
      <w:pPr>
        <w:spacing w:after="0" w:line="117"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w:t>
      </w:r>
    </w:p>
    <w:p>
      <w:pPr>
        <w:spacing w:after="0" w:line="117" w:lineRule="exact"/>
        <w:rPr>
          <w:rFonts w:ascii="Times New Roman" w:cs="Times New Roman" w:eastAsia="Times New Roman" w:hAnsi="Times New Roman"/>
          <w:sz w:val="18"/>
          <w:szCs w:val="18"/>
          <w:color w:val="auto"/>
        </w:rPr>
      </w:pPr>
    </w:p>
    <w:p>
      <w:pPr>
        <w:ind w:left="1020" w:right="40" w:hanging="515"/>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w:t>
      </w:r>
    </w:p>
    <w:p>
      <w:pPr>
        <w:spacing w:after="0" w:line="2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26" w:name="page27"/>
    <w:bookmarkEnd w:id="26"/>
    <w:p>
      <w:pPr>
        <w:ind w:right="580"/>
        <w:spacing w:after="0" w:line="282" w:lineRule="auto"/>
        <w:rPr>
          <w:sz w:val="20"/>
          <w:szCs w:val="20"/>
          <w:color w:val="auto"/>
        </w:rPr>
      </w:pPr>
      <w:r>
        <w:rPr>
          <w:rFonts w:ascii="Times New Roman" w:cs="Times New Roman" w:eastAsia="Times New Roman" w:hAnsi="Times New Roman"/>
          <w:sz w:val="18"/>
          <w:szCs w:val="18"/>
          <w:color w:val="auto"/>
        </w:rPr>
        <w:t>commercialization efforts or grant rights to develop and market product candidates that we would otherwise prefer to develop and market ourselves.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expect to incur ongoing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and to our consolidated financial statements included in this Quarterly Report, which is incorporated herein by reference.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lease obligations including amounts due on leases of certain laboratory equipment and office and laboratory space under the terms of non-cancelable operating and finance leases. The leases expire at various times through 2029. Minimum lease payments as of September 30, 2025 are $0.9 million in 2025, $1.7 million in 2026, $1.9 million in 2027, $2.0 million in 2028 and $0.2 million in 2029.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760" w:right="120"/>
        <w:spacing w:after="0" w:line="277" w:lineRule="auto"/>
        <w:rPr>
          <w:sz w:val="20"/>
          <w:szCs w:val="20"/>
          <w:color w:val="auto"/>
        </w:rPr>
      </w:pPr>
      <w:r>
        <w:rPr>
          <w:rFonts w:ascii="Times New Roman" w:cs="Times New Roman" w:eastAsia="Times New Roman" w:hAnsi="Times New Roman"/>
          <w:sz w:val="17"/>
          <w:szCs w:val="17"/>
          <w:color w:val="auto"/>
        </w:rPr>
        <w:t>Our primary exposure to market risk is related to interest rate sensitivity, which is affected by changes in the general level of U.S. interest rates. As of September 30, 2025, we had cash and cash equivalents of $268.4 million, which consisted of cash and interest-bearing money market funds. As of September 30, 2025, we had an operating lease liability and a finance lease liability of $0.7 million and $0.5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79" w:lineRule="exact"/>
        <w:rPr>
          <w:sz w:val="20"/>
          <w:szCs w:val="20"/>
          <w:color w:val="auto"/>
        </w:rPr>
      </w:pPr>
    </w:p>
    <w:p>
      <w:pPr>
        <w:ind w:left="760" w:right="1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2025, the end of the period covered by this Quarterly Report.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auto"/>
        </w:rPr>
        <w:t>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left="760" w:right="16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right"/>
        <w:ind w:right="26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760" w:right="2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760" w:right="160"/>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w:t>
      </w:r>
    </w:p>
    <w:p>
      <w:pPr>
        <w:spacing w:after="0" w:line="68" w:lineRule="exact"/>
        <w:rPr>
          <w:sz w:val="20"/>
          <w:szCs w:val="20"/>
          <w:color w:val="auto"/>
        </w:rPr>
      </w:pPr>
    </w:p>
    <w:p>
      <w:pPr>
        <w:ind w:left="1780" w:right="6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53" w:lineRule="exact"/>
        <w:rPr>
          <w:rFonts w:ascii="Times New Roman" w:cs="Times New Roman" w:eastAsia="Times New Roman" w:hAnsi="Times New Roman"/>
          <w:sz w:val="18"/>
          <w:szCs w:val="18"/>
          <w:color w:val="auto"/>
        </w:rPr>
      </w:pPr>
    </w:p>
    <w:p>
      <w:pPr>
        <w:ind w:left="1780" w:right="140" w:hanging="515"/>
        <w:spacing w:after="0" w:line="266"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rFonts w:ascii="Times New Roman" w:cs="Times New Roman" w:eastAsia="Times New Roman" w:hAnsi="Times New Roman"/>
          <w:sz w:val="18"/>
          <w:szCs w:val="18"/>
          <w:color w:val="auto"/>
        </w:rPr>
      </w:pPr>
    </w:p>
    <w:p>
      <w:pPr>
        <w:ind w:left="1780" w:right="70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53" w:lineRule="exact"/>
        <w:rPr>
          <w:rFonts w:ascii="Times New Roman" w:cs="Times New Roman" w:eastAsia="Times New Roman" w:hAnsi="Times New Roman"/>
          <w:sz w:val="18"/>
          <w:szCs w:val="18"/>
          <w:color w:val="auto"/>
        </w:rPr>
      </w:pPr>
    </w:p>
    <w:p>
      <w:pPr>
        <w:ind w:left="1780" w:right="80" w:hanging="515"/>
        <w:spacing w:after="0" w:line="289" w:lineRule="auto"/>
        <w:tabs>
          <w:tab w:leader="none" w:pos="1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p>
    <w:p>
      <w:pPr>
        <w:spacing w:after="0" w:line="49" w:lineRule="exact"/>
        <w:rPr>
          <w:rFonts w:ascii="Times New Roman" w:cs="Times New Roman" w:eastAsia="Times New Roman" w:hAnsi="Times New Roman"/>
          <w:sz w:val="17"/>
          <w:szCs w:val="17"/>
          <w:color w:val="auto"/>
        </w:rPr>
      </w:pPr>
    </w:p>
    <w:p>
      <w:pPr>
        <w:ind w:left="1780" w:hanging="515"/>
        <w:spacing w:after="0" w:line="312" w:lineRule="auto"/>
        <w:tabs>
          <w:tab w:leader="none" w:pos="17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31" w:lineRule="exact"/>
        <w:rPr>
          <w:rFonts w:ascii="Times New Roman" w:cs="Times New Roman" w:eastAsia="Times New Roman" w:hAnsi="Times New Roman"/>
          <w:sz w:val="17"/>
          <w:szCs w:val="17"/>
          <w:color w:val="auto"/>
        </w:rPr>
      </w:pPr>
    </w:p>
    <w:p>
      <w:pPr>
        <w:ind w:left="1780" w:right="34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1780" w:right="26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53" w:lineRule="exact"/>
        <w:rPr>
          <w:rFonts w:ascii="Times New Roman" w:cs="Times New Roman" w:eastAsia="Times New Roman" w:hAnsi="Times New Roman"/>
          <w:sz w:val="18"/>
          <w:szCs w:val="18"/>
          <w:color w:val="auto"/>
        </w:rPr>
      </w:pPr>
    </w:p>
    <w:p>
      <w:pPr>
        <w:ind w:left="1780" w:right="18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ind w:left="1780" w:right="120" w:hanging="515"/>
        <w:spacing w:after="0" w:line="266"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and expect to rely on in the future on the use of manufacturing suites in third-party facilities or on third parties to manufacture TX45, TX2100 and any other product candidates, and we may rely on third parties to produce and process our products, if approved.</w:t>
      </w:r>
    </w:p>
    <w:p>
      <w:pPr>
        <w:spacing w:after="0" w:line="67" w:lineRule="exact"/>
        <w:rPr>
          <w:rFonts w:ascii="Times New Roman" w:cs="Times New Roman" w:eastAsia="Times New Roman" w:hAnsi="Times New Roman"/>
          <w:sz w:val="18"/>
          <w:szCs w:val="18"/>
          <w:color w:val="auto"/>
        </w:rPr>
      </w:pPr>
    </w:p>
    <w:p>
      <w:pPr>
        <w:ind w:left="1780" w:right="102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53" w:lineRule="exact"/>
        <w:rPr>
          <w:rFonts w:ascii="Times New Roman" w:cs="Times New Roman" w:eastAsia="Times New Roman" w:hAnsi="Times New Roman"/>
          <w:sz w:val="18"/>
          <w:szCs w:val="18"/>
          <w:color w:val="auto"/>
        </w:rPr>
      </w:pPr>
    </w:p>
    <w:p>
      <w:pPr>
        <w:ind w:left="1780" w:right="16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17" w:lineRule="exact"/>
        <w:rPr>
          <w:rFonts w:ascii="Times New Roman" w:cs="Times New Roman" w:eastAsia="Times New Roman" w:hAnsi="Times New Roman"/>
          <w:sz w:val="18"/>
          <w:szCs w:val="18"/>
          <w:color w:val="auto"/>
        </w:rPr>
      </w:pPr>
    </w:p>
    <w:p>
      <w:pPr>
        <w:ind w:left="1780" w:right="440" w:hanging="515"/>
        <w:spacing w:after="0" w:line="282"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and nine months ended September 30, 2025, we reported a net loss of $19.0 million and $54.9 million, respectively. As of September 30, 2025, we had an accumulated deficit of $203.5 million. We expect to continue to incur significant losses for the foreseeable future, and expect these losses to increase as we continue our research and development of, and seek regulatory approvals for, our lead product candidates, TX45 and TX2100, along with any future product candidates we may develop.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440" w:right="600" w:firstLine="6"/>
        <w:spacing w:after="0" w:line="282" w:lineRule="auto"/>
        <w:tabs>
          <w:tab w:leader="none" w:pos="7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candidates TX45 and TX2100;</w:t>
      </w:r>
    </w:p>
    <w:p>
      <w:pPr>
        <w:spacing w:after="0" w:line="53" w:lineRule="exact"/>
        <w:rPr>
          <w:rFonts w:ascii="Times New Roman" w:cs="Times New Roman" w:eastAsia="Times New Roman" w:hAnsi="Times New Roman"/>
          <w:sz w:val="18"/>
          <w:szCs w:val="18"/>
          <w:color w:val="auto"/>
        </w:rPr>
      </w:pPr>
    </w:p>
    <w:p>
      <w:pPr>
        <w:ind w:left="440" w:right="40" w:firstLine="6"/>
        <w:spacing w:after="0" w:line="282" w:lineRule="auto"/>
        <w:tabs>
          <w:tab w:leader="none" w:pos="7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53" w:lineRule="exact"/>
        <w:rPr>
          <w:rFonts w:ascii="Times New Roman" w:cs="Times New Roman" w:eastAsia="Times New Roman" w:hAnsi="Times New Roman"/>
          <w:sz w:val="18"/>
          <w:szCs w:val="18"/>
          <w:color w:val="auto"/>
        </w:rPr>
      </w:pPr>
    </w:p>
    <w:p>
      <w:pPr>
        <w:ind w:left="780" w:hanging="33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17" w:lineRule="exact"/>
        <w:rPr>
          <w:rFonts w:ascii="Times New Roman" w:cs="Times New Roman" w:eastAsia="Times New Roman" w:hAnsi="Times New Roman"/>
          <w:sz w:val="18"/>
          <w:szCs w:val="18"/>
          <w:color w:val="auto"/>
        </w:rPr>
      </w:pPr>
    </w:p>
    <w:p>
      <w:pPr>
        <w:ind w:left="780" w:hanging="33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440" w:right="620" w:firstLine="6"/>
        <w:spacing w:after="0" w:line="282" w:lineRule="auto"/>
        <w:tabs>
          <w:tab w:leader="none" w:pos="7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440" w:right="400" w:firstLine="6"/>
        <w:spacing w:after="0" w:line="282" w:lineRule="auto"/>
        <w:tabs>
          <w:tab w:leader="none" w:pos="7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53" w:lineRule="exact"/>
        <w:rPr>
          <w:rFonts w:ascii="Times New Roman" w:cs="Times New Roman" w:eastAsia="Times New Roman" w:hAnsi="Times New Roman"/>
          <w:sz w:val="18"/>
          <w:szCs w:val="18"/>
          <w:color w:val="auto"/>
        </w:rPr>
      </w:pPr>
    </w:p>
    <w:p>
      <w:pPr>
        <w:ind w:left="780" w:hanging="33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17" w:lineRule="exact"/>
        <w:rPr>
          <w:rFonts w:ascii="Times New Roman" w:cs="Times New Roman" w:eastAsia="Times New Roman" w:hAnsi="Times New Roman"/>
          <w:sz w:val="18"/>
          <w:szCs w:val="18"/>
          <w:color w:val="auto"/>
        </w:rPr>
      </w:pPr>
    </w:p>
    <w:p>
      <w:pPr>
        <w:ind w:left="440" w:right="460" w:firstLine="6"/>
        <w:spacing w:after="0" w:line="282" w:lineRule="auto"/>
        <w:tabs>
          <w:tab w:leader="none" w:pos="7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2" w:name="page33"/>
    <w:bookmarkEnd w:id="32"/>
    <w:p>
      <w:pPr>
        <w:ind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2 clinical trials of TX45, including the Phase 2 PH-ILD clinical trial, pursue manufacturing and clinical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2025, we had $268.4 million in cash and cash equivalents. Although we believe that our available cash and cash equivalents will be sufficient to fund our planned operations for at least 12 months following the date of our consolidated financial statements included in this Quarterly Report, this belief is based on assumptions that may prove to be wrong, and we could use our available capital resources sooner than we currently expect.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capital requirements for TX45, TX2100 or our preclinical programs will depend on many factors, including:</w:t>
      </w:r>
    </w:p>
    <w:p>
      <w:pPr>
        <w:spacing w:after="0" w:line="117" w:lineRule="exact"/>
        <w:rPr>
          <w:sz w:val="20"/>
          <w:szCs w:val="20"/>
          <w:color w:val="auto"/>
        </w:rPr>
      </w:pPr>
    </w:p>
    <w:p>
      <w:pPr>
        <w:ind w:left="960" w:right="40" w:hanging="51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67"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Harvard and other license agreements, as applicable;</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17" w:lineRule="exact"/>
        <w:rPr>
          <w:rFonts w:ascii="Times New Roman" w:cs="Times New Roman" w:eastAsia="Times New Roman" w:hAnsi="Times New Roman"/>
          <w:sz w:val="18"/>
          <w:szCs w:val="18"/>
          <w:color w:val="auto"/>
        </w:rPr>
      </w:pPr>
    </w:p>
    <w:p>
      <w:pPr>
        <w:ind w:left="960" w:right="160" w:hanging="51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53" w:lineRule="exact"/>
        <w:rPr>
          <w:rFonts w:ascii="Times New Roman" w:cs="Times New Roman" w:eastAsia="Times New Roman" w:hAnsi="Times New Roman"/>
          <w:sz w:val="18"/>
          <w:szCs w:val="18"/>
          <w:color w:val="auto"/>
        </w:rPr>
      </w:pPr>
    </w:p>
    <w:p>
      <w:pPr>
        <w:ind w:left="960" w:right="1060" w:hanging="51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53" w:lineRule="exact"/>
        <w:rPr>
          <w:rFonts w:ascii="Times New Roman" w:cs="Times New Roman" w:eastAsia="Times New Roman" w:hAnsi="Times New Roman"/>
          <w:sz w:val="18"/>
          <w:szCs w:val="18"/>
          <w:color w:val="auto"/>
        </w:rPr>
      </w:pPr>
    </w:p>
    <w:p>
      <w:pPr>
        <w:ind w:left="960" w:right="60" w:hanging="51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17"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17" w:lineRule="exact"/>
        <w:rPr>
          <w:rFonts w:ascii="Times New Roman" w:cs="Times New Roman" w:eastAsia="Times New Roman" w:hAnsi="Times New Roman"/>
          <w:sz w:val="18"/>
          <w:szCs w:val="18"/>
          <w:color w:val="auto"/>
        </w:rPr>
      </w:pPr>
    </w:p>
    <w:p>
      <w:pPr>
        <w:ind w:left="960" w:right="740" w:hanging="51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53" w:lineRule="exact"/>
        <w:rPr>
          <w:rFonts w:ascii="Times New Roman" w:cs="Times New Roman" w:eastAsia="Times New Roman" w:hAnsi="Times New Roman"/>
          <w:sz w:val="18"/>
          <w:szCs w:val="18"/>
          <w:color w:val="auto"/>
        </w:rPr>
      </w:pPr>
    </w:p>
    <w:p>
      <w:pPr>
        <w:ind w:left="960" w:right="280" w:hanging="51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w:t>
      </w:r>
    </w:p>
    <w:p>
      <w:pPr>
        <w:spacing w:after="0" w:line="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Market volatility resulting from geopolitical and economic instability, including the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t>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our product candidates.</w:t>
      </w:r>
    </w:p>
    <w:p>
      <w:pPr>
        <w:spacing w:after="0" w:line="5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an effective shelf registration statement on Form S-3 filed with the SEC, which we may use to offer from time to time any combination of debt securities, common stock, preferred stock and warrants up to an aggregate amount of $400 million. Of this amount, we have the ability to sell up to $100 million of additional shares of our common stock to the public through an “at the market offering” pursuant to a sales agreement that we entered into with TD Securities (USA) LLC on July 7, 2025. Any shares of common stock issued in the “at the market offering” will result in dilution to our existing stockholders.</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18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If we are unable to advance TX45, TX2100, or any of our other product candidates through clinical development, obtain regulatory approval and ultimately commercialize TX45, TX2100 or any of our other product candidates, or experience significant delays in doing so, our business will be materially harmed.</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candidates, TX45 and TX2100,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2 clinical trials.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in the foreseeable future, if ever, will depend heavily on the successful development and eventual commercialization of TX45, TX2100, and any future product candidates we develop, which may never occur. TX45, TX2100, and any future product candidates we develop will require additional preclinical and clinical development, management of clinical, preclinical and manufacturing activities, marketing approval in</w:t>
      </w:r>
    </w:p>
    <w:p>
      <w:pPr>
        <w:spacing w:after="0" w:line="1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4" w:name="page35"/>
    <w:bookmarkEnd w:id="34"/>
    <w:p>
      <w:pPr>
        <w:ind w:right="60"/>
        <w:spacing w:after="0" w:line="261" w:lineRule="auto"/>
        <w:rPr>
          <w:sz w:val="20"/>
          <w:szCs w:val="20"/>
          <w:color w:val="auto"/>
        </w:rPr>
      </w:pPr>
      <w:r>
        <w:rPr>
          <w:rFonts w:ascii="Times New Roman" w:cs="Times New Roman" w:eastAsia="Times New Roman" w:hAnsi="Times New Roman"/>
          <w:sz w:val="18"/>
          <w:szCs w:val="18"/>
          <w:color w:val="auto"/>
        </w:rPr>
        <w:t>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72" w:lineRule="exact"/>
        <w:rPr>
          <w:sz w:val="20"/>
          <w:szCs w:val="20"/>
          <w:color w:val="auto"/>
        </w:rPr>
      </w:pPr>
    </w:p>
    <w:p>
      <w:pPr>
        <w:ind w:left="960" w:right="4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17" w:lineRule="exact"/>
        <w:rPr>
          <w:rFonts w:ascii="Times New Roman" w:cs="Times New Roman" w:eastAsia="Times New Roman" w:hAnsi="Times New Roman"/>
          <w:sz w:val="18"/>
          <w:szCs w:val="18"/>
          <w:color w:val="auto"/>
        </w:rPr>
      </w:pPr>
    </w:p>
    <w:p>
      <w:pPr>
        <w:ind w:left="960" w:right="4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53" w:lineRule="exact"/>
        <w:rPr>
          <w:rFonts w:ascii="Times New Roman" w:cs="Times New Roman" w:eastAsia="Times New Roman" w:hAnsi="Times New Roman"/>
          <w:sz w:val="18"/>
          <w:szCs w:val="18"/>
          <w:color w:val="auto"/>
        </w:rPr>
      </w:pPr>
    </w:p>
    <w:p>
      <w:pPr>
        <w:ind w:left="960" w:right="4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60" w:right="30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960" w:right="12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17" w:lineRule="exact"/>
        <w:rPr>
          <w:rFonts w:ascii="Times New Roman" w:cs="Times New Roman" w:eastAsia="Times New Roman" w:hAnsi="Times New Roman"/>
          <w:sz w:val="18"/>
          <w:szCs w:val="18"/>
          <w:color w:val="auto"/>
        </w:rPr>
      </w:pPr>
    </w:p>
    <w:p>
      <w:pPr>
        <w:ind w:left="960" w:right="560" w:hanging="51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we have completed the Phase 1a trial in normal healthy volunteers and Phase 1b in patients with Group 2 Pulmonary Hypertension associated with HFrEF and HFpEF for TX45.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is still in preclinical studies. The in-life portion of the IND-enabling</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093" w:right="399" w:bottom="1440" w:gutter="0" w:footer="0" w:header="0"/>
        </w:sectPr>
      </w:pPr>
    </w:p>
    <w:bookmarkStart w:id="35" w:name="page36"/>
    <w:bookmarkEnd w:id="35"/>
    <w:p>
      <w:pPr>
        <w:ind w:right="120"/>
        <w:spacing w:after="0" w:line="261" w:lineRule="auto"/>
        <w:rPr>
          <w:sz w:val="20"/>
          <w:szCs w:val="20"/>
          <w:color w:val="auto"/>
        </w:rPr>
      </w:pPr>
      <w:r>
        <w:rPr>
          <w:rFonts w:ascii="Times New Roman" w:cs="Times New Roman" w:eastAsia="Times New Roman" w:hAnsi="Times New Roman"/>
          <w:sz w:val="18"/>
          <w:szCs w:val="18"/>
          <w:color w:val="auto"/>
        </w:rPr>
        <w:t>NHP GLP toxicology studies for TX2100 are now complete however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TX2100 or any future product candidates, including:</w:t>
      </w:r>
    </w:p>
    <w:p>
      <w:pPr>
        <w:spacing w:after="0" w:line="72" w:lineRule="exact"/>
        <w:rPr>
          <w:sz w:val="20"/>
          <w:szCs w:val="20"/>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60" w:right="4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17" w:lineRule="exact"/>
        <w:rPr>
          <w:rFonts w:ascii="Times New Roman" w:cs="Times New Roman" w:eastAsia="Times New Roman" w:hAnsi="Times New Roman"/>
          <w:sz w:val="18"/>
          <w:szCs w:val="18"/>
          <w:color w:val="auto"/>
        </w:rPr>
      </w:pPr>
    </w:p>
    <w:p>
      <w:pPr>
        <w:ind w:left="960" w:right="360" w:hanging="514"/>
        <w:spacing w:after="0" w:line="261"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71" w:lineRule="exact"/>
        <w:rPr>
          <w:rFonts w:ascii="Times New Roman" w:cs="Times New Roman" w:eastAsia="Times New Roman" w:hAnsi="Times New Roman"/>
          <w:sz w:val="18"/>
          <w:szCs w:val="18"/>
          <w:color w:val="auto"/>
        </w:rPr>
      </w:pPr>
    </w:p>
    <w:p>
      <w:pPr>
        <w:ind w:left="960" w:right="20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53" w:lineRule="exact"/>
        <w:rPr>
          <w:rFonts w:ascii="Times New Roman" w:cs="Times New Roman" w:eastAsia="Times New Roman" w:hAnsi="Times New Roman"/>
          <w:sz w:val="18"/>
          <w:szCs w:val="18"/>
          <w:color w:val="auto"/>
        </w:rPr>
      </w:pPr>
    </w:p>
    <w:p>
      <w:pPr>
        <w:ind w:left="960" w:right="38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960" w:right="20" w:hanging="514"/>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approval of competing product candidates currently under investigation for the treatment of similar diseases or conditions, or competing clinical trials for similar product candidates, similar mechanisms of action or targeting patient populations meeting our patient eligibility criteria;</w:t>
      </w:r>
    </w:p>
    <w:p>
      <w:pPr>
        <w:spacing w:after="0" w:line="6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17" w:lineRule="exact"/>
        <w:rPr>
          <w:rFonts w:ascii="Times New Roman" w:cs="Times New Roman" w:eastAsia="Times New Roman" w:hAnsi="Times New Roman"/>
          <w:sz w:val="18"/>
          <w:szCs w:val="18"/>
          <w:color w:val="auto"/>
        </w:rPr>
      </w:pPr>
    </w:p>
    <w:p>
      <w:pPr>
        <w:ind w:left="960" w:right="20" w:hanging="51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17" w:lineRule="exact"/>
        <w:rPr>
          <w:rFonts w:ascii="Times New Roman" w:cs="Times New Roman" w:eastAsia="Times New Roman" w:hAnsi="Times New Roman"/>
          <w:sz w:val="18"/>
          <w:szCs w:val="18"/>
          <w:color w:val="auto"/>
        </w:rPr>
      </w:pPr>
    </w:p>
    <w:p>
      <w:pPr>
        <w:ind w:left="960" w:right="160" w:hanging="514"/>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6" w:name="page37"/>
    <w:bookmarkEnd w:id="36"/>
    <w:p>
      <w:pPr>
        <w:ind w:right="40"/>
        <w:spacing w:after="0" w:line="261" w:lineRule="auto"/>
        <w:rPr>
          <w:sz w:val="20"/>
          <w:szCs w:val="20"/>
          <w:color w:val="auto"/>
        </w:rPr>
      </w:pPr>
      <w:r>
        <w:rPr>
          <w:rFonts w:ascii="Times New Roman" w:cs="Times New Roman" w:eastAsia="Times New Roman" w:hAnsi="Times New Roman"/>
          <w:sz w:val="18"/>
          <w:szCs w:val="18"/>
          <w:color w:val="auto"/>
        </w:rPr>
        <w:t>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TX2100 and any other future product candidates, we must demonstrate through extensive preclinical studies and clinical trials that our biologic products, including TX45 and TX2100,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TX2100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8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TX2100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7" w:name="page38"/>
    <w:bookmarkEnd w:id="37"/>
    <w:p>
      <w:pPr>
        <w:ind w:right="340"/>
        <w:spacing w:after="0" w:line="282" w:lineRule="auto"/>
        <w:rPr>
          <w:sz w:val="20"/>
          <w:szCs w:val="20"/>
          <w:color w:val="auto"/>
        </w:rPr>
      </w:pPr>
      <w:r>
        <w:rPr>
          <w:rFonts w:ascii="Times New Roman" w:cs="Times New Roman" w:eastAsia="Times New Roman" w:hAnsi="Times New Roman"/>
          <w:sz w:val="18"/>
          <w:szCs w:val="18"/>
          <w:color w:val="auto"/>
        </w:rPr>
        <w:t>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product candidate TX45 has been generally well tolerated in its preclinical studies, the Phase 1a healthy volunteer trial and our Phase 1b trial in patients with Group 2 PH to date, the results from future preclinical studies and clinical trials, including any of our other product candidates, may identify safety concerns or other undesirable properties of our product candidates.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54" w:lineRule="exact"/>
        <w:rPr>
          <w:sz w:val="20"/>
          <w:szCs w:val="20"/>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17" w:lineRule="exact"/>
        <w:rPr>
          <w:rFonts w:ascii="Times New Roman" w:cs="Times New Roman" w:eastAsia="Times New Roman" w:hAnsi="Times New Roman"/>
          <w:sz w:val="18"/>
          <w:szCs w:val="18"/>
          <w:color w:val="auto"/>
        </w:rPr>
      </w:pPr>
    </w:p>
    <w:p>
      <w:pPr>
        <w:ind w:left="960" w:right="600" w:hanging="51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53" w:lineRule="exact"/>
        <w:rPr>
          <w:rFonts w:ascii="Times New Roman" w:cs="Times New Roman" w:eastAsia="Times New Roman" w:hAnsi="Times New Roman"/>
          <w:sz w:val="18"/>
          <w:szCs w:val="18"/>
          <w:color w:val="auto"/>
        </w:rPr>
      </w:pPr>
    </w:p>
    <w:p>
      <w:pPr>
        <w:ind w:left="960" w:right="140" w:hanging="514"/>
        <w:spacing w:after="0" w:line="312" w:lineRule="auto"/>
        <w:tabs>
          <w:tab w:leader="none" w:pos="9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31" w:lineRule="exact"/>
        <w:rPr>
          <w:rFonts w:ascii="Times New Roman" w:cs="Times New Roman" w:eastAsia="Times New Roman" w:hAnsi="Times New Roman"/>
          <w:sz w:val="17"/>
          <w:szCs w:val="17"/>
          <w:color w:val="auto"/>
        </w:rPr>
      </w:pPr>
    </w:p>
    <w:p>
      <w:pPr>
        <w:ind w:left="960" w:right="240" w:hanging="51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38" w:name="page39"/>
    <w:bookmarkEnd w:id="38"/>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84" w:lineRule="exact"/>
        <w:rPr>
          <w:sz w:val="20"/>
          <w:szCs w:val="20"/>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trial sites in Eastern Europe for the Phase 2 trial with their proximity to the conflict between Russia and the Ukraine;</w:t>
      </w:r>
    </w:p>
    <w:p>
      <w:pPr>
        <w:spacing w:after="0" w:line="117"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the inability to obtain, required approvals from institutional review boards (“IRBs”) and ethics committees or other governing entities at clinical trial sites selected for participation in our clinical trials;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clinical trial sites on clinical budgets and/or clinical trial agreements;</w:t>
      </w:r>
    </w:p>
    <w:p>
      <w:pPr>
        <w:spacing w:after="0" w:line="117" w:lineRule="exact"/>
        <w:rPr>
          <w:rFonts w:ascii="Times New Roman" w:cs="Times New Roman" w:eastAsia="Times New Roman" w:hAnsi="Times New Roman"/>
          <w:sz w:val="18"/>
          <w:szCs w:val="18"/>
          <w:color w:val="auto"/>
        </w:rPr>
      </w:pPr>
    </w:p>
    <w:p>
      <w:pPr>
        <w:ind w:left="960" w:right="760" w:hanging="51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failures to conduct the trial in accordance with regulatory requirements;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17" w:lineRule="exact"/>
        <w:rPr>
          <w:rFonts w:ascii="Times New Roman" w:cs="Times New Roman" w:eastAsia="Times New Roman" w:hAnsi="Times New Roman"/>
          <w:sz w:val="18"/>
          <w:szCs w:val="18"/>
          <w:color w:val="auto"/>
        </w:rPr>
      </w:pPr>
    </w:p>
    <w:p>
      <w:pPr>
        <w:jc w:val="both"/>
        <w:ind w:left="960" w:right="500" w:hanging="514"/>
        <w:spacing w:after="0" w:line="312" w:lineRule="auto"/>
        <w:tabs>
          <w:tab w:leader="none" w:pos="9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31" w:lineRule="exact"/>
        <w:rPr>
          <w:rFonts w:ascii="Times New Roman" w:cs="Times New Roman" w:eastAsia="Times New Roman" w:hAnsi="Times New Roman"/>
          <w:sz w:val="17"/>
          <w:szCs w:val="17"/>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9" w:name="page40"/>
    <w:bookmarkEnd w:id="39"/>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2 clinical trial for TX45, we cannot be certain of the timely completion or outcome of our preclinical testing and studies for our other product candidates, such as TX2100,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such as TX2100, on the timelines we expect, if at all, and we cannot be sure that submission of INDs or similar applications will result in the FDA or comparable foreign regulatory authorities allowing clinical trials to begin.</w:t>
      </w:r>
    </w:p>
    <w:p>
      <w:pPr>
        <w:spacing w:after="0" w:line="190"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960" w:hanging="51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60" w:right="660" w:hanging="51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40" w:name="page41"/>
    <w:bookmarkEnd w:id="40"/>
    <w:p>
      <w:pPr>
        <w:ind w:left="960" w:right="260" w:hanging="51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53" w:lineRule="exact"/>
        <w:rPr>
          <w:rFonts w:ascii="Times New Roman" w:cs="Times New Roman" w:eastAsia="Times New Roman" w:hAnsi="Times New Roman"/>
          <w:sz w:val="18"/>
          <w:szCs w:val="18"/>
          <w:color w:val="auto"/>
        </w:rPr>
      </w:pPr>
    </w:p>
    <w:p>
      <w:pPr>
        <w:ind w:left="960" w:right="260" w:hanging="51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960" w:right="140" w:hanging="51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53" w:lineRule="exact"/>
        <w:rPr>
          <w:rFonts w:ascii="Times New Roman" w:cs="Times New Roman" w:eastAsia="Times New Roman" w:hAnsi="Times New Roman"/>
          <w:sz w:val="18"/>
          <w:szCs w:val="18"/>
          <w:color w:val="auto"/>
        </w:rPr>
      </w:pPr>
    </w:p>
    <w:p>
      <w:pPr>
        <w:ind w:left="960" w:right="40" w:hanging="514"/>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960" w:right="120" w:hanging="51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960" w:right="440" w:hanging="51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41" w:name="page42"/>
    <w:bookmarkEnd w:id="41"/>
    <w:p>
      <w:pPr>
        <w:ind w:right="540"/>
        <w:spacing w:after="0" w:line="266" w:lineRule="auto"/>
        <w:rPr>
          <w:sz w:val="20"/>
          <w:szCs w:val="20"/>
          <w:color w:val="auto"/>
        </w:rPr>
      </w:pPr>
      <w:r>
        <w:rPr>
          <w:rFonts w:ascii="Times New Roman" w:cs="Times New Roman" w:eastAsia="Times New Roman" w:hAnsi="Times New Roman"/>
          <w:sz w:val="18"/>
          <w:szCs w:val="18"/>
          <w:color w:val="auto"/>
        </w:rPr>
        <w:t>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w:t>
      </w:r>
    </w:p>
    <w:p>
      <w:pPr>
        <w:spacing w:after="0" w:line="6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960" w:right="74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2" w:name="page43"/>
    <w:bookmarkEnd w:id="42"/>
    <w:p>
      <w:pPr>
        <w:ind w:right="40"/>
        <w:spacing w:after="0" w:line="261" w:lineRule="auto"/>
        <w:rPr>
          <w:sz w:val="20"/>
          <w:szCs w:val="20"/>
          <w:color w:val="auto"/>
        </w:rPr>
      </w:pPr>
      <w:r>
        <w:rPr>
          <w:rFonts w:ascii="Times New Roman" w:cs="Times New Roman" w:eastAsia="Times New Roman" w:hAnsi="Times New Roman"/>
          <w:sz w:val="18"/>
          <w:szCs w:val="18"/>
          <w:color w:val="auto"/>
        </w:rPr>
        <w:t>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8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4" w:lineRule="exact"/>
        <w:rPr>
          <w:sz w:val="20"/>
          <w:szCs w:val="20"/>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3" w:name="page44"/>
    <w:bookmarkEnd w:id="43"/>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158"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candidates TX45 and TX2100, our business, financial condition and results of operations could be materially adversely affected.</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TX2100 or any other product candidate, our ability to generate revenues from any such products will depend on our success in:</w:t>
      </w:r>
    </w:p>
    <w:p>
      <w:pPr>
        <w:spacing w:after="0" w:line="54" w:lineRule="exact"/>
        <w:rPr>
          <w:sz w:val="20"/>
          <w:szCs w:val="20"/>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17" w:lineRule="exact"/>
        <w:rPr>
          <w:rFonts w:ascii="Times New Roman" w:cs="Times New Roman" w:eastAsia="Times New Roman" w:hAnsi="Times New Roman"/>
          <w:sz w:val="18"/>
          <w:szCs w:val="18"/>
          <w:color w:val="auto"/>
        </w:rPr>
      </w:pPr>
    </w:p>
    <w:p>
      <w:pPr>
        <w:ind w:left="960" w:right="360" w:hanging="51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17" w:lineRule="exact"/>
        <w:rPr>
          <w:rFonts w:ascii="Times New Roman" w:cs="Times New Roman" w:eastAsia="Times New Roman" w:hAnsi="Times New Roman"/>
          <w:sz w:val="18"/>
          <w:szCs w:val="18"/>
          <w:color w:val="auto"/>
        </w:rPr>
      </w:pPr>
    </w:p>
    <w:p>
      <w:pPr>
        <w:ind w:left="960" w:right="420" w:hanging="51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53" w:lineRule="exact"/>
        <w:rPr>
          <w:rFonts w:ascii="Times New Roman" w:cs="Times New Roman" w:eastAsia="Times New Roman" w:hAnsi="Times New Roman"/>
          <w:sz w:val="18"/>
          <w:szCs w:val="18"/>
          <w:color w:val="auto"/>
        </w:rPr>
      </w:pPr>
    </w:p>
    <w:p>
      <w:pPr>
        <w:ind w:left="960" w:right="100" w:hanging="51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45" w:name="page46"/>
    <w:bookmarkEnd w:id="45"/>
    <w:p>
      <w:pPr>
        <w:ind w:right="100"/>
        <w:spacing w:after="0" w:line="254"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Group 3 PH-ILD, and Hereditary Hemorrhagic Telangiectasia (“HHT”) disorders. Although there are no other companies who have commercialized therapies for Group 2 PH or HHT, there are many other companies, including large biotechnology and pharmaceutical companies, that are developing therapies for these therapeutic areas. For example, AstraZeneca, Merck and Tenax Therapeutics for the treatment of Group 2 PH and Diagonal Therapeutics and Vaderis Therapeutics for the treatment of HHT. For PH-ILD, United Therapeutics and Liquidia have commercialized therapies, while Insmed, Gossamar, Pulmovant, Halo Biosciences and Foresee Pharmaceuticals are developing therapies for PH-ILD. In addition, in January 2025, Eli Lilly terminated its Phase 2 trial of volenrelaxin, which has affected investor perception of relaxin product candidates in general.</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18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84" w:lineRule="exact"/>
        <w:rPr>
          <w:sz w:val="20"/>
          <w:szCs w:val="20"/>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17" w:lineRule="exact"/>
        <w:rPr>
          <w:rFonts w:ascii="Times New Roman" w:cs="Times New Roman" w:eastAsia="Times New Roman" w:hAnsi="Times New Roman"/>
          <w:sz w:val="18"/>
          <w:szCs w:val="18"/>
          <w:color w:val="auto"/>
        </w:rPr>
      </w:pPr>
    </w:p>
    <w:p>
      <w:pPr>
        <w:ind w:left="960" w:right="300" w:hanging="51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6" w:name="page47"/>
    <w:bookmarkEnd w:id="46"/>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72" w:lineRule="exact"/>
        <w:rPr>
          <w:sz w:val="20"/>
          <w:szCs w:val="20"/>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17" w:lineRule="exact"/>
        <w:rPr>
          <w:rFonts w:ascii="Times New Roman" w:cs="Times New Roman" w:eastAsia="Times New Roman" w:hAnsi="Times New Roman"/>
          <w:sz w:val="18"/>
          <w:szCs w:val="18"/>
          <w:color w:val="auto"/>
        </w:rPr>
      </w:pPr>
    </w:p>
    <w:p>
      <w:pPr>
        <w:ind w:left="960" w:right="20" w:hanging="51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22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TX2100 and any potential future product candidates, if approved.</w:t>
      </w:r>
    </w:p>
    <w:p>
      <w:pPr>
        <w:spacing w:after="0" w:line="5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TX2100 or any potential future product candidates, restrict or regulate post-approval activities and affect our ability to profitably sell any product for which we obtain marketing approval.</w:t>
      </w:r>
    </w:p>
    <w:p>
      <w:pPr>
        <w:spacing w:after="0" w:line="5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97" w:right="35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t>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TX2100 and any potential future product candidates, which would adversely affect our business.</w:t>
      </w:r>
    </w:p>
    <w:p>
      <w:pPr>
        <w:spacing w:after="0" w:line="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and proposals include, for example: (1) reducing agency workforce; (2) directing program cuts; (3)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(6) directing certain federal agencies to enforce existing law regarding hospital and plan price transparency and by standardizing prices across hospitals and health plans; and (7)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w:t>
      </w:r>
    </w:p>
    <w:p>
      <w:pPr>
        <w:spacing w:after="0" w:line="1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Such reforms could have an adverse effect on anticipated revenue from TX45, TX2100 and any potential future product candidates that we may successfully develop and for which we may obtain regulatory approval and may affect our overall financial condition and ability to develop product candidates.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7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continues or occurs in the future,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9" w:name="page50"/>
    <w:bookmarkEnd w:id="49"/>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75" w:lineRule="exact"/>
        <w:rPr>
          <w:sz w:val="20"/>
          <w:szCs w:val="20"/>
          <w:color w:val="auto"/>
        </w:rPr>
      </w:pPr>
    </w:p>
    <w:p>
      <w:pPr>
        <w:ind w:left="960" w:right="40" w:hanging="514"/>
        <w:spacing w:after="0" w:line="271" w:lineRule="auto"/>
        <w:tabs>
          <w:tab w:leader="none" w:pos="9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65" w:lineRule="exact"/>
        <w:rPr>
          <w:rFonts w:ascii="Times New Roman" w:cs="Times New Roman" w:eastAsia="Times New Roman" w:hAnsi="Times New Roman"/>
          <w:sz w:val="17"/>
          <w:szCs w:val="17"/>
          <w:color w:val="auto"/>
        </w:rPr>
      </w:pPr>
    </w:p>
    <w:p>
      <w:pPr>
        <w:ind w:left="960" w:right="200" w:hanging="514"/>
        <w:spacing w:after="0" w:line="255"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0" w:lineRule="exact"/>
        <w:rPr>
          <w:rFonts w:ascii="Times New Roman" w:cs="Times New Roman" w:eastAsia="Times New Roman" w:hAnsi="Times New Roman"/>
          <w:sz w:val="18"/>
          <w:szCs w:val="18"/>
          <w:color w:val="auto"/>
        </w:rPr>
      </w:pPr>
    </w:p>
    <w:p>
      <w:pPr>
        <w:ind w:left="960" w:hanging="514"/>
        <w:spacing w:after="0" w:line="258"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960" w:right="40" w:hanging="514"/>
        <w:spacing w:after="0" w:line="253"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86" w:lineRule="exact"/>
        <w:rPr>
          <w:rFonts w:ascii="Times New Roman" w:cs="Times New Roman" w:eastAsia="Times New Roman" w:hAnsi="Times New Roman"/>
          <w:sz w:val="18"/>
          <w:szCs w:val="18"/>
          <w:color w:val="auto"/>
        </w:rPr>
      </w:pPr>
    </w:p>
    <w:p>
      <w:pPr>
        <w:ind w:left="960" w:right="100" w:hanging="514"/>
        <w:spacing w:after="0" w:line="25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960" w:right="340" w:hanging="51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w:t>
      </w:r>
    </w:p>
    <w:p>
      <w:pPr>
        <w:spacing w:after="0" w:line="2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50" w:name="page51"/>
    <w:bookmarkEnd w:id="50"/>
    <w:p>
      <w:pPr>
        <w:ind w:left="960" w:right="120"/>
        <w:spacing w:after="0" w:line="254" w:lineRule="auto"/>
        <w:rPr>
          <w:sz w:val="20"/>
          <w:szCs w:val="20"/>
          <w:color w:val="auto"/>
        </w:rPr>
      </w:pPr>
      <w:r>
        <w:rPr>
          <w:rFonts w:ascii="Times New Roman" w:cs="Times New Roman" w:eastAsia="Times New Roman" w:hAnsi="Times New Roman"/>
          <w:sz w:val="18"/>
          <w:szCs w:val="18"/>
          <w:color w:val="auto"/>
        </w:rPr>
        <w:t>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exposed to the possibility of product supply disruption and increased costs in the event of changes in the policies, laws, rules and regulations of the United States or Chinese governments, as well as political unrest or unstable economic conditions in China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On October 9, 2025, the Senate of the current Congress (the 119th Congress) passed its version of the National Defense Authorization Act (NDAA) for Fiscal Year 2026, which includes an amendment prohibiting contracting with certain biotechnology providers. While the amendment includes the same general prohibitions around government funding, contracts, and grants to certain biotechnology companies and entities which contract with such companies, there are certain differences from the versions of the BIOSECURE Act proposed by the prior 118th Congress. Rather than explicitly naming the companies of concern, the amendment defines a “biotechnology company</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1" w:name="page52"/>
    <w:bookmarkEnd w:id="51"/>
    <w:p>
      <w:pPr>
        <w:spacing w:after="0" w:line="254" w:lineRule="auto"/>
        <w:rPr>
          <w:sz w:val="20"/>
          <w:szCs w:val="20"/>
          <w:color w:val="auto"/>
        </w:rPr>
      </w:pPr>
      <w:r>
        <w:rPr>
          <w:rFonts w:ascii="Times New Roman" w:cs="Times New Roman" w:eastAsia="Times New Roman" w:hAnsi="Times New Roman"/>
          <w:sz w:val="18"/>
          <w:szCs w:val="18"/>
          <w:color w:val="auto"/>
        </w:rPr>
        <w:t>of concern” as an entity that is identified on the annual 1260H List of Chinese military companies issued by the U.S. Department of Defense, any entity designated by the U.S. Government, and certain subsidiaries, parents, affiliates, and successors of the foregoing. In addition, the amendment provides a grandfathering period of five years for entities that are designated by the U.S. Government; however, entities identified on the 1260H List are not eligible for such grandfathering period. The House and Senate of the current Congress will need to reconcile their respective versions of the NDAA and therefore it is possible for the language to further change and be amended, or even for the amendment to be removed from the final reconciled version of the NDAA.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spacing w:after="0" w:line="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Phase 2 clinical trials. We currently have a sole source relationship with WuXi Biologics for our supply of TX45.</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2" w:name="page53"/>
    <w:bookmarkEnd w:id="52"/>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expectations or the treatment population is narrowed by competition, physician choice or treatment guidelines, we may not generate significant revenue from sales of such products, even if approved.</w:t>
      </w:r>
    </w:p>
    <w:p>
      <w:pPr>
        <w:spacing w:after="0" w:line="17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TX2100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8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w:t>
      </w:r>
    </w:p>
    <w:p>
      <w:pPr>
        <w:spacing w:after="0" w:line="1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1" w:right="339" w:bottom="1440" w:gutter="0" w:footer="0" w:header="0"/>
        </w:sectPr>
      </w:pPr>
    </w:p>
    <w:bookmarkStart w:id="53" w:name="page54"/>
    <w:bookmarkEnd w:id="53"/>
    <w:p>
      <w:pPr>
        <w:ind w:right="160"/>
        <w:spacing w:after="0" w:line="266" w:lineRule="auto"/>
        <w:rPr>
          <w:sz w:val="20"/>
          <w:szCs w:val="20"/>
          <w:color w:val="auto"/>
        </w:rPr>
      </w:pPr>
      <w:r>
        <w:rPr>
          <w:rFonts w:ascii="Times New Roman" w:cs="Times New Roman" w:eastAsia="Times New Roman" w:hAnsi="Times New Roman"/>
          <w:sz w:val="18"/>
          <w:szCs w:val="18"/>
          <w:color w:val="auto"/>
        </w:rPr>
        <w:t>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54" w:name="page55"/>
    <w:bookmarkEnd w:id="54"/>
    <w:p>
      <w:pPr>
        <w:ind w:right="2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8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960" w:right="120" w:hanging="51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53"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53" w:lineRule="exact"/>
        <w:rPr>
          <w:rFonts w:ascii="Times New Roman" w:cs="Times New Roman" w:eastAsia="Times New Roman" w:hAnsi="Times New Roman"/>
          <w:sz w:val="18"/>
          <w:szCs w:val="18"/>
          <w:color w:val="auto"/>
        </w:rPr>
      </w:pPr>
    </w:p>
    <w:p>
      <w:pPr>
        <w:ind w:left="960" w:right="500" w:hanging="51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7" w:lineRule="exact"/>
        <w:rPr>
          <w:rFonts w:ascii="Times New Roman" w:cs="Times New Roman" w:eastAsia="Times New Roman" w:hAnsi="Times New Roman"/>
          <w:sz w:val="18"/>
          <w:szCs w:val="18"/>
          <w:color w:val="auto"/>
        </w:rPr>
      </w:pPr>
    </w:p>
    <w:p>
      <w:pPr>
        <w:ind w:left="960" w:right="140" w:hanging="51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17" w:lineRule="exact"/>
        <w:rPr>
          <w:rFonts w:ascii="Times New Roman" w:cs="Times New Roman" w:eastAsia="Times New Roman" w:hAnsi="Times New Roman"/>
          <w:sz w:val="18"/>
          <w:szCs w:val="18"/>
          <w:color w:val="auto"/>
        </w:rPr>
      </w:pPr>
    </w:p>
    <w:p>
      <w:pPr>
        <w:ind w:left="960" w:right="260" w:hanging="51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 own;</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55" w:name="page56"/>
    <w:bookmarkEnd w:id="55"/>
    <w:p>
      <w:pPr>
        <w:ind w:left="960" w:right="10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960" w:right="64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53" w:lineRule="exact"/>
        <w:rPr>
          <w:rFonts w:ascii="Times New Roman" w:cs="Times New Roman" w:eastAsia="Times New Roman" w:hAnsi="Times New Roman"/>
          <w:sz w:val="18"/>
          <w:szCs w:val="18"/>
          <w:color w:val="auto"/>
        </w:rPr>
      </w:pPr>
    </w:p>
    <w:p>
      <w:pPr>
        <w:ind w:left="960" w:right="2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53" w:lineRule="exact"/>
        <w:rPr>
          <w:rFonts w:ascii="Times New Roman" w:cs="Times New Roman" w:eastAsia="Times New Roman" w:hAnsi="Times New Roman"/>
          <w:sz w:val="18"/>
          <w:szCs w:val="18"/>
          <w:color w:val="auto"/>
        </w:rPr>
      </w:pPr>
    </w:p>
    <w:p>
      <w:pPr>
        <w:ind w:left="960" w:hanging="514"/>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7" w:lineRule="exact"/>
        <w:rPr>
          <w:rFonts w:ascii="Times New Roman" w:cs="Times New Roman" w:eastAsia="Times New Roman" w:hAnsi="Times New Roman"/>
          <w:sz w:val="18"/>
          <w:szCs w:val="18"/>
          <w:color w:val="auto"/>
        </w:rPr>
      </w:pPr>
    </w:p>
    <w:p>
      <w:pPr>
        <w:ind w:left="960" w:right="220" w:hanging="514"/>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7" w:lineRule="exact"/>
        <w:rPr>
          <w:rFonts w:ascii="Times New Roman" w:cs="Times New Roman" w:eastAsia="Times New Roman" w:hAnsi="Times New Roman"/>
          <w:sz w:val="18"/>
          <w:szCs w:val="18"/>
          <w:color w:val="auto"/>
        </w:rPr>
      </w:pPr>
    </w:p>
    <w:p>
      <w:pPr>
        <w:ind w:left="960" w:right="220" w:hanging="51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including Harvard. Any termination of these licenses could result in the loss of significant rights and could harm our ability to commercialize our product candidates.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960" w:right="80" w:hanging="51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960" w:hanging="51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960" w:right="200" w:hanging="51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licenses with a third party, we could lose license rights that are important to our business.</w:t>
      </w:r>
    </w:p>
    <w:p>
      <w:pPr>
        <w:spacing w:after="0" w:line="5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a party to license agreements pursuant to which we in-license key patent and patent applications for our product candidates. These existing licenses impose various diligence, milestone payment, royalty, insurance and other obligations on</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56" w:name="page57"/>
    <w:bookmarkEnd w:id="56"/>
    <w:p>
      <w:pPr>
        <w:ind w:right="40"/>
        <w:spacing w:after="0" w:line="258" w:lineRule="auto"/>
        <w:rPr>
          <w:sz w:val="20"/>
          <w:szCs w:val="20"/>
          <w:color w:val="auto"/>
        </w:rPr>
      </w:pPr>
      <w:r>
        <w:rPr>
          <w:rFonts w:ascii="Times New Roman" w:cs="Times New Roman" w:eastAsia="Times New Roman" w:hAnsi="Times New Roman"/>
          <w:sz w:val="18"/>
          <w:szCs w:val="18"/>
          <w:color w:val="auto"/>
        </w:rPr>
        <w:t>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techniques, including through contractual means with our employees and consultants, third parties may independently develop substantially equivalent proprietary information and techniques or otherwise gain access to, or disclose, our technology.</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57" w:name="page58"/>
    <w:bookmarkEnd w:id="57"/>
    <w:p>
      <w:pPr>
        <w:ind w:right="100"/>
        <w:spacing w:after="0" w:line="266" w:lineRule="auto"/>
        <w:rPr>
          <w:sz w:val="20"/>
          <w:szCs w:val="20"/>
          <w:color w:val="auto"/>
        </w:rPr>
      </w:pPr>
      <w:r>
        <w:rPr>
          <w:rFonts w:ascii="Times New Roman" w:cs="Times New Roman" w:eastAsia="Times New Roman" w:hAnsi="Times New Roman"/>
          <w:sz w:val="18"/>
          <w:szCs w:val="18"/>
          <w:color w:val="auto"/>
        </w:rPr>
        <w:t>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17" w:lineRule="exact"/>
        <w:rPr>
          <w:sz w:val="20"/>
          <w:szCs w:val="20"/>
          <w:color w:val="auto"/>
        </w:rPr>
      </w:pPr>
    </w:p>
    <w:p>
      <w:pPr>
        <w:ind w:left="960" w:hanging="51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53" w:lineRule="exact"/>
        <w:rPr>
          <w:rFonts w:ascii="Times New Roman" w:cs="Times New Roman" w:eastAsia="Times New Roman" w:hAnsi="Times New Roman"/>
          <w:sz w:val="18"/>
          <w:szCs w:val="18"/>
          <w:color w:val="auto"/>
        </w:rPr>
      </w:pPr>
    </w:p>
    <w:p>
      <w:pPr>
        <w:ind w:left="960" w:right="40" w:hanging="514"/>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960" w:right="180" w:hanging="51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intellectual property rights to us, which it is not required to do;</w:t>
      </w:r>
    </w:p>
    <w:p>
      <w:pPr>
        <w:spacing w:after="0" w:line="53" w:lineRule="exact"/>
        <w:rPr>
          <w:rFonts w:ascii="Times New Roman" w:cs="Times New Roman" w:eastAsia="Times New Roman" w:hAnsi="Times New Roman"/>
          <w:sz w:val="18"/>
          <w:szCs w:val="18"/>
          <w:color w:val="auto"/>
        </w:rPr>
      </w:pPr>
    </w:p>
    <w:p>
      <w:pPr>
        <w:ind w:left="960" w:right="260" w:hanging="51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w:t>
      </w:r>
    </w:p>
    <w:p>
      <w:pPr>
        <w:spacing w:after="0" w:line="53" w:lineRule="exact"/>
        <w:rPr>
          <w:rFonts w:ascii="Times New Roman" w:cs="Times New Roman" w:eastAsia="Times New Roman" w:hAnsi="Times New Roman"/>
          <w:sz w:val="18"/>
          <w:szCs w:val="18"/>
          <w:color w:val="auto"/>
        </w:rPr>
      </w:pPr>
    </w:p>
    <w:p>
      <w:pPr>
        <w:ind w:left="960" w:right="480" w:hanging="51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960" w:right="80" w:hanging="514"/>
        <w:spacing w:after="0" w:line="261"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TX2100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58" w:name="page59"/>
    <w:bookmarkEnd w:id="58"/>
    <w:p>
      <w:pPr>
        <w:ind w:right="100"/>
        <w:spacing w:after="0" w:line="261" w:lineRule="auto"/>
        <w:rPr>
          <w:sz w:val="20"/>
          <w:szCs w:val="20"/>
          <w:color w:val="auto"/>
        </w:rPr>
      </w:pPr>
      <w:r>
        <w:rPr>
          <w:rFonts w:ascii="Times New Roman" w:cs="Times New Roman" w:eastAsia="Times New Roman" w:hAnsi="Times New Roman"/>
          <w:sz w:val="18"/>
          <w:szCs w:val="18"/>
          <w:color w:val="auto"/>
        </w:rPr>
        <w:t>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and TX2100.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w:t>
      </w:r>
    </w:p>
    <w:p>
      <w:pPr>
        <w:spacing w:after="0" w:line="1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59" w:name="page60"/>
    <w:bookmarkEnd w:id="59"/>
    <w:p>
      <w:pPr>
        <w:ind w:right="120"/>
        <w:spacing w:after="0" w:line="282" w:lineRule="auto"/>
        <w:rPr>
          <w:sz w:val="20"/>
          <w:szCs w:val="20"/>
          <w:color w:val="auto"/>
        </w:rPr>
      </w:pPr>
      <w:r>
        <w:rPr>
          <w:rFonts w:ascii="Times New Roman" w:cs="Times New Roman" w:eastAsia="Times New Roman" w:hAnsi="Times New Roman"/>
          <w:sz w:val="18"/>
          <w:szCs w:val="18"/>
          <w:color w:val="auto"/>
        </w:rPr>
        <w:t>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8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related to our patents or the patents of our licensors, which could be expensive, time-consuming and unsuccessful.</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8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w:t>
      </w:r>
    </w:p>
    <w:p>
      <w:pPr>
        <w:spacing w:after="0" w:line="1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0" w:name="page61"/>
    <w:bookmarkEnd w:id="60"/>
    <w:p>
      <w:pPr>
        <w:ind w:right="240"/>
        <w:spacing w:after="0" w:line="266" w:lineRule="auto"/>
        <w:rPr>
          <w:sz w:val="20"/>
          <w:szCs w:val="20"/>
          <w:color w:val="auto"/>
        </w:rPr>
      </w:pPr>
      <w:r>
        <w:rPr>
          <w:rFonts w:ascii="Times New Roman" w:cs="Times New Roman" w:eastAsia="Times New Roman" w:hAnsi="Times New Roman"/>
          <w:sz w:val="18"/>
          <w:szCs w:val="18"/>
          <w:color w:val="auto"/>
        </w:rPr>
        <w:t>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2045, without taking into account any possible patent term adjustments or extensions. However, we cannot be assured that the USPTO or relevant foreign patent offices will grant any of these patent applications.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its 2023 decision in </w:t>
      </w:r>
      <w:r>
        <w:rPr>
          <w:rFonts w:ascii="Times New Roman" w:cs="Times New Roman" w:eastAsia="Times New Roman" w:hAnsi="Times New Roman"/>
          <w:sz w:val="18"/>
          <w:szCs w:val="18"/>
          <w:i w:val="1"/>
          <w:iCs w:val="1"/>
          <w:color w:val="auto"/>
        </w:rPr>
        <w:t>Amgen v. Sanofi</w:t>
      </w:r>
      <w:r>
        <w:rPr>
          <w:rFonts w:ascii="Times New Roman" w:cs="Times New Roman" w:eastAsia="Times New Roman" w:hAnsi="Times New Roman"/>
          <w:sz w:val="18"/>
          <w:szCs w:val="18"/>
          <w:color w:val="auto"/>
        </w:rPr>
        <w:t xml:space="preserve">, the Supreme Court held that a functionally-claimed genus was invalid for failing to comply with the enablement requirement; and in the case of </w:t>
      </w:r>
      <w:r>
        <w:rPr>
          <w:rFonts w:ascii="Times New Roman" w:cs="Times New Roman" w:eastAsia="Times New Roman" w:hAnsi="Times New Roman"/>
          <w:sz w:val="18"/>
          <w:szCs w:val="18"/>
          <w:i w:val="1"/>
          <w:iCs w:val="1"/>
          <w:color w:val="auto"/>
        </w:rPr>
        <w:t>Assoc. for Molecular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Pathology v. Myriad Genetics, Inc., </w:t>
      </w:r>
      <w:r>
        <w:rPr>
          <w:rFonts w:ascii="Times New Roman" w:cs="Times New Roman" w:eastAsia="Times New Roman" w:hAnsi="Times New Roman"/>
          <w:sz w:val="18"/>
          <w:szCs w:val="18"/>
          <w:color w:val="auto"/>
        </w:rPr>
        <w:t>the Supreme Court held that certain claims to DNA molecules are not patentable. We cannot predict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w:t>
      </w:r>
    </w:p>
    <w:p>
      <w:pPr>
        <w:spacing w:after="0" w:line="1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1" w:name="page62"/>
    <w:bookmarkEnd w:id="61"/>
    <w:p>
      <w:pPr>
        <w:spacing w:after="0" w:line="254" w:lineRule="auto"/>
        <w:rPr>
          <w:sz w:val="20"/>
          <w:szCs w:val="20"/>
          <w:color w:val="auto"/>
        </w:rPr>
      </w:pPr>
      <w:r>
        <w:rPr>
          <w:rFonts w:ascii="Times New Roman" w:cs="Times New Roman" w:eastAsia="Times New Roman" w:hAnsi="Times New Roman"/>
          <w:sz w:val="18"/>
          <w:szCs w:val="18"/>
          <w:color w:val="auto"/>
        </w:rPr>
        <w:t>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2" w:name="page63"/>
    <w:bookmarkEnd w:id="62"/>
    <w:p>
      <w:pPr>
        <w:spacing w:after="0" w:line="255" w:lineRule="auto"/>
        <w:rPr>
          <w:sz w:val="20"/>
          <w:szCs w:val="20"/>
          <w:color w:val="auto"/>
        </w:rPr>
      </w:pPr>
      <w:r>
        <w:rPr>
          <w:rFonts w:ascii="Times New Roman" w:cs="Times New Roman" w:eastAsia="Times New Roman" w:hAnsi="Times New Roman"/>
          <w:sz w:val="18"/>
          <w:szCs w:val="18"/>
          <w:color w:val="auto"/>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9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and expect to rely on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7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8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Moreover, our CDMOs may experience manufacturing difficulties due to resource constraints, governmental restrictions or as a result of labor disputes or unstable political environments. Supply chain issues, including those resulting from the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Congress. On October 9, 2025, the Senate of the current Congress (the 119th Congress) passed its version of the National Defense Authorization Act (NDAA) for Fiscal Year 2026, which includes an amendment prohibiting contracting with certain biotechnology providers. While the amendment includes the same general prohibitions around government funding, contracts, and grants to certain biotechnology companies and entities which contract with such companies, there are certain differences from the versions of the BIOSECURE Act proposed by the prior 118th Congress. Rather than explicitly naming the companies of concern, the amendment defines a “biotechnology company of concern” as an entity that is identified on the annual 1260H List of Chinese military companies (the “1260H List”) issued by the U.S. Department of Defense, any entity designated as such by the U.S. Government, and certain subsidiaries, parents, affiliates, and successors of the foregoing. Wuxi Biologics is not currently named in the 1260H List. In addition, the amendment provides a grandfathering period of five years for entities that are designated by the U.S. Government; however, entities identified on the 1260H List are not eligible for such grandfathering period. The House and Senate of the current Congress will need to reconcile their respective versions of the NDAA and therefore it is possible for the language to further change and be amended, or even for the amendment to be removed from the final reconciled version of the NDAA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w:t>
      </w:r>
    </w:p>
    <w:p>
      <w:pPr>
        <w:spacing w:after="0" w:line="21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64" w:name="page65"/>
    <w:bookmarkEnd w:id="64"/>
    <w:p>
      <w:pPr>
        <w:spacing w:after="0" w:line="252" w:lineRule="auto"/>
        <w:rPr>
          <w:sz w:val="20"/>
          <w:szCs w:val="20"/>
          <w:color w:val="auto"/>
        </w:rPr>
      </w:pPr>
      <w:r>
        <w:rPr>
          <w:rFonts w:ascii="Times New Roman" w:cs="Times New Roman" w:eastAsia="Times New Roman" w:hAnsi="Times New Roman"/>
          <w:sz w:val="18"/>
          <w:szCs w:val="18"/>
          <w:color w:val="auto"/>
        </w:rPr>
        <w:t>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19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8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79"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5" w:name="page66"/>
    <w:bookmarkEnd w:id="65"/>
    <w:p>
      <w:pPr>
        <w:ind w:right="20"/>
        <w:spacing w:after="0" w:line="256" w:lineRule="auto"/>
        <w:rPr>
          <w:sz w:val="20"/>
          <w:szCs w:val="20"/>
          <w:color w:val="auto"/>
        </w:rPr>
      </w:pPr>
      <w:r>
        <w:rPr>
          <w:rFonts w:ascii="Times New Roman" w:cs="Times New Roman" w:eastAsia="Times New Roman" w:hAnsi="Times New Roman"/>
          <w:sz w:val="18"/>
          <w:szCs w:val="18"/>
          <w:color w:val="auto"/>
        </w:rPr>
        <w:t>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7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17" w:lineRule="exact"/>
        <w:rPr>
          <w:sz w:val="20"/>
          <w:szCs w:val="20"/>
          <w:color w:val="auto"/>
        </w:rPr>
      </w:pPr>
    </w:p>
    <w:p>
      <w:pPr>
        <w:ind w:left="960" w:hanging="51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60" w:hanging="514"/>
        <w:spacing w:after="0" w:line="261"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jc w:val="both"/>
        <w:ind w:left="960" w:right="340" w:hanging="514"/>
        <w:spacing w:after="0" w:line="312" w:lineRule="auto"/>
        <w:tabs>
          <w:tab w:leader="none" w:pos="9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1" w:lineRule="exact"/>
        <w:rPr>
          <w:rFonts w:ascii="Times New Roman" w:cs="Times New Roman" w:eastAsia="Times New Roman" w:hAnsi="Times New Roman"/>
          <w:sz w:val="17"/>
          <w:szCs w:val="17"/>
          <w:color w:val="auto"/>
        </w:rPr>
      </w:pPr>
    </w:p>
    <w:p>
      <w:pPr>
        <w:ind w:left="960" w:right="460" w:hanging="514"/>
        <w:spacing w:after="0" w:line="266"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60" w:right="20" w:hanging="514"/>
        <w:spacing w:after="0" w:line="266"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ours may be viewed by our collaborators as competitive with their own product candidates or products,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960" w:right="160" w:hanging="51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66" w:name="page67"/>
    <w:bookmarkEnd w:id="66"/>
    <w:p>
      <w:pPr>
        <w:ind w:left="960" w:right="120" w:hanging="51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60" w:right="80" w:hanging="514"/>
        <w:spacing w:after="0" w:line="261"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60" w:right="120" w:hanging="51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960" w:right="60" w:hanging="51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960" w:right="180" w:hanging="51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w:t>
      </w:r>
    </w:p>
    <w:p>
      <w:pPr>
        <w:spacing w:after="0" w:line="7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7" w:name="page68"/>
    <w:bookmarkEnd w:id="67"/>
    <w:p>
      <w:pPr>
        <w:ind w:right="120"/>
        <w:spacing w:after="0" w:line="282" w:lineRule="auto"/>
        <w:rPr>
          <w:sz w:val="20"/>
          <w:szCs w:val="20"/>
          <w:color w:val="auto"/>
        </w:rPr>
      </w:pPr>
      <w:r>
        <w:rPr>
          <w:rFonts w:ascii="Times New Roman" w:cs="Times New Roman" w:eastAsia="Times New Roman" w:hAnsi="Times New Roman"/>
          <w:sz w:val="18"/>
          <w:szCs w:val="18"/>
          <w:color w:val="auto"/>
        </w:rPr>
        <w:t>their possession that are reserved for them, our ability to advance our pre-clinical programs and successfully develop our pre-clinical candidates may be materially adversely affected or significantly delayed.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7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1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72"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health-related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197" w:right="359" w:bottom="1440" w:gutter="0" w:footer="0" w:header="0"/>
        </w:sectPr>
      </w:pPr>
    </w:p>
    <w:bookmarkStart w:id="69" w:name="page70"/>
    <w:bookmarkEnd w:id="69"/>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w:t>
      </w:r>
    </w:p>
    <w:p>
      <w:pPr>
        <w:spacing w:after="0" w:line="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spacing w:after="0" w:line="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w:t>
      </w:r>
    </w:p>
    <w:p>
      <w:pPr>
        <w:spacing w:after="0" w:line="1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1" w:name="page72"/>
    <w:bookmarkEnd w:id="71"/>
    <w:p>
      <w:pPr>
        <w:spacing w:after="0" w:line="252" w:lineRule="auto"/>
        <w:rPr>
          <w:sz w:val="20"/>
          <w:szCs w:val="20"/>
          <w:color w:val="auto"/>
        </w:rPr>
      </w:pPr>
      <w:r>
        <w:rPr>
          <w:rFonts w:ascii="Times New Roman" w:cs="Times New Roman" w:eastAsia="Times New Roman" w:hAnsi="Times New Roman"/>
          <w:sz w:val="18"/>
          <w:szCs w:val="18"/>
          <w:color w:val="auto"/>
        </w:rPr>
        <w:t>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w:t>
      </w:r>
    </w:p>
    <w:p>
      <w:pPr>
        <w:spacing w:after="0" w:line="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5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72" w:name="page73"/>
    <w:bookmarkEnd w:id="72"/>
    <w:p>
      <w:pPr>
        <w:spacing w:after="0" w:line="255" w:lineRule="auto"/>
        <w:rPr>
          <w:sz w:val="20"/>
          <w:szCs w:val="20"/>
          <w:color w:val="auto"/>
        </w:rPr>
      </w:pPr>
      <w:r>
        <w:rPr>
          <w:rFonts w:ascii="Times New Roman" w:cs="Times New Roman" w:eastAsia="Times New Roman" w:hAnsi="Times New Roman"/>
          <w:sz w:val="18"/>
          <w:szCs w:val="18"/>
          <w:color w:val="auto"/>
        </w:rPr>
        <w:t>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laws and regulations, export and import controls, sanctions and embargoes. We could face liability and other serious consequences for violations which can harm our business.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73" w:name="page74"/>
    <w:bookmarkEnd w:id="73"/>
    <w:p>
      <w:pPr>
        <w:ind w:right="40"/>
        <w:spacing w:after="0" w:line="254"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8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74" w:name="page75"/>
    <w:bookmarkEnd w:id="7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CDMOs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7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w:t>
      </w:r>
    </w:p>
    <w:p>
      <w:pPr>
        <w:spacing w:after="0" w:line="1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75" w:name="page76"/>
    <w:bookmarkEnd w:id="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rules and regulations to make it more difficult and more expensive for us to obtain director and officer liability insurance and we may be required to incur substantial costs to maintain our current levels of such coverage.</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Stockholders previously filed lawsuits, which were subsequently dismissed, relating to the Merger; however, additional lawsuits could be filed.</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6" w:name="page77"/>
    <w:bookmarkEnd w:id="76"/>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24-cv-1493 (filed February 27, 2024). Two actions have been filed in the Supreme Court of New York, captioned</w:t>
      </w:r>
      <w:r>
        <w:rPr>
          <w:rFonts w:ascii="Times New Roman" w:cs="Times New Roman" w:eastAsia="Times New Roman" w:hAnsi="Times New Roman"/>
          <w:sz w:val="18"/>
          <w:szCs w:val="18"/>
          <w:i w:val="1"/>
          <w:iCs w:val="1"/>
          <w:color w:val="auto"/>
        </w:rPr>
        <w:t xml:space="preserve"> Price v. Avrobio, Inc., et al.</w:t>
      </w:r>
      <w:r>
        <w:rPr>
          <w:rFonts w:ascii="Times New Roman" w:cs="Times New Roman" w:eastAsia="Times New Roman" w:hAnsi="Times New Roman"/>
          <w:sz w:val="18"/>
          <w:szCs w:val="18"/>
          <w:color w:val="auto"/>
        </w:rPr>
        <w:t>, No. 652555/2024 (filed May 17, 2024) and</w:t>
      </w:r>
      <w:r>
        <w:rPr>
          <w:rFonts w:ascii="Times New Roman" w:cs="Times New Roman" w:eastAsia="Times New Roman" w:hAnsi="Times New Roman"/>
          <w:sz w:val="18"/>
          <w:szCs w:val="18"/>
          <w:i w:val="1"/>
          <w:iCs w:val="1"/>
          <w:color w:val="auto"/>
        </w:rPr>
        <w:t xml:space="preserve"> Keller v. Avrobio, Inc., et al.</w:t>
      </w:r>
      <w:r>
        <w:rPr>
          <w:rFonts w:ascii="Times New Roman" w:cs="Times New Roman" w:eastAsia="Times New Roman" w:hAnsi="Times New Roman"/>
          <w:sz w:val="18"/>
          <w:szCs w:val="18"/>
          <w:color w:val="auto"/>
        </w:rPr>
        <w:t>, No. 652597/2024 (filed May 21, 2024).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referred to as the “Merger Actions.”</w:t>
      </w:r>
    </w:p>
    <w:p>
      <w:pPr>
        <w:spacing w:after="0" w:line="67"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72" w:lineRule="exact"/>
        <w:rPr>
          <w:sz w:val="20"/>
          <w:szCs w:val="20"/>
          <w:color w:val="auto"/>
        </w:rPr>
      </w:pPr>
    </w:p>
    <w:p>
      <w:pPr>
        <w:ind w:left="960" w:right="84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existing or future collaborators;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960" w:right="34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960" w:right="26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60" w:right="620" w:hanging="51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1" w:right="339" w:bottom="1440" w:gutter="0" w:footer="0" w:header="0"/>
        </w:sectPr>
      </w:pPr>
    </w:p>
    <w:bookmarkStart w:id="77" w:name="page78"/>
    <w:bookmarkEnd w:id="77"/>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960" w:right="300" w:hanging="51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17" w:lineRule="exact"/>
        <w:rPr>
          <w:rFonts w:ascii="Times New Roman" w:cs="Times New Roman" w:eastAsia="Times New Roman" w:hAnsi="Times New Roman"/>
          <w:sz w:val="18"/>
          <w:szCs w:val="18"/>
          <w:color w:val="auto"/>
        </w:rPr>
      </w:pPr>
    </w:p>
    <w:p>
      <w:pPr>
        <w:ind w:left="960" w:hanging="51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 we filed a resale shelf registration statement covering the resale of up to an aggregate of 2,969,583 shares of our common stock, which was declared effective on July 30, 2024. In addition, in connection with the private placement we completed in February 2025 (the “Private Placement”), we filed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w:t>
      </w:r>
    </w:p>
    <w:p>
      <w:pPr>
        <w:spacing w:after="0" w:line="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restrictions on resale lapse, the trading price of our common stock could decline.</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Based on the number of shares outstanding as of September 30, 2025, our executive officers, directors and principal stockholders, in the aggregate, beneficially own approximately 70% of our outstanding shares of common stock. As a result,</w:t>
      </w:r>
    </w:p>
    <w:p>
      <w:pPr>
        <w:spacing w:after="0" w:line="1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78" w:name="page79"/>
    <w:bookmarkEnd w:id="78"/>
    <w:p>
      <w:pPr>
        <w:ind w:right="40"/>
        <w:spacing w:after="0" w:line="261" w:lineRule="auto"/>
        <w:rPr>
          <w:sz w:val="20"/>
          <w:szCs w:val="20"/>
          <w:color w:val="auto"/>
        </w:rPr>
      </w:pPr>
      <w:r>
        <w:rPr>
          <w:rFonts w:ascii="Times New Roman" w:cs="Times New Roman" w:eastAsia="Times New Roman" w:hAnsi="Times New Roman"/>
          <w:sz w:val="18"/>
          <w:szCs w:val="18"/>
          <w:color w:val="auto"/>
        </w:rPr>
        <w:t>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6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99" w:lineRule="exact"/>
        <w:rPr>
          <w:sz w:val="20"/>
          <w:szCs w:val="20"/>
          <w:color w:val="auto"/>
        </w:rPr>
      </w:pPr>
    </w:p>
    <w:p>
      <w:pPr>
        <w:ind w:left="720" w:right="220" w:hanging="514"/>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720" w:right="180" w:hanging="514"/>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53"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720" w:hanging="514"/>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53"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720" w:hanging="514"/>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080" w:top="1093" w:right="419" w:bottom="1440" w:gutter="0" w:footer="0" w:header="0"/>
        </w:sectPr>
      </w:pPr>
    </w:p>
    <w:bookmarkStart w:id="79" w:name="page80"/>
    <w:bookmarkEnd w:id="79"/>
    <w:p>
      <w:pPr>
        <w:jc w:val="both"/>
        <w:ind w:left="760" w:right="1000" w:firstLine="206"/>
        <w:spacing w:after="0" w:line="397" w:lineRule="auto"/>
        <w:tabs>
          <w:tab w:leader="none" w:pos="147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votes of the holders of our common stock to amend specified provisions of our charter and bylaws. These provisions, alone or together, could delay or prevent hostile takeovers and changes in control or changes in our management.</w:t>
      </w:r>
    </w:p>
    <w:p>
      <w:pPr>
        <w:spacing w:after="0" w:line="1"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54"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ind w:left="7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79" w:lineRule="exact"/>
        <w:rPr>
          <w:sz w:val="20"/>
          <w:szCs w:val="20"/>
          <w:color w:val="auto"/>
        </w:rPr>
      </w:pPr>
    </w:p>
    <w:p>
      <w:pPr>
        <w:ind w:left="760" w:right="60"/>
        <w:spacing w:after="0" w:line="269" w:lineRule="auto"/>
        <w:rPr>
          <w:sz w:val="20"/>
          <w:szCs w:val="20"/>
          <w:color w:val="auto"/>
        </w:rPr>
      </w:pPr>
      <w:r>
        <w:rPr>
          <w:rFonts w:ascii="Times New Roman" w:cs="Times New Roman" w:eastAsia="Times New Roman" w:hAnsi="Times New Roman"/>
          <w:sz w:val="17"/>
          <w:szCs w:val="17"/>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180" w:type="dxa"/>
            <w:vAlign w:val="bottom"/>
            <w:gridSpan w:val="8"/>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6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8"/>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62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Fourth Amended and Restated Certificate of Incorporation, as amended through June</w:t>
              </w:r>
            </w:hyperlink>
          </w:p>
        </w:tc>
        <w:tc>
          <w:tcPr>
            <w:tcW w:w="22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20, 2024.</w:t>
              </w:r>
            </w:hyperlink>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80" w:type="dxa"/>
            <w:vAlign w:val="bottom"/>
            <w:gridSpan w:val="2"/>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4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8/14/2024</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38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Amended and Restated Bylaws, as currently in effect.</w:t>
              </w:r>
            </w:hyperlink>
          </w:p>
        </w:tc>
        <w:tc>
          <w:tcPr>
            <w:tcW w:w="20" w:type="dxa"/>
            <w:vAlign w:val="bottom"/>
            <w:tcBorders>
              <w:bottom w:val="single" w:sz="8" w:color="0000EE"/>
            </w:tcBorders>
          </w:tcPr>
          <w:p>
            <w:pPr>
              <w:spacing w:after="0"/>
              <w:rPr>
                <w:sz w:val="24"/>
                <w:szCs w:val="24"/>
                <w:color w:val="auto"/>
              </w:rPr>
            </w:pPr>
          </w:p>
        </w:tc>
        <w:tc>
          <w:tcPr>
            <w:tcW w:w="2520" w:type="dxa"/>
            <w:vAlign w:val="bottom"/>
            <w:gridSpan w:val="7"/>
          </w:tcPr>
          <w:p>
            <w:pPr>
              <w:spacing w:after="0"/>
              <w:rPr>
                <w:sz w:val="24"/>
                <w:szCs w:val="2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001-38537</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6/25/2018</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63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1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2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6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1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2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6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w:t>
            </w:r>
          </w:p>
        </w:tc>
        <w:tc>
          <w:tcPr>
            <w:tcW w:w="2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to 18 U.S.C. Section 1350, as Adopted Pursuant to Section 906 of the Sarbanes-Oxley</w:t>
            </w:r>
          </w:p>
        </w:tc>
        <w:tc>
          <w:tcPr>
            <w:tcW w:w="1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Interactive Data File as its XBRL tags are embedded within the Inline XBRL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 with Embedded Linkbase Documents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686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right="100" w:firstLine="8"/>
        <w:spacing w:after="0" w:line="261" w:lineRule="auto"/>
        <w:tabs>
          <w:tab w:leader="none" w:pos="1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TECTONIC THERAPEUTIC,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Alise Reicin, M.D.</w:t>
            </w:r>
          </w:p>
        </w:tc>
      </w:tr>
      <w:tr>
        <w:trPr>
          <w:trHeight w:val="191"/>
        </w:trPr>
        <w:tc>
          <w:tcPr>
            <w:tcW w:w="3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Alise Reicin, M.D.</w:t>
            </w:r>
          </w:p>
        </w:tc>
      </w:tr>
      <w:tr>
        <w:trPr>
          <w:trHeight w:val="214"/>
        </w:trPr>
        <w:tc>
          <w:tcPr>
            <w:tcW w:w="3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21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Daniel Lochner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0</wp:posOffset>
            </wp:positionV>
            <wp:extent cx="3531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jc w:val="center"/>
        <w:ind w:left="5660"/>
        <w:spacing w:after="0"/>
        <w:rPr>
          <w:sz w:val="20"/>
          <w:szCs w:val="20"/>
          <w:color w:val="auto"/>
        </w:rPr>
      </w:pPr>
      <w:r>
        <w:rPr>
          <w:rFonts w:ascii="Times New Roman" w:cs="Times New Roman" w:eastAsia="Times New Roman" w:hAnsi="Times New Roman"/>
          <w:sz w:val="18"/>
          <w:szCs w:val="18"/>
          <w:color w:val="auto"/>
        </w:rPr>
        <w:t>Daniel Lochner</w:t>
      </w:r>
    </w:p>
    <w:p>
      <w:pPr>
        <w:spacing w:after="0" w:line="23"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Alise Reicin,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Alise Reicin, M.D.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Lochner,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Daniel Lochner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w:t>
      </w:r>
    </w:p>
    <w:p>
      <w:pPr>
        <w:spacing w:after="0" w:line="68" w:lineRule="exact"/>
        <w:rPr>
          <w:sz w:val="20"/>
          <w:szCs w:val="20"/>
          <w:color w:val="auto"/>
        </w:rPr>
      </w:pPr>
    </w:p>
    <w:p>
      <w:pPr>
        <w:ind w:left="520" w:right="3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6th day of November, 2025.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 Alise Reicin, M.D.</w:t>
            </w:r>
          </w:p>
        </w:tc>
        <w:tc>
          <w:tcPr>
            <w:tcW w:w="708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/s/ Daniel Lochner</w:t>
            </w:r>
          </w:p>
        </w:tc>
      </w:tr>
      <w:tr>
        <w:trPr>
          <w:trHeight w:val="191"/>
        </w:trPr>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Alise Reicin, M.D.</w:t>
            </w:r>
          </w:p>
        </w:tc>
        <w:tc>
          <w:tcPr>
            <w:tcW w:w="294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Lochner</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708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7"/>
    </w:lvl>
  </w:abstractNum>
  <w:abstractNum w:abstractNumId="7">
    <w:nsid w:val="71F32454"/>
    <w:multiLevelType w:val="hybridMultilevel"/>
    <w:lvl w:ilvl="0">
      <w:lvlJc w:val="left"/>
      <w:lvlText w:val="%1."/>
      <w:numFmt w:val="decimal"/>
      <w:start w:val="8"/>
    </w:lvl>
  </w:abstractNum>
  <w:abstractNum w:abstractNumId="8">
    <w:nsid w:val="2CA88611"/>
    <w:multiLevelType w:val="hybridMultilevel"/>
    <w:lvl w:ilvl="0">
      <w:lvlJc w:val="left"/>
      <w:lvlText w:val="%1."/>
      <w:numFmt w:val="decimal"/>
      <w:start w:val="9"/>
    </w:lvl>
  </w:abstractNum>
  <w:abstractNum w:abstractNumId="9">
    <w:nsid w:val="836C40E"/>
    <w:multiLevelType w:val="hybridMultilevel"/>
    <w:lvl w:ilvl="0">
      <w:lvlJc w:val="left"/>
      <w:lvlText w:val="%1."/>
      <w:numFmt w:val="decimal"/>
      <w:start w:val="10"/>
    </w:lvl>
  </w:abstractNum>
  <w:abstractNum w:abstractNumId="10">
    <w:nsid w:val="2901D82"/>
    <w:multiLevelType w:val="hybridMultilevel"/>
    <w:lvl w:ilvl="0">
      <w:lvlJc w:val="left"/>
      <w:lvlText w:val="%1."/>
      <w:numFmt w:val="decimal"/>
      <w:start w:val="11"/>
    </w:lvl>
  </w:abstractNum>
  <w:abstractNum w:abstractNumId="11">
    <w:nsid w:val="3A95F874"/>
    <w:multiLevelType w:val="hybridMultilevel"/>
    <w:lvl w:ilvl="0">
      <w:lvlJc w:val="left"/>
      <w:lvlText w:val="1"/>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64" Type="http://schemas.openxmlformats.org/officeDocument/2006/relationships/hyperlink" Target="https://www.sec.gov/Archives/edgar/data/1681087/000119312524200609/d878693dex31.htm" TargetMode="External"/><Relationship Id="rId265" Type="http://schemas.openxmlformats.org/officeDocument/2006/relationships/hyperlink" Target="https://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2025-11-06T15:53:02Z</dcterms:created>
  <dcterms:modified xsi:type="dcterms:W3CDTF">2025-11-06T15:53:02Z</dcterms:modified>
</cp:coreProperties>
</file>