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21,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11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2">
            <w:col w:w="7500" w:space="720"/>
            <w:col w:w="3200"/>
          </w:cols>
          <w:pgMar w:left="240" w:top="229" w:right="239" w:bottom="117"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29" w:right="239" w:bottom="117"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Kendall Square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420"/>
          </w:cols>
          <w:pgMar w:left="240" w:top="229" w:right="239" w:bottom="117" w:gutter="0" w:footer="0" w:header="0"/>
          <w:type w:val="continuous"/>
        </w:sectPr>
      </w:pPr>
    </w:p>
    <w:p>
      <w:pPr>
        <w:spacing w:after="0" w:line="215" w:lineRule="exact"/>
        <w:rPr>
          <w:sz w:val="24"/>
          <w:szCs w:val="24"/>
          <w:color w:val="auto"/>
        </w:rPr>
      </w:pPr>
    </w:p>
    <w:p>
      <w:pPr>
        <w:jc w:val="center"/>
        <w:ind w:left="260" w:right="2820"/>
        <w:spacing w:after="0" w:line="255" w:lineRule="auto"/>
        <w:rPr>
          <w:sz w:val="20"/>
          <w:szCs w:val="20"/>
          <w:color w:val="auto"/>
        </w:rPr>
      </w:pPr>
      <w:r>
        <w:rPr>
          <w:rFonts w:ascii="Arial" w:cs="Arial" w:eastAsia="Arial" w:hAnsi="Arial"/>
          <w:sz w:val="18"/>
          <w:szCs w:val="18"/>
          <w:b w:val="1"/>
          <w:bCs w:val="1"/>
          <w:color w:val="auto"/>
        </w:rPr>
        <w:t>AVROBIO, Inc. Amended and Restated 2015 Stock Option and Grant Plan AVROBIO, Inc. 2018 Stock Option and Incentive Plan AVROBIO, Inc. 2018 Employee Stock Purchase Plan</w:t>
      </w: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McGivern,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1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682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center"/>
              <w:ind w:left="81"/>
              <w:spacing w:after="0" w:line="139" w:lineRule="exact"/>
              <w:rPr>
                <w:sz w:val="20"/>
                <w:szCs w:val="20"/>
                <w:color w:val="auto"/>
              </w:rPr>
            </w:pPr>
            <w:r>
              <w:rPr>
                <w:rFonts w:ascii="Arial" w:cs="Arial" w:eastAsia="Arial" w:hAnsi="Arial"/>
                <w:sz w:val="14"/>
                <w:szCs w:val="14"/>
                <w:b w:val="1"/>
                <w:bCs w:val="1"/>
                <w:color w:val="auto"/>
                <w:w w:val="89"/>
              </w:rPr>
              <w:t>Proposed</w:t>
            </w:r>
          </w:p>
        </w:tc>
        <w:tc>
          <w:tcPr>
            <w:tcW w:w="1120" w:type="dxa"/>
            <w:vAlign w:val="bottom"/>
            <w:tcBorders>
              <w:top w:val="single" w:sz="8" w:color="auto"/>
              <w:right w:val="single" w:sz="8" w:color="auto"/>
            </w:tcBorders>
          </w:tcPr>
          <w:p>
            <w:pPr>
              <w:jc w:val="center"/>
              <w:ind w:left="80"/>
              <w:spacing w:after="0" w:line="139" w:lineRule="exact"/>
              <w:rPr>
                <w:sz w:val="20"/>
                <w:szCs w:val="20"/>
                <w:color w:val="auto"/>
              </w:rPr>
            </w:pPr>
            <w:r>
              <w:rPr>
                <w:rFonts w:ascii="Arial" w:cs="Arial" w:eastAsia="Arial" w:hAnsi="Arial"/>
                <w:sz w:val="14"/>
                <w:szCs w:val="14"/>
                <w:b w:val="1"/>
                <w:bCs w:val="1"/>
                <w:color w:val="auto"/>
                <w:w w:val="86"/>
              </w:rPr>
              <w:t>Proposed</w:t>
            </w: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jc w:val="center"/>
              <w:ind w:left="98"/>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tcBorders>
              <w:right w:val="single" w:sz="8" w:color="auto"/>
            </w:tcBorders>
          </w:tcPr>
          <w:p>
            <w:pPr>
              <w:jc w:val="center"/>
              <w:ind w:left="101"/>
              <w:spacing w:after="0" w:line="149" w:lineRule="exact"/>
              <w:rPr>
                <w:sz w:val="20"/>
                <w:szCs w:val="20"/>
                <w:color w:val="auto"/>
              </w:rPr>
            </w:pPr>
            <w:r>
              <w:rPr>
                <w:rFonts w:ascii="Arial" w:cs="Arial" w:eastAsia="Arial" w:hAnsi="Arial"/>
                <w:sz w:val="14"/>
                <w:szCs w:val="14"/>
                <w:b w:val="1"/>
                <w:bCs w:val="1"/>
                <w:color w:val="auto"/>
                <w:w w:val="99"/>
              </w:rPr>
              <w:t>Maximum</w:t>
            </w:r>
          </w:p>
        </w:tc>
        <w:tc>
          <w:tcPr>
            <w:tcW w:w="1120" w:type="dxa"/>
            <w:vAlign w:val="bottom"/>
            <w:tcBorders>
              <w:right w:val="single" w:sz="8" w:color="auto"/>
            </w:tcBorders>
          </w:tcPr>
          <w:p>
            <w:pPr>
              <w:jc w:val="center"/>
              <w:ind w:left="80"/>
              <w:spacing w:after="0" w:line="149" w:lineRule="exact"/>
              <w:rPr>
                <w:sz w:val="20"/>
                <w:szCs w:val="20"/>
                <w:color w:val="auto"/>
              </w:rPr>
            </w:pPr>
            <w:r>
              <w:rPr>
                <w:rFonts w:ascii="Arial" w:cs="Arial" w:eastAsia="Arial" w:hAnsi="Arial"/>
                <w:sz w:val="14"/>
                <w:szCs w:val="14"/>
                <w:b w:val="1"/>
                <w:bCs w:val="1"/>
                <w:color w:val="auto"/>
                <w:w w:val="99"/>
              </w:rPr>
              <w:t>Maximum</w:t>
            </w:r>
          </w:p>
        </w:tc>
        <w:tc>
          <w:tcPr>
            <w:tcW w:w="960" w:type="dxa"/>
            <w:vAlign w:val="bottom"/>
            <w:vMerge w:val="restart"/>
          </w:tcPr>
          <w:p>
            <w:pPr>
              <w:jc w:val="center"/>
              <w:ind w:left="9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820" w:type="dxa"/>
            <w:vAlign w:val="bottom"/>
            <w:tcBorders>
              <w:right w:val="single" w:sz="8" w:color="auto"/>
            </w:tcBorders>
            <w:vMerge w:val="restart"/>
          </w:tcPr>
          <w:p>
            <w:pPr>
              <w:ind w:left="2860"/>
              <w:spacing w:after="0"/>
              <w:rPr>
                <w:sz w:val="20"/>
                <w:szCs w:val="20"/>
                <w:color w:val="auto"/>
              </w:rPr>
            </w:pPr>
            <w:r>
              <w:rPr>
                <w:rFonts w:ascii="Arial" w:cs="Arial" w:eastAsia="Arial" w:hAnsi="Arial"/>
                <w:sz w:val="14"/>
                <w:szCs w:val="14"/>
                <w:b w:val="1"/>
                <w:bCs w:val="1"/>
                <w:color w:val="auto"/>
              </w:rPr>
              <w:t>Title of Securities</w:t>
            </w:r>
          </w:p>
        </w:tc>
        <w:tc>
          <w:tcPr>
            <w:tcW w:w="16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ind w:left="101"/>
              <w:spacing w:after="0" w:line="149" w:lineRule="exact"/>
              <w:rPr>
                <w:sz w:val="20"/>
                <w:szCs w:val="20"/>
                <w:color w:val="auto"/>
              </w:rPr>
            </w:pPr>
            <w:r>
              <w:rPr>
                <w:rFonts w:ascii="Arial" w:cs="Arial" w:eastAsia="Arial" w:hAnsi="Arial"/>
                <w:sz w:val="14"/>
                <w:szCs w:val="14"/>
                <w:b w:val="1"/>
                <w:bCs w:val="1"/>
                <w:color w:val="auto"/>
                <w:w w:val="95"/>
              </w:rPr>
              <w:t>Offering</w:t>
            </w:r>
          </w:p>
        </w:tc>
        <w:tc>
          <w:tcPr>
            <w:tcW w:w="1120" w:type="dxa"/>
            <w:vAlign w:val="bottom"/>
            <w:tcBorders>
              <w:right w:val="single" w:sz="8" w:color="auto"/>
            </w:tcBorders>
          </w:tcPr>
          <w:p>
            <w:pPr>
              <w:jc w:val="center"/>
              <w:ind w:left="80"/>
              <w:spacing w:after="0" w:line="149" w:lineRule="exact"/>
              <w:rPr>
                <w:sz w:val="20"/>
                <w:szCs w:val="20"/>
                <w:color w:val="auto"/>
              </w:rPr>
            </w:pPr>
            <w:r>
              <w:rPr>
                <w:rFonts w:ascii="Arial" w:cs="Arial" w:eastAsia="Arial" w:hAnsi="Arial"/>
                <w:sz w:val="14"/>
                <w:szCs w:val="14"/>
                <w:b w:val="1"/>
                <w:bCs w:val="1"/>
                <w:color w:val="auto"/>
                <w:w w:val="92"/>
              </w:rPr>
              <w:t>Aggregate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78"/>
              <w:spacing w:after="0" w:line="149" w:lineRule="exact"/>
              <w:rPr>
                <w:sz w:val="20"/>
                <w:szCs w:val="20"/>
                <w:color w:val="auto"/>
              </w:rPr>
            </w:pPr>
            <w:r>
              <w:rPr>
                <w:rFonts w:ascii="Arial" w:cs="Arial" w:eastAsia="Arial" w:hAnsi="Arial"/>
                <w:sz w:val="14"/>
                <w:szCs w:val="14"/>
                <w:b w:val="1"/>
                <w:bCs w:val="1"/>
                <w:color w:val="auto"/>
                <w:w w:val="89"/>
              </w:rPr>
              <w:t>to be</w:t>
            </w:r>
          </w:p>
        </w:tc>
        <w:tc>
          <w:tcPr>
            <w:tcW w:w="900" w:type="dxa"/>
            <w:vAlign w:val="bottom"/>
            <w:tcBorders>
              <w:right w:val="single" w:sz="8" w:color="auto"/>
            </w:tcBorders>
          </w:tcPr>
          <w:p>
            <w:pPr>
              <w:jc w:val="center"/>
              <w:ind w:left="101"/>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Borders>
              <w:right w:val="single" w:sz="8" w:color="auto"/>
            </w:tcBorders>
          </w:tcPr>
          <w:p>
            <w:pPr>
              <w:jc w:val="center"/>
              <w:ind w:left="80"/>
              <w:spacing w:after="0" w:line="149" w:lineRule="exact"/>
              <w:rPr>
                <w:sz w:val="20"/>
                <w:szCs w:val="20"/>
                <w:color w:val="auto"/>
              </w:rPr>
            </w:pPr>
            <w:r>
              <w:rPr>
                <w:rFonts w:ascii="Arial" w:cs="Arial" w:eastAsia="Arial" w:hAnsi="Arial"/>
                <w:sz w:val="14"/>
                <w:szCs w:val="14"/>
                <w:b w:val="1"/>
                <w:bCs w:val="1"/>
                <w:color w:val="auto"/>
                <w:w w:val="95"/>
              </w:rPr>
              <w:t>Offering</w:t>
            </w:r>
          </w:p>
        </w:tc>
        <w:tc>
          <w:tcPr>
            <w:tcW w:w="96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6820" w:type="dxa"/>
            <w:vAlign w:val="bottom"/>
            <w:tcBorders>
              <w:bottom w:val="single" w:sz="8" w:color="auto"/>
              <w:right w:val="single" w:sz="8" w:color="auto"/>
            </w:tcBorders>
          </w:tcPr>
          <w:p>
            <w:pPr>
              <w:ind w:left="2920"/>
              <w:spacing w:after="0"/>
              <w:rPr>
                <w:sz w:val="20"/>
                <w:szCs w:val="20"/>
                <w:color w:val="auto"/>
              </w:rPr>
            </w:pPr>
            <w:r>
              <w:rPr>
                <w:rFonts w:ascii="Arial" w:cs="Arial" w:eastAsia="Arial" w:hAnsi="Arial"/>
                <w:sz w:val="14"/>
                <w:szCs w:val="14"/>
                <w:b w:val="1"/>
                <w:bCs w:val="1"/>
                <w:color w:val="auto"/>
              </w:rPr>
              <w:t>to be Registered</w:t>
            </w:r>
          </w:p>
        </w:tc>
        <w:tc>
          <w:tcPr>
            <w:tcW w:w="162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90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Borders>
              <w:bottom w:val="single" w:sz="8" w:color="auto"/>
              <w:right w:val="single" w:sz="8" w:color="auto"/>
            </w:tcBorders>
          </w:tcPr>
          <w:p>
            <w:pPr>
              <w:jc w:val="center"/>
              <w:ind w:left="8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$0.0001 par value per share</w:t>
            </w:r>
          </w:p>
        </w:tc>
        <w:tc>
          <w:tcPr>
            <w:tcW w:w="1620" w:type="dxa"/>
            <w:vAlign w:val="bottom"/>
            <w:tcBorders>
              <w:bottom w:val="single" w:sz="8" w:color="auto"/>
              <w:right w:val="single" w:sz="8" w:color="auto"/>
            </w:tcBorders>
            <w:shd w:val="clear" w:color="auto" w:fill="CCEEFF"/>
          </w:tcPr>
          <w:p>
            <w:pPr>
              <w:jc w:val="center"/>
              <w:ind w:left="98"/>
              <w:spacing w:after="0"/>
              <w:rPr>
                <w:sz w:val="20"/>
                <w:szCs w:val="20"/>
                <w:color w:val="auto"/>
              </w:rPr>
            </w:pPr>
            <w:r>
              <w:rPr>
                <w:rFonts w:ascii="Arial" w:cs="Arial" w:eastAsia="Arial" w:hAnsi="Arial"/>
                <w:sz w:val="18"/>
                <w:szCs w:val="18"/>
                <w:color w:val="auto"/>
                <w:w w:val="88"/>
              </w:rPr>
              <w:t>1,788,750 shares</w:t>
            </w:r>
            <w:r>
              <w:rPr>
                <w:rFonts w:ascii="Arial" w:cs="Arial" w:eastAsia="Arial" w:hAnsi="Arial"/>
                <w:sz w:val="15"/>
                <w:szCs w:val="15"/>
                <w:color w:val="auto"/>
                <w:w w:val="88"/>
              </w:rPr>
              <w:t>(2)</w:t>
            </w:r>
          </w:p>
        </w:tc>
        <w:tc>
          <w:tcPr>
            <w:tcW w:w="900" w:type="dxa"/>
            <w:vAlign w:val="bottom"/>
            <w:tcBorders>
              <w:bottom w:val="single" w:sz="8" w:color="auto"/>
              <w:right w:val="single" w:sz="8" w:color="auto"/>
            </w:tcBorders>
            <w:shd w:val="clear" w:color="auto" w:fill="CCEEFF"/>
          </w:tcPr>
          <w:p>
            <w:pPr>
              <w:jc w:val="center"/>
              <w:ind w:left="81"/>
              <w:spacing w:after="0"/>
              <w:rPr>
                <w:sz w:val="20"/>
                <w:szCs w:val="20"/>
                <w:color w:val="auto"/>
              </w:rPr>
            </w:pPr>
            <w:r>
              <w:rPr>
                <w:rFonts w:ascii="Arial" w:cs="Arial" w:eastAsia="Arial" w:hAnsi="Arial"/>
                <w:sz w:val="18"/>
                <w:szCs w:val="18"/>
                <w:color w:val="auto"/>
                <w:w w:val="91"/>
              </w:rPr>
              <w:t>$2.56</w:t>
            </w:r>
            <w:r>
              <w:rPr>
                <w:rFonts w:ascii="Arial" w:cs="Arial" w:eastAsia="Arial" w:hAnsi="Arial"/>
                <w:sz w:val="15"/>
                <w:szCs w:val="15"/>
                <w:color w:val="auto"/>
                <w:w w:val="91"/>
              </w:rPr>
              <w:t>(3)</w:t>
            </w:r>
          </w:p>
        </w:tc>
        <w:tc>
          <w:tcPr>
            <w:tcW w:w="1120" w:type="dxa"/>
            <w:vAlign w:val="bottom"/>
            <w:tcBorders>
              <w:bottom w:val="single" w:sz="8" w:color="auto"/>
              <w:right w:val="single" w:sz="8" w:color="auto"/>
            </w:tcBorders>
            <w:shd w:val="clear" w:color="auto" w:fill="CCEEFF"/>
          </w:tcPr>
          <w:p>
            <w:pPr>
              <w:jc w:val="center"/>
              <w:ind w:left="80"/>
              <w:spacing w:after="0"/>
              <w:rPr>
                <w:sz w:val="20"/>
                <w:szCs w:val="20"/>
                <w:color w:val="auto"/>
              </w:rPr>
            </w:pPr>
            <w:r>
              <w:rPr>
                <w:rFonts w:ascii="Arial" w:cs="Arial" w:eastAsia="Arial" w:hAnsi="Arial"/>
                <w:sz w:val="18"/>
                <w:szCs w:val="18"/>
                <w:color w:val="auto"/>
                <w:w w:val="88"/>
              </w:rPr>
              <w:t>$4,579,200</w:t>
            </w:r>
          </w:p>
        </w:tc>
        <w:tc>
          <w:tcPr>
            <w:tcW w:w="960" w:type="dxa"/>
            <w:vAlign w:val="bottom"/>
            <w:tcBorders>
              <w:bottom w:val="single" w:sz="8" w:color="auto"/>
            </w:tcBorders>
            <w:shd w:val="clear" w:color="auto" w:fill="CCEEFF"/>
          </w:tcPr>
          <w:p>
            <w:pPr>
              <w:jc w:val="center"/>
              <w:ind w:left="98"/>
              <w:spacing w:after="0"/>
              <w:rPr>
                <w:sz w:val="20"/>
                <w:szCs w:val="20"/>
                <w:color w:val="auto"/>
              </w:rPr>
            </w:pPr>
            <w:r>
              <w:rPr>
                <w:rFonts w:ascii="Arial" w:cs="Arial" w:eastAsia="Arial" w:hAnsi="Arial"/>
                <w:sz w:val="18"/>
                <w:szCs w:val="18"/>
                <w:color w:val="auto"/>
                <w:w w:val="89"/>
              </w:rPr>
              <w:t>$570.11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62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8"/>
                <w:szCs w:val="18"/>
                <w:color w:val="auto"/>
                <w:w w:val="87"/>
              </w:rPr>
              <w:t>616,300 shares</w:t>
            </w:r>
            <w:r>
              <w:rPr>
                <w:rFonts w:ascii="Arial" w:cs="Arial" w:eastAsia="Arial" w:hAnsi="Arial"/>
                <w:sz w:val="15"/>
                <w:szCs w:val="15"/>
                <w:color w:val="auto"/>
                <w:w w:val="87"/>
              </w:rPr>
              <w:t>(4)</w:t>
            </w:r>
          </w:p>
        </w:tc>
        <w:tc>
          <w:tcPr>
            <w:tcW w:w="90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8"/>
                <w:szCs w:val="18"/>
                <w:color w:val="auto"/>
                <w:w w:val="92"/>
              </w:rPr>
              <w:t>$19.00</w:t>
            </w:r>
            <w:r>
              <w:rPr>
                <w:rFonts w:ascii="Arial" w:cs="Arial" w:eastAsia="Arial" w:hAnsi="Arial"/>
                <w:sz w:val="15"/>
                <w:szCs w:val="15"/>
                <w:color w:val="auto"/>
                <w:w w:val="92"/>
              </w:rPr>
              <w:t>(5)</w:t>
            </w:r>
          </w:p>
        </w:tc>
        <w:tc>
          <w:tcPr>
            <w:tcW w:w="1120" w:type="dxa"/>
            <w:vAlign w:val="bottom"/>
            <w:tcBorders>
              <w:bottom w:val="single" w:sz="8" w:color="auto"/>
              <w:right w:val="single" w:sz="8" w:color="auto"/>
            </w:tcBorders>
          </w:tcPr>
          <w:p>
            <w:pPr>
              <w:jc w:val="center"/>
              <w:ind w:left="80"/>
              <w:spacing w:after="0"/>
              <w:rPr>
                <w:sz w:val="20"/>
                <w:szCs w:val="20"/>
                <w:color w:val="auto"/>
              </w:rPr>
            </w:pPr>
            <w:r>
              <w:rPr>
                <w:rFonts w:ascii="Arial" w:cs="Arial" w:eastAsia="Arial" w:hAnsi="Arial"/>
                <w:sz w:val="18"/>
                <w:szCs w:val="18"/>
                <w:color w:val="auto"/>
                <w:w w:val="87"/>
              </w:rPr>
              <w:t>$11,709,700</w:t>
            </w:r>
          </w:p>
        </w:tc>
        <w:tc>
          <w:tcPr>
            <w:tcW w:w="960" w:type="dxa"/>
            <w:vAlign w:val="bottom"/>
            <w:tcBorders>
              <w:bottom w:val="single" w:sz="8" w:color="auto"/>
            </w:tcBorders>
          </w:tcPr>
          <w:p>
            <w:pPr>
              <w:jc w:val="center"/>
              <w:ind w:left="118"/>
              <w:spacing w:after="0"/>
              <w:rPr>
                <w:sz w:val="20"/>
                <w:szCs w:val="20"/>
                <w:color w:val="auto"/>
              </w:rPr>
            </w:pPr>
            <w:r>
              <w:rPr>
                <w:rFonts w:ascii="Arial" w:cs="Arial" w:eastAsia="Arial" w:hAnsi="Arial"/>
                <w:sz w:val="18"/>
                <w:szCs w:val="18"/>
                <w:color w:val="auto"/>
                <w:w w:val="89"/>
              </w:rPr>
              <w:t>$1,457.86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$0.0001 par value per share</w:t>
            </w:r>
          </w:p>
        </w:tc>
        <w:tc>
          <w:tcPr>
            <w:tcW w:w="1620" w:type="dxa"/>
            <w:vAlign w:val="bottom"/>
            <w:tcBorders>
              <w:bottom w:val="single" w:sz="8" w:color="auto"/>
              <w:right w:val="single" w:sz="8" w:color="auto"/>
            </w:tcBorders>
            <w:shd w:val="clear" w:color="auto" w:fill="CCEEFF"/>
          </w:tcPr>
          <w:p>
            <w:pPr>
              <w:jc w:val="center"/>
              <w:ind w:left="98"/>
              <w:spacing w:after="0"/>
              <w:rPr>
                <w:sz w:val="20"/>
                <w:szCs w:val="20"/>
                <w:color w:val="auto"/>
              </w:rPr>
            </w:pPr>
            <w:r>
              <w:rPr>
                <w:rFonts w:ascii="Arial" w:cs="Arial" w:eastAsia="Arial" w:hAnsi="Arial"/>
                <w:sz w:val="18"/>
                <w:szCs w:val="18"/>
                <w:color w:val="auto"/>
                <w:w w:val="87"/>
              </w:rPr>
              <w:t>223,200 shares</w:t>
            </w:r>
            <w:r>
              <w:rPr>
                <w:rFonts w:ascii="Arial" w:cs="Arial" w:eastAsia="Arial" w:hAnsi="Arial"/>
                <w:sz w:val="15"/>
                <w:szCs w:val="15"/>
                <w:color w:val="auto"/>
                <w:w w:val="87"/>
              </w:rPr>
              <w:t>(6)</w:t>
            </w:r>
          </w:p>
        </w:tc>
        <w:tc>
          <w:tcPr>
            <w:tcW w:w="900" w:type="dxa"/>
            <w:vAlign w:val="bottom"/>
            <w:tcBorders>
              <w:bottom w:val="single" w:sz="8" w:color="auto"/>
              <w:right w:val="single" w:sz="8" w:color="auto"/>
            </w:tcBorders>
            <w:shd w:val="clear" w:color="auto" w:fill="CCEEFF"/>
          </w:tcPr>
          <w:p>
            <w:pPr>
              <w:jc w:val="center"/>
              <w:ind w:left="101"/>
              <w:spacing w:after="0"/>
              <w:rPr>
                <w:sz w:val="20"/>
                <w:szCs w:val="20"/>
                <w:color w:val="auto"/>
              </w:rPr>
            </w:pPr>
            <w:r>
              <w:rPr>
                <w:rFonts w:ascii="Arial" w:cs="Arial" w:eastAsia="Arial" w:hAnsi="Arial"/>
                <w:sz w:val="18"/>
                <w:szCs w:val="18"/>
                <w:color w:val="auto"/>
                <w:w w:val="92"/>
              </w:rPr>
              <w:t>$16.15</w:t>
            </w:r>
            <w:r>
              <w:rPr>
                <w:rFonts w:ascii="Arial" w:cs="Arial" w:eastAsia="Arial" w:hAnsi="Arial"/>
                <w:sz w:val="15"/>
                <w:szCs w:val="15"/>
                <w:color w:val="auto"/>
                <w:w w:val="92"/>
              </w:rPr>
              <w:t>(7)</w:t>
            </w:r>
          </w:p>
        </w:tc>
        <w:tc>
          <w:tcPr>
            <w:tcW w:w="1120" w:type="dxa"/>
            <w:vAlign w:val="bottom"/>
            <w:tcBorders>
              <w:bottom w:val="single" w:sz="8" w:color="auto"/>
              <w:right w:val="single" w:sz="8" w:color="auto"/>
            </w:tcBorders>
            <w:shd w:val="clear" w:color="auto" w:fill="CCEEFF"/>
          </w:tcPr>
          <w:p>
            <w:pPr>
              <w:jc w:val="center"/>
              <w:ind w:left="80"/>
              <w:spacing w:after="0"/>
              <w:rPr>
                <w:sz w:val="20"/>
                <w:szCs w:val="20"/>
                <w:color w:val="auto"/>
              </w:rPr>
            </w:pPr>
            <w:r>
              <w:rPr>
                <w:rFonts w:ascii="Arial" w:cs="Arial" w:eastAsia="Arial" w:hAnsi="Arial"/>
                <w:sz w:val="18"/>
                <w:szCs w:val="18"/>
                <w:color w:val="auto"/>
                <w:w w:val="88"/>
              </w:rPr>
              <w:t>$3,604,680</w:t>
            </w:r>
          </w:p>
        </w:tc>
        <w:tc>
          <w:tcPr>
            <w:tcW w:w="960" w:type="dxa"/>
            <w:vAlign w:val="bottom"/>
            <w:tcBorders>
              <w:bottom w:val="single" w:sz="8" w:color="auto"/>
            </w:tcBorders>
            <w:shd w:val="clear" w:color="auto" w:fill="CCEEFF"/>
          </w:tcPr>
          <w:p>
            <w:pPr>
              <w:jc w:val="center"/>
              <w:ind w:left="98"/>
              <w:spacing w:after="0"/>
              <w:rPr>
                <w:sz w:val="20"/>
                <w:szCs w:val="20"/>
                <w:color w:val="auto"/>
              </w:rPr>
            </w:pPr>
            <w:r>
              <w:rPr>
                <w:rFonts w:ascii="Arial" w:cs="Arial" w:eastAsia="Arial" w:hAnsi="Arial"/>
                <w:sz w:val="18"/>
                <w:szCs w:val="18"/>
                <w:color w:val="auto"/>
                <w:w w:val="89"/>
              </w:rPr>
              <w:t>$448.79</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8"/>
                <w:szCs w:val="18"/>
                <w:color w:val="auto"/>
                <w:w w:val="86"/>
              </w:rPr>
              <w:t>2,628,250 shares</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left="100"/>
              <w:spacing w:after="0"/>
              <w:rPr>
                <w:sz w:val="20"/>
                <w:szCs w:val="20"/>
                <w:color w:val="auto"/>
              </w:rPr>
            </w:pPr>
            <w:r>
              <w:rPr>
                <w:rFonts w:ascii="Arial" w:cs="Arial" w:eastAsia="Arial" w:hAnsi="Arial"/>
                <w:sz w:val="18"/>
                <w:szCs w:val="18"/>
                <w:color w:val="auto"/>
                <w:w w:val="89"/>
              </w:rPr>
              <w:t>$19,893,580</w:t>
            </w:r>
          </w:p>
        </w:tc>
        <w:tc>
          <w:tcPr>
            <w:tcW w:w="960" w:type="dxa"/>
            <w:vAlign w:val="bottom"/>
            <w:tcBorders>
              <w:bottom w:val="single" w:sz="8" w:color="auto"/>
            </w:tcBorders>
          </w:tcPr>
          <w:p>
            <w:pPr>
              <w:jc w:val="center"/>
              <w:ind w:left="118"/>
              <w:spacing w:after="0"/>
              <w:rPr>
                <w:sz w:val="20"/>
                <w:szCs w:val="20"/>
                <w:color w:val="auto"/>
              </w:rPr>
            </w:pPr>
            <w:r>
              <w:rPr>
                <w:rFonts w:ascii="Arial" w:cs="Arial" w:eastAsia="Arial" w:hAnsi="Arial"/>
                <w:sz w:val="18"/>
                <w:szCs w:val="18"/>
                <w:color w:val="auto"/>
                <w:w w:val="89"/>
              </w:rPr>
              <w:t>$2,476.76</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3"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upon the exercise of outstanding stock options awards under the Amended and Restated 2015 Stock Option and Grant Plan (the “2015 Plan”) as of June 21, 2018. No further grants will be made under the 2015 Plan. To the extent outstanding options granted under the 2015 Plan are cancelled, forfeited or otherwise terminated without being exercised and would otherwise have been returned to the share reserve under the 2015 Plan, the number of shares underlying such awards will be available for future grant under the 2018 Stock Option and Incentive Plan (the “2018 Plan”). See footnote 4 below.</w:t>
      </w:r>
    </w:p>
    <w:p>
      <w:pPr>
        <w:spacing w:after="0" w:line="2" w:lineRule="exact"/>
        <w:rPr>
          <w:rFonts w:ascii="Arial" w:cs="Arial" w:eastAsia="Arial" w:hAnsi="Arial"/>
          <w:sz w:val="18"/>
          <w:szCs w:val="18"/>
          <w:color w:val="auto"/>
        </w:rPr>
      </w:pPr>
    </w:p>
    <w:p>
      <w:pPr>
        <w:ind w:left="460" w:right="4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$2.56 per share, the weighted average exercise price (rounded to the nearest cent) of the outstanding option awards under the 2015 Plan as of June 21, 2018.</w:t>
      </w:r>
    </w:p>
    <w:p>
      <w:pPr>
        <w:spacing w:after="0" w:line="1"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616,300 shares of common stock reserved for issuance under the 2018 Plan, which consists of (i) 82,389 shares of common stock issuable upon the exercise of outstanding stock options awards under the 2018 Plan as of June 21, 2018 plus (ii) 533,911 shares of common stock reserved for future issuance under the 2018 Plan. In addition to the shares registered under the 2018 Plan, to the extent that awards outstanding under the 2015 Plan as of the date of this Registration Statement are cancelled, forfeited or otherwise terminated without being exercised, the number of shares underlying such awards will be available for future grant under the 2018 Plan. The 2018 Plan provides that an additional number of shares will automatically be added to the shares authorized for issuance under the 2018 Plan on January 1 of each year. The number of shares added each year will be equal to the lesser of: (i) 4% of the outstanding shares on the immediately preceding December 31 or (ii) such amount as determined by the Compensation Committee of the registrant’s Board of Directors.</w:t>
      </w:r>
    </w:p>
    <w:p>
      <w:pPr>
        <w:spacing w:after="0" w:line="1" w:lineRule="exact"/>
        <w:rPr>
          <w:rFonts w:ascii="Arial" w:cs="Arial" w:eastAsia="Arial" w:hAnsi="Arial"/>
          <w:sz w:val="17"/>
          <w:szCs w:val="17"/>
          <w:color w:val="auto"/>
        </w:rPr>
      </w:pPr>
    </w:p>
    <w:p>
      <w:pPr>
        <w:jc w:val="both"/>
        <w:ind w:left="460" w:right="30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 of the Securities Act, and based on $19.00, the initial public offering price per share of the registrant’s common stock set forth on the cover page of the registrant’s prospectus dated June 20, 2018 relating to its initial public offering. Pursuant to the 2018 Plan, the purchase price of the shares of common stock reserved for issuance thereunder will be the fair market value of a share of common stock as set forth on the cover page for the final prospectus relating to the registrant’s initial public offering.</w:t>
      </w:r>
    </w:p>
    <w:p>
      <w:pPr>
        <w:spacing w:after="0" w:line="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future issuance under the 2018 Employee Stock Purchase Plan (the “2018 ESPP”). The 2018 ESPP provides that an additional number of shares will automatically be added to the shares authorized for issuance under the 2018 ESPP on January 1 of each year. The number of shares added each year will be equal to the least of: (i) 1% of the outstanding shares on the immediately preceding December 31, (ii) 1,115,700 shares of common stock, or (iii) such amount as determined by the Compensation Committee of the registrant’s Board of Directors.</w:t>
      </w:r>
    </w:p>
    <w:p>
      <w:pPr>
        <w:spacing w:after="0" w:line="2" w:lineRule="exact"/>
        <w:rPr>
          <w:rFonts w:ascii="Arial" w:cs="Arial" w:eastAsia="Arial" w:hAnsi="Arial"/>
          <w:sz w:val="18"/>
          <w:szCs w:val="18"/>
          <w:color w:val="auto"/>
        </w:rPr>
      </w:pPr>
    </w:p>
    <w:p>
      <w:pPr>
        <w:ind w:left="460" w:right="40" w:hanging="452"/>
        <w:spacing w:after="0" w:line="29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 of the Securities Act, and based on 85% of $19.00, the initial public offering price per share of the registrant’s common stock set forth on the cover page of the registrant’s prospectus dated June 20, 2018 relating to its initial public offering. Pursuant to the 2018 ESPP, the purchase price of the shares of common stock reserved for issuance thereunder will be 85% of the fair market value of a share of common stock on the first trading day of the offering period or on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197485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Proposed sales to take place as soon after the effective date of the Registration Statement as awards are granted, exercised or distributed under the above-named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documents containing the information specified in this Item 1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SEC:</w:t>
      </w:r>
    </w:p>
    <w:p>
      <w:pPr>
        <w:spacing w:after="0" w:line="131"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prospectus filed by the registrant with the SEC pursuant to Rule 424(b) under the Securities Act, on June 21, 2018, relating to the Registration Statement on Form S-1, as amended (File No. 333-225213), which contains the registrant’s audited financial statements for the latest fiscal year for which such statements have been filed; and</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 No. 001-38537), filed by the registrant with the SEC under Section 12(b) of the Securities Exchange Act of 1934, as amended (the “Exchange Act”), on June 18, 2018, including any amendments or reports filed for the purpose of updating such description.</w:t>
      </w:r>
    </w:p>
    <w:p>
      <w:pPr>
        <w:spacing w:after="0" w:line="18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ectPr>
          <w:pgSz w:w="11900" w:h="16838" w:orient="portrait"/>
          <w:cols w:equalWidth="0" w:num="1">
            <w:col w:w="11380"/>
          </w:cols>
          <w:pgMar w:left="240" w:top="270" w:right="2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7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our initial public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900" w:right="1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2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w:t>
      </w:r>
    </w:p>
    <w:p>
      <w:pPr>
        <w:sectPr>
          <w:pgSz w:w="11900" w:h="16838" w:orient="portrait"/>
          <w:cols w:equalWidth="0" w:num="1">
            <w:col w:w="11400"/>
          </w:cols>
          <w:pgMar w:left="240" w:top="270" w:right="259" w:bottom="1440" w:gutter="0" w:footer="0" w:header="0"/>
        </w:sectPr>
      </w:pPr>
    </w:p>
    <w:bookmarkStart w:id="4" w:name="page5"/>
    <w:bookmarkEnd w:id="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360" w:type="dxa"/>
            <w:vAlign w:val="bottom"/>
            <w:gridSpan w:val="1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80" w:type="dxa"/>
            <w:vAlign w:val="bottom"/>
            <w:gridSpan w:val="14"/>
          </w:tcPr>
          <w:p>
            <w:pPr>
              <w:ind w:left="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80" w:type="dxa"/>
            <w:vAlign w:val="bottom"/>
            <w:gridSpan w:val="12"/>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No.</w:t>
            </w:r>
          </w:p>
        </w:tc>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8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2"/>
                <w:szCs w:val="22"/>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Form of Fourth Amended and Restated Certificate of Incorporation (Incorporated by reference to Exhibit 3.3 to the Registrant’s Registration</w:t>
              </w:r>
            </w:hyperlink>
          </w:p>
        </w:tc>
        <w:tc>
          <w:tcPr>
            <w:tcW w:w="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60" w:type="dxa"/>
            <w:vAlign w:val="bottom"/>
            <w:gridSpan w:val="17"/>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Statement on Form S-1, as amended (File No. 333-225213)).</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120" w:type="dxa"/>
            <w:vAlign w:val="bottom"/>
            <w:tcBorders>
              <w:bottom w:val="single" w:sz="8" w:color="0000EE"/>
            </w:tcBorders>
            <w:gridSpan w:val="14"/>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Form of Amended and Restated By-laws (Incorporated by reference to Exhibit 3.5 to the registrant’s Registration Statement on Form S-1, as</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60" w:type="dxa"/>
            <w:vAlign w:val="bottom"/>
            <w:gridSpan w:val="17"/>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amended (File No. 333-225213)).</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10360" w:type="dxa"/>
            <w:vAlign w:val="bottom"/>
            <w:tcBorders>
              <w:bottom w:val="single" w:sz="8" w:color="0000EE"/>
            </w:tcBorders>
            <w:gridSpan w:val="17"/>
          </w:tcPr>
          <w:p>
            <w:pPr>
              <w:spacing w:after="0"/>
              <w:rPr>
                <w:rFonts w:ascii="Arial" w:cs="Arial" w:eastAsia="Arial" w:hAnsi="Arial"/>
                <w:sz w:val="18"/>
                <w:szCs w:val="18"/>
                <w:color w:val="0000EE"/>
                <w:w w:val="89"/>
              </w:rPr>
            </w:pPr>
            <w:hyperlink r:id="rId26">
              <w:r>
                <w:rPr>
                  <w:rFonts w:ascii="Arial" w:cs="Arial" w:eastAsia="Arial" w:hAnsi="Arial"/>
                  <w:sz w:val="18"/>
                  <w:szCs w:val="18"/>
                  <w:color w:val="0000EE"/>
                  <w:w w:val="89"/>
                </w:rPr>
                <w:t>Second Amended and Restated Investors’ Rights Agreement by and among the Registrant and certain of its stockholders, dated January 9, 2018</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(Incorporated by reference to Exhibit 4.2 to the Registrant’s Registration Statement on Form S-1, as amended (File No. 333-225213)).</w:t>
              </w:r>
            </w:hyperlink>
          </w:p>
        </w:tc>
        <w:tc>
          <w:tcPr>
            <w:tcW w:w="7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jc w:val="right"/>
              <w:ind w:right="600"/>
              <w:spacing w:after="0"/>
              <w:rPr>
                <w:sz w:val="20"/>
                <w:szCs w:val="20"/>
                <w:color w:val="auto"/>
              </w:rPr>
            </w:pPr>
            <w:r>
              <w:rPr>
                <w:rFonts w:ascii="Arial" w:cs="Arial" w:eastAsia="Arial" w:hAnsi="Arial"/>
                <w:sz w:val="18"/>
                <w:szCs w:val="18"/>
                <w:color w:val="auto"/>
              </w:rPr>
              <w:t>5.1*</w:t>
            </w:r>
          </w:p>
        </w:tc>
        <w:tc>
          <w:tcPr>
            <w:tcW w:w="24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Goodwin Procter LLP.</w:t>
            </w:r>
          </w:p>
        </w:tc>
        <w:tc>
          <w:tcPr>
            <w:tcW w:w="79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jc w:val="right"/>
              <w:ind w:right="600"/>
              <w:spacing w:after="0"/>
              <w:rPr>
                <w:sz w:val="20"/>
                <w:szCs w:val="20"/>
                <w:color w:val="auto"/>
              </w:rPr>
            </w:pPr>
            <w:r>
              <w:rPr>
                <w:rFonts w:ascii="Arial" w:cs="Arial" w:eastAsia="Arial" w:hAnsi="Arial"/>
                <w:sz w:val="18"/>
                <w:szCs w:val="18"/>
                <w:color w:val="auto"/>
                <w:w w:val="95"/>
              </w:rPr>
              <w:t>23.1*</w:t>
            </w:r>
          </w:p>
        </w:tc>
        <w:tc>
          <w:tcPr>
            <w:tcW w:w="10360" w:type="dxa"/>
            <w:vAlign w:val="bottom"/>
            <w:gridSpan w:val="17"/>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304"/>
        </w:trPr>
        <w:tc>
          <w:tcPr>
            <w:tcW w:w="1020" w:type="dxa"/>
            <w:vAlign w:val="bottom"/>
            <w:gridSpan w:val="3"/>
          </w:tcPr>
          <w:p>
            <w:pPr>
              <w:jc w:val="right"/>
              <w:ind w:right="600"/>
              <w:spacing w:after="0"/>
              <w:rPr>
                <w:sz w:val="20"/>
                <w:szCs w:val="20"/>
                <w:color w:val="auto"/>
              </w:rPr>
            </w:pPr>
            <w:r>
              <w:rPr>
                <w:rFonts w:ascii="Arial" w:cs="Arial" w:eastAsia="Arial" w:hAnsi="Arial"/>
                <w:sz w:val="18"/>
                <w:szCs w:val="18"/>
                <w:color w:val="auto"/>
                <w:w w:val="95"/>
              </w:rPr>
              <w:t>23.2*</w:t>
            </w:r>
          </w:p>
        </w:tc>
        <w:tc>
          <w:tcPr>
            <w:tcW w:w="43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Consent of Goodwin Procter LLP (included in Exhibit 5.1).</w:t>
            </w:r>
          </w:p>
        </w:tc>
        <w:tc>
          <w:tcPr>
            <w:tcW w:w="1580" w:type="dxa"/>
            <w:vAlign w:val="bottom"/>
            <w:tcBorders>
              <w:top w:val="single" w:sz="8" w:color="0000EE"/>
            </w:tcBorders>
            <w:gridSpan w:val="5"/>
          </w:tcPr>
          <w:p>
            <w:pPr>
              <w:spacing w:after="0"/>
              <w:rPr>
                <w:sz w:val="24"/>
                <w:szCs w:val="24"/>
                <w:color w:val="auto"/>
              </w:rPr>
            </w:pPr>
          </w:p>
        </w:tc>
        <w:tc>
          <w:tcPr>
            <w:tcW w:w="4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jc w:val="right"/>
              <w:ind w:right="600"/>
              <w:spacing w:after="0"/>
              <w:rPr>
                <w:sz w:val="20"/>
                <w:szCs w:val="20"/>
                <w:color w:val="auto"/>
              </w:rPr>
            </w:pPr>
            <w:r>
              <w:rPr>
                <w:rFonts w:ascii="Arial" w:cs="Arial" w:eastAsia="Arial" w:hAnsi="Arial"/>
                <w:sz w:val="18"/>
                <w:szCs w:val="18"/>
                <w:color w:val="auto"/>
                <w:w w:val="95"/>
              </w:rPr>
              <w:t>24.1*</w:t>
            </w: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99.1</w:t>
            </w:r>
          </w:p>
        </w:tc>
        <w:tc>
          <w:tcPr>
            <w:tcW w:w="680" w:type="dxa"/>
            <w:vAlign w:val="bottom"/>
          </w:tcPr>
          <w:p>
            <w:pPr>
              <w:spacing w:after="0"/>
              <w:rPr>
                <w:sz w:val="24"/>
                <w:szCs w:val="24"/>
                <w:color w:val="auto"/>
              </w:rPr>
            </w:pPr>
          </w:p>
        </w:tc>
        <w:tc>
          <w:tcPr>
            <w:tcW w:w="10060" w:type="dxa"/>
            <w:vAlign w:val="bottom"/>
            <w:tcBorders>
              <w:bottom w:val="single" w:sz="8" w:color="0000EE"/>
            </w:tcBorders>
            <w:gridSpan w:val="13"/>
          </w:tcPr>
          <w:p>
            <w:pPr>
              <w:spacing w:after="0"/>
              <w:rPr>
                <w:rFonts w:ascii="Arial" w:cs="Arial" w:eastAsia="Arial" w:hAnsi="Arial"/>
                <w:sz w:val="18"/>
                <w:szCs w:val="18"/>
                <w:color w:val="0000EE"/>
                <w:w w:val="89"/>
              </w:rPr>
            </w:pPr>
            <w:hyperlink r:id="rId27">
              <w:r>
                <w:rPr>
                  <w:rFonts w:ascii="Arial" w:cs="Arial" w:eastAsia="Arial" w:hAnsi="Arial"/>
                  <w:sz w:val="18"/>
                  <w:szCs w:val="18"/>
                  <w:color w:val="0000EE"/>
                  <w:w w:val="89"/>
                </w:rPr>
                <w:t>Amended and Restated 2015 Stock Option and Grant Plan and forms of award agreements thereunder (Incorporated by reference to Exhibit</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60" w:type="dxa"/>
            <w:vAlign w:val="bottom"/>
            <w:gridSpan w:val="17"/>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Registration Statement on Form S-1, as amended (File No. 333-225213)).</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gridSpan w:val="7"/>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99.2</w:t>
            </w:r>
          </w:p>
        </w:tc>
        <w:tc>
          <w:tcPr>
            <w:tcW w:w="680" w:type="dxa"/>
            <w:vAlign w:val="bottom"/>
          </w:tcPr>
          <w:p>
            <w:pPr>
              <w:spacing w:after="0"/>
              <w:rPr>
                <w:sz w:val="24"/>
                <w:szCs w:val="24"/>
                <w:color w:val="auto"/>
              </w:rPr>
            </w:pPr>
          </w:p>
        </w:tc>
        <w:tc>
          <w:tcPr>
            <w:tcW w:w="10260" w:type="dxa"/>
            <w:vAlign w:val="bottom"/>
            <w:tcBorders>
              <w:bottom w:val="single" w:sz="8" w:color="0000EE"/>
            </w:tcBorders>
            <w:gridSpan w:val="16"/>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2018 Stock Option and Incentive Plan and forms of award agreements thereunder (Incorporated by reference to Exhibit 10.2 to the registrant’s</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Registration Statement on Form S-1, as amended (File No. 333-225213)).</w:t>
              </w:r>
            </w:hyperlink>
          </w:p>
        </w:tc>
        <w:tc>
          <w:tcPr>
            <w:tcW w:w="5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99.3</w:t>
            </w:r>
          </w:p>
        </w:tc>
        <w:tc>
          <w:tcPr>
            <w:tcW w:w="68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2018 Employee Stock Purchase Plan (Incorporated by reference to Exhibit 10.14 to the registrant’s Registration Statement on Form S-1,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amended (File No. 333-225213)).</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40" w:firstLine="921"/>
        <w:spacing w:after="0" w:line="273" w:lineRule="auto"/>
        <w:tabs>
          <w:tab w:leader="none" w:pos="1178"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ectPr>
          <w:pgSz w:w="11900" w:h="16838" w:orient="portrait"/>
          <w:cols w:equalWidth="0" w:num="1">
            <w:col w:w="11400"/>
          </w:cols>
          <w:pgMar w:left="240" w:top="274" w:right="259" w:bottom="1440" w:gutter="0" w:footer="0" w:header="0"/>
        </w:sectPr>
      </w:pPr>
    </w:p>
    <w:bookmarkStart w:id="5" w:name="page6"/>
    <w:bookmarkEnd w:id="5"/>
    <w:p>
      <w:pPr>
        <w:ind w:right="420" w:firstLine="921"/>
        <w:spacing w:after="0" w:line="277" w:lineRule="auto"/>
        <w:tabs>
          <w:tab w:leader="none" w:pos="1228"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herein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81" w:lineRule="exact"/>
        <w:rPr>
          <w:sz w:val="20"/>
          <w:szCs w:val="20"/>
          <w:color w:val="auto"/>
        </w:rPr>
      </w:pPr>
    </w:p>
    <w:p>
      <w:pPr>
        <w:ind w:right="520" w:firstLine="464"/>
        <w:spacing w:after="0" w:line="264" w:lineRule="auto"/>
        <w:tabs>
          <w:tab w:leader="none" w:pos="711"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20" w:firstLine="464"/>
        <w:spacing w:after="0" w:line="277" w:lineRule="auto"/>
        <w:tabs>
          <w:tab w:leader="none" w:pos="711"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firstLine="8"/>
        <w:spacing w:after="0" w:line="30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ind w:right="4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00"/>
          </w:cols>
          <w:pgMar w:left="240" w:top="274"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21st day of June,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Geoff MacKay and Katina Dorton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5080" w:type="dxa"/>
            <w:vAlign w:val="bottom"/>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tcPr>
          <w:p>
            <w:pPr>
              <w:jc w:val="center"/>
              <w:ind w:left="59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5080" w:type="dxa"/>
            <w:vAlign w:val="bottom"/>
          </w:tcPr>
          <w:p>
            <w:pPr>
              <w:jc w:val="center"/>
              <w:ind w:left="131"/>
              <w:spacing w:after="0"/>
              <w:rPr>
                <w:sz w:val="20"/>
                <w:szCs w:val="20"/>
                <w:color w:val="auto"/>
              </w:rPr>
            </w:pPr>
            <w:r>
              <w:rPr>
                <w:rFonts w:ascii="Arial" w:cs="Arial" w:eastAsia="Arial" w:hAnsi="Arial"/>
                <w:sz w:val="18"/>
                <w:szCs w:val="18"/>
                <w:i w:val="1"/>
                <w:iCs w:val="1"/>
                <w:color w:val="auto"/>
                <w:w w:val="91"/>
              </w:rPr>
              <w:t>Director, President, Chief Executive Officer and</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5080" w:type="dxa"/>
            <w:vAlign w:val="bottom"/>
          </w:tcPr>
          <w:p>
            <w:pPr>
              <w:jc w:val="center"/>
              <w:ind w:left="131"/>
              <w:spacing w:after="0"/>
              <w:rPr>
                <w:sz w:val="20"/>
                <w:szCs w:val="20"/>
                <w:color w:val="auto"/>
              </w:rPr>
            </w:pPr>
            <w:r>
              <w:rPr>
                <w:rFonts w:ascii="Arial" w:cs="Arial" w:eastAsia="Arial" w:hAnsi="Arial"/>
                <w:sz w:val="18"/>
                <w:szCs w:val="18"/>
                <w:i w:val="1"/>
                <w:iCs w:val="1"/>
                <w:color w:val="auto"/>
                <w:w w:val="94"/>
              </w:rPr>
              <w:t>Principal Executive Officer</w:t>
            </w: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Katina Dorton</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Chief Financial Officer and Principal Financial</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Katina Dorton</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2"/>
              </w:rPr>
              <w:t>and Accounting Officer</w:t>
            </w: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w:t>
            </w:r>
          </w:p>
        </w:tc>
        <w:tc>
          <w:tcPr>
            <w:tcW w:w="5080" w:type="dxa"/>
            <w:vAlign w:val="bottom"/>
          </w:tcPr>
          <w:p>
            <w:pPr>
              <w:jc w:val="center"/>
              <w:ind w:left="131"/>
              <w:spacing w:after="0"/>
              <w:rPr>
                <w:sz w:val="20"/>
                <w:szCs w:val="20"/>
                <w:color w:val="auto"/>
              </w:rPr>
            </w:pPr>
            <w:r>
              <w:rPr>
                <w:rFonts w:ascii="Arial" w:cs="Arial" w:eastAsia="Arial" w:hAnsi="Arial"/>
                <w:sz w:val="18"/>
                <w:szCs w:val="18"/>
                <w:i w:val="1"/>
                <w:iCs w:val="1"/>
                <w:color w:val="auto"/>
                <w:w w:val="92"/>
              </w:rPr>
              <w:t>Chairman of the Board of Directors</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Phillip B. Donenberg</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Paige</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Scott G. Requadt</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Scott G. Requadt</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Joshua Resnick</w:t>
            </w:r>
          </w:p>
        </w:tc>
        <w:tc>
          <w:tcPr>
            <w:tcW w:w="5080" w:type="dxa"/>
            <w:vAlign w:val="bottom"/>
          </w:tcPr>
          <w:p>
            <w:pPr>
              <w:jc w:val="center"/>
              <w:ind w:left="111"/>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jc w:val="center"/>
              <w:ind w:left="592"/>
              <w:spacing w:after="0"/>
              <w:rPr>
                <w:sz w:val="20"/>
                <w:szCs w:val="20"/>
                <w:color w:val="auto"/>
              </w:rPr>
            </w:pPr>
            <w:r>
              <w:rPr>
                <w:rFonts w:ascii="Arial" w:cs="Arial" w:eastAsia="Arial" w:hAnsi="Arial"/>
                <w:sz w:val="18"/>
                <w:szCs w:val="18"/>
                <w:color w:val="auto"/>
                <w:w w:val="89"/>
              </w:rPr>
              <w:t>June 21,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Joshua Resnick, M.D.</w:t>
            </w: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ectPr>
          <w:pgSz w:w="11900" w:h="16838" w:orient="portrait"/>
          <w:cols w:equalWidth="0" w:num="1">
            <w:col w:w="11360"/>
          </w:cols>
          <w:pgMar w:left="240" w:top="270"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June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2,628,250 shares (the “Shares”) of Common Stock, $0.0001 par value per share (“Common Stock”), of AVROBIO, Inc., a Delaware corporation (the “Company”), that may be issued pursuant to the Company’s Amended and Restated 2015 Stock Option and Grant Plan, 2018 Stock Option and Incentive Plan and 2018 Employee Stock Purchase Plan (collectively, the “Plans”).</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5"/>
          <w:szCs w:val="15"/>
          <w:color w:val="auto"/>
        </w:rPr>
        <w:t>LLP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AVROBIO, Inc. Amended and Restated 2015 Stock Option and Grant Plan, the AVROBIO, Inc. 2018 Stock Option and Incentive Plan, and the AVROBIO, Inc. 2018 Employee Stock Purchase Plan of our report dated April 6, 2018 (except for Note 17(b) as to which the date is June 11, 2018), with respect to the consolidated financial statements of AVROBIO, Inc. included in the Registration Statement (Form S-1 No. 333-225213) and related Prospectus of AVROBIO, Inc.,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20,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24" Type="http://schemas.openxmlformats.org/officeDocument/2006/relationships/hyperlink" Target="http://www.sec.gov/Archives/edgar/data/1681087/000119312518188630/d562006dex33.htm" TargetMode="External"/><Relationship Id="rId25" Type="http://schemas.openxmlformats.org/officeDocument/2006/relationships/hyperlink" Target="http://www.sec.gov/Archives/edgar/data/1681087/000119312518188630/d562006dex35.htm" TargetMode="External"/><Relationship Id="rId26" Type="http://schemas.openxmlformats.org/officeDocument/2006/relationships/hyperlink" Target="http://www.sec.gov/Archives/edgar/data/1681087/000119312518175024/d562006dex42.htm" TargetMode="External"/><Relationship Id="rId27" Type="http://schemas.openxmlformats.org/officeDocument/2006/relationships/hyperlink" Target="http://www.sec.gov/Archives/edgar/data/1681087/000119312518175024/d562006dex101.htm" TargetMode="External"/><Relationship Id="rId28" Type="http://schemas.openxmlformats.org/officeDocument/2006/relationships/hyperlink" Target="http://www.sec.gov/Archives/edgar/data/1681087/000119312518188630/d562006dex102.htm" TargetMode="External"/><Relationship Id="rId29" Type="http://schemas.openxmlformats.org/officeDocument/2006/relationships/hyperlink" Target="http://www.sec.gov/Archives/edgar/data/1681087/000119312518188630/d562006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2019-12-08T15:25:51Z</dcterms:created>
  <dcterms:modified xsi:type="dcterms:W3CDTF">2019-12-08T15:25:51Z</dcterms:modified>
</cp:coreProperties>
</file>