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4600d8k.htm"/>
      <w:bookmarkStart w:id="1" w:name="ksd12460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Tectonic Therapeutic,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001-38537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81-0710585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490 Arsenal Way, Suite 200</w:t>
            </w:r>
          </w:p>
          <w:p>
            <w:pPr>
              <w:pStyle w:val="TableContents"/>
              <w:bidi w:val="0"/>
              <w:spacing w:before="0" w:after="20"/>
              <w:jc w:val="center"/>
              <w:rPr>
                <w:rFonts w:ascii="Times New Roman" w:hAnsi="Times New Roman"/>
                <w:b/>
                <w:sz w:val="20"/>
              </w:rPr>
            </w:pPr>
            <w:r>
              <w:rPr>
                <w:rFonts w:ascii="Times New Roman" w:hAnsi="Times New Roman"/>
                <w:b/>
                <w:sz w:val="20"/>
              </w:rPr>
              <w:t>Watertown,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02472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(339) 666-3320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100" w:type="dxa"/>
        <w:jc w:val="left"/>
        <w:tblInd w:w="0" w:type="dxa"/>
        <w:tblLayout w:type="fixed"/>
        <w:tblCellMar>
          <w:top w:w="0" w:type="dxa"/>
          <w:left w:w="0" w:type="dxa"/>
          <w:bottom w:w="0" w:type="dxa"/>
          <w:right w:w="0" w:type="dxa"/>
        </w:tblCellMar>
      </w:tblPr>
      <w:tblGrid>
        <w:gridCol w:w="4265"/>
        <w:gridCol w:w="60"/>
        <w:gridCol w:w="665"/>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TECX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5.07 Submission of Matters to a Vote of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On June 8, 2026, Tectonic Therapeutic, Inc. (the “Company”) held its 2026 Annual Meeting of Stockholders (the “Annual Meeting”). As of the close of business on April 13, 2026, the record date for the Annual Meeting, 18,848,500 shares of common stock were outstanding and entitled to vote at the Annual Meeting. A summary of the matters voted upon by stockholders at the Annual Meeting is set forth below. </w:t>
      </w:r>
    </w:p>
    <w:p>
      <w:pPr>
        <w:pStyle w:val="TextBody"/>
        <w:bidi w:val="0"/>
        <w:spacing w:before="360" w:after="0"/>
        <w:jc w:val="left"/>
        <w:rPr>
          <w:rFonts w:ascii="Times New Roman" w:hAnsi="Times New Roman"/>
          <w:i/>
          <w:sz w:val="20"/>
        </w:rPr>
      </w:pPr>
      <w:r>
        <w:rPr>
          <w:rFonts w:ascii="Times New Roman" w:hAnsi="Times New Roman"/>
          <w:i/>
          <w:sz w:val="20"/>
        </w:rPr>
        <w:t xml:space="preserve">Proposal 1: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Timothy A. Springer and Stefan Vitorovic were elected as Class II directors, to hold office until the 2029 Annual Meeting of Stockholders and their successors are duly elected and qualified, or until their earlier death, resignation or removal. The final voting results are as follows: </w:t>
      </w:r>
    </w:p>
    <w:p>
      <w:pPr>
        <w:pStyle w:val="TextBody"/>
        <w:bidi w:val="0"/>
        <w:spacing w:before="0" w:after="0"/>
        <w:jc w:val="left"/>
        <w:rPr/>
      </w:pPr>
      <w:r>
        <w:rPr/>
        <w:t> </w:t>
      </w:r>
    </w:p>
    <w:tbl>
      <w:tblPr>
        <w:tblW w:w="7085" w:type="dxa"/>
        <w:jc w:val="left"/>
        <w:tblInd w:w="0" w:type="dxa"/>
        <w:tblLayout w:type="fixed"/>
        <w:tblCellMar>
          <w:top w:w="0" w:type="dxa"/>
          <w:left w:w="0" w:type="dxa"/>
          <w:bottom w:w="0" w:type="dxa"/>
          <w:right w:w="0" w:type="dxa"/>
        </w:tblCellMar>
      </w:tblPr>
      <w:tblGrid>
        <w:gridCol w:w="1880"/>
        <w:gridCol w:w="120"/>
        <w:gridCol w:w="60"/>
        <w:gridCol w:w="1100"/>
        <w:gridCol w:w="60"/>
        <w:gridCol w:w="120"/>
        <w:gridCol w:w="92"/>
        <w:gridCol w:w="1503"/>
        <w:gridCol w:w="60"/>
        <w:gridCol w:w="120"/>
        <w:gridCol w:w="109"/>
        <w:gridCol w:w="1786"/>
        <w:gridCol w:w="75"/>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Director Elected</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11,461,485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2,963,750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2,806,066</w:t>
            </w:r>
          </w:p>
        </w:tc>
        <w:tc>
          <w:tcPr>
            <w:tcW w:w="75" w:type="dxa"/>
            <w:tcBorders/>
            <w:shd w:fill="CCEEFF" w:val="cle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13,937,996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487,239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2,806,066</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Proposal 2: Ratification of Appointment of the Company’s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ratified the appointment by the Audit Committee of the Company’s Board of Directors of Deloitte &amp; Touche LLP as the Company’s independent registered public accounting firm for the fiscal year ending December 31, 2026. The final voting results are as follows: </w:t>
      </w:r>
    </w:p>
    <w:p>
      <w:pPr>
        <w:pStyle w:val="TextBody"/>
        <w:bidi w:val="0"/>
        <w:spacing w:before="0" w:after="0"/>
        <w:jc w:val="left"/>
        <w:rPr/>
      </w:pPr>
      <w:r>
        <w:rPr/>
        <w:t> </w:t>
      </w:r>
    </w:p>
    <w:tbl>
      <w:tblPr>
        <w:tblW w:w="4535" w:type="dxa"/>
        <w:jc w:val="left"/>
        <w:tblInd w:w="0" w:type="dxa"/>
        <w:tblLayout w:type="fixed"/>
        <w:tblCellMar>
          <w:top w:w="0" w:type="dxa"/>
          <w:left w:w="0" w:type="dxa"/>
          <w:bottom w:w="0" w:type="dxa"/>
          <w:right w:w="0" w:type="dxa"/>
        </w:tblCellMar>
      </w:tblPr>
      <w:tblGrid>
        <w:gridCol w:w="1115"/>
        <w:gridCol w:w="60"/>
        <w:gridCol w:w="1025"/>
        <w:gridCol w:w="60"/>
        <w:gridCol w:w="86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17,225,948</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3,831</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1,522</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0</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Proposal 3: Advisory Approval on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stockholders approved, on an advisory (non-binding) basis, the compensation of the Company’s Named Executive Officers, as disclosed in the Company’s proxy statement for the 2026 Annual Meeting. The final voting results are as follows: </w:t>
      </w:r>
    </w:p>
    <w:p>
      <w:pPr>
        <w:pStyle w:val="TextBody"/>
        <w:bidi w:val="0"/>
        <w:spacing w:before="0" w:after="0"/>
        <w:jc w:val="left"/>
        <w:rPr/>
      </w:pPr>
      <w:r>
        <w:rPr/>
        <w:t> </w:t>
      </w:r>
    </w:p>
    <w:tbl>
      <w:tblPr>
        <w:tblW w:w="4535" w:type="dxa"/>
        <w:jc w:val="left"/>
        <w:tblInd w:w="0" w:type="dxa"/>
        <w:tblLayout w:type="fixed"/>
        <w:tblCellMar>
          <w:top w:w="0" w:type="dxa"/>
          <w:left w:w="0" w:type="dxa"/>
          <w:bottom w:w="0" w:type="dxa"/>
          <w:right w:w="0" w:type="dxa"/>
        </w:tblCellMar>
      </w:tblPr>
      <w:tblGrid>
        <w:gridCol w:w="1115"/>
        <w:gridCol w:w="60"/>
        <w:gridCol w:w="1025"/>
        <w:gridCol w:w="60"/>
        <w:gridCol w:w="86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14,292,497</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118,271</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14,467</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2,806,066</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June 10, 2026, the Company issued a press release titled “Tectonic Therapeutic Completes Enrollment in TX45 APEX Phase 2 Clinical Trial in PH-HFpEF Patients.” A copy of the press release is attached as Exhibit 99.1 to this Current Report on Form 8-K and, other than the quotes contained therein, is incorporated herein by reference. </w:t>
      </w:r>
    </w:p>
    <w:p>
      <w:pPr>
        <w:pStyle w:val="TextBody"/>
        <w:bidi w:val="0"/>
        <w:spacing w:before="360" w:after="0"/>
        <w:jc w:val="left"/>
        <w:rPr>
          <w:rFonts w:ascii="Times New Roman" w:hAnsi="Times New Roman"/>
          <w:sz w:val="20"/>
        </w:rPr>
      </w:pPr>
      <w:r>
        <w:rPr>
          <w:rFonts w:ascii="Times New Roman" w:hAnsi="Times New Roman"/>
          <w:b/>
          <w:sz w:val="20"/>
        </w:rPr>
        <w:t>Item 9.01 Financial Statements and Exhibits.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 xml:space="preserve">Description </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24600dex991.htm">
              <w:r>
                <w:rPr>
                  <w:rStyle w:val="InternetLink"/>
                </w:rPr>
                <w:t xml:space="preserve">Press Release dated June 10,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(the cover page XBRL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801" w:type="dxa"/>
        <w:jc w:val="left"/>
        <w:tblInd w:w="0" w:type="dxa"/>
        <w:tblLayout w:type="fixed"/>
        <w:tblCellMar>
          <w:top w:w="0" w:type="dxa"/>
          <w:left w:w="0" w:type="dxa"/>
          <w:bottom w:w="0" w:type="dxa"/>
          <w:right w:w="0" w:type="dxa"/>
        </w:tblCellMar>
      </w:tblPr>
      <w:tblGrid>
        <w:gridCol w:w="1940"/>
        <w:gridCol w:w="60"/>
        <w:gridCol w:w="23"/>
        <w:gridCol w:w="60"/>
        <w:gridCol w:w="374"/>
        <w:gridCol w:w="61"/>
        <w:gridCol w:w="2283"/>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18" w:type="dxa"/>
            <w:gridSpan w:val="3"/>
            <w:tcBorders/>
            <w:vAlign w:val="center"/>
          </w:tcPr>
          <w:p>
            <w:pPr>
              <w:pStyle w:val="TableContents"/>
              <w:bidi w:val="0"/>
              <w:spacing w:before="0" w:after="283"/>
              <w:jc w:val="left"/>
              <w:rPr>
                <w:b/>
              </w:rPr>
            </w:pPr>
            <w:r>
              <w:rPr>
                <w:b/>
              </w:rPr>
              <w:t>Tectonic Therapeutic,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34" w:type="dxa"/>
            <w:gridSpan w:val="2"/>
            <w:tcBorders/>
            <w:vAlign w:val="center"/>
          </w:tcPr>
          <w:p>
            <w:pPr>
              <w:pStyle w:val="TableContents"/>
              <w:bidi w:val="0"/>
              <w:spacing w:before="0" w:after="283"/>
              <w:jc w:val="left"/>
              <w:rPr>
                <w:sz w:val="4"/>
                <w:szCs w:val="4"/>
              </w:rPr>
            </w:pPr>
            <w:r>
              <w:rPr>
                <w:sz w:val="4"/>
                <w:szCs w:val="4"/>
              </w:rPr>
            </w:r>
          </w:p>
        </w:tc>
        <w:tc>
          <w:tcPr>
            <w:tcW w:w="2344"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June 10,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By:</w:t>
            </w:r>
          </w:p>
        </w:tc>
        <w:tc>
          <w:tcPr>
            <w:tcW w:w="61" w:type="dxa"/>
            <w:tcBorders/>
            <w:vAlign w:val="center"/>
          </w:tcPr>
          <w:p>
            <w:pPr>
              <w:pStyle w:val="TableContents"/>
              <w:bidi w:val="0"/>
              <w:spacing w:before="0" w:after="283"/>
              <w:jc w:val="left"/>
              <w:rPr/>
            </w:pPr>
            <w:r>
              <w:rPr/>
              <w:t> </w:t>
            </w:r>
          </w:p>
        </w:tc>
        <w:tc>
          <w:tcPr>
            <w:tcW w:w="2283"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Lochner</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2283" w:type="dxa"/>
            <w:tcBorders/>
            <w:vAlign w:val="center"/>
          </w:tcPr>
          <w:p>
            <w:pPr>
              <w:pStyle w:val="TableContents"/>
              <w:bidi w:val="0"/>
              <w:spacing w:before="0" w:after="283"/>
              <w:jc w:val="left"/>
              <w:rPr/>
            </w:pPr>
            <w:r>
              <w:rPr/>
              <w:t>Daniel Lochner</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2283"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24600dex991.htm"/>
      <w:bookmarkStart w:id="3" w:name="ksd124600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Completes Enrollment in TX45 APEX Phase 2 Clinical Trial in PH-HFpEF Patients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APEX 24-week Phase 2 trial is evaluating the safety and efficacy of TX45 in patients with pulmonary hypertension associated with heart failure with preserved ejection fraction (PH-HFpEF)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APEX Phase 2 trial enrolled 191 patients across 14 countries, with approximately 72% of patients in the enriched population of CpcPH with a pulmonary vascular resistance (PVR) </w:t>
            </w:r>
            <w:r>
              <w:rPr>
                <w:rFonts w:ascii="Times New Roman" w:hAnsi="Times New Roman"/>
                <w:sz w:val="20"/>
                <w:u w:val="single"/>
              </w:rPr>
              <w:t>&gt;</w:t>
            </w:r>
            <w:r>
              <w:rPr>
                <w:rFonts w:ascii="Times New Roman" w:hAnsi="Times New Roman"/>
                <w:sz w:val="20"/>
              </w:rPr>
              <w:t xml:space="preserve">3 WU at baseline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TX45 APEX Phase 2 topline results expected in early Q1 2027 </w:t>
            </w:r>
          </w:p>
        </w:tc>
      </w:tr>
    </w:tbl>
    <w:p>
      <w:pPr>
        <w:pStyle w:val="TextBody"/>
        <w:bidi w:val="0"/>
        <w:spacing w:before="240" w:after="0"/>
        <w:jc w:val="left"/>
        <w:rPr>
          <w:rFonts w:ascii="Times New Roman" w:hAnsi="Times New Roman"/>
          <w:sz w:val="20"/>
        </w:rPr>
      </w:pPr>
      <w:r>
        <w:rPr>
          <w:rFonts w:ascii="Times New Roman" w:hAnsi="Times New Roman"/>
          <w:sz w:val="20"/>
        </w:rPr>
        <w:t>WATERTOWN, Mass., June 10, 2026 (GLOBE NEWSWIRE) – Tectonic Therapeutic, Inc. (NASDAQ: TECX) (“Tectonic” or the “Company”), a clinical stage biotechnology company focused on the discovery and development of therapeutic proteins and antibodies that modulate the activity of G-protein coupled receptors (“GPCRs”), today announced the completion of enrollment for the APEX trial, a 24-week Phase 2 clinical trial evaluating the safety and efficacy of TX45 in patients with pulmonary hypertension associated with heart failure with preserved ejection fraction (“PH-HFpEF”). The trial was designed to include an enriched population of a more severe disease subtype of combined pre- and post-capillary pulmonary hypertension (“CpcPH”) patients with a pulmonary vascular resistance (“PVR”)</w:t>
      </w:r>
      <w:r>
        <w:rPr>
          <w:rFonts w:ascii="Times New Roman" w:hAnsi="Times New Roman"/>
          <w:sz w:val="20"/>
          <w:u w:val="single"/>
        </w:rPr>
        <w:t>&gt;</w:t>
      </w:r>
      <w:r>
        <w:rPr>
          <w:rFonts w:ascii="Times New Roman" w:hAnsi="Times New Roman"/>
          <w:sz w:val="20"/>
        </w:rPr>
        <w:t xml:space="preserve">3 Wood Units (“WU”) at baseline. </w:t>
      </w:r>
    </w:p>
    <w:p>
      <w:pPr>
        <w:pStyle w:val="TextBody"/>
        <w:bidi w:val="0"/>
        <w:spacing w:before="240" w:after="0"/>
        <w:jc w:val="left"/>
        <w:rPr/>
      </w:pPr>
      <w:r>
        <w:rPr/>
        <w:t>“</w:t>
      </w:r>
      <w:r>
        <w:rPr>
          <w:rFonts w:ascii="Times New Roman" w:hAnsi="Times New Roman"/>
          <w:sz w:val="20"/>
        </w:rPr>
        <w:t xml:space="preserve">Reaching full enrollment in our APEX Phase 2 clinical trial represents a critical milestone for our TX45 clinical development program and brings us one step closer to potentially delivering a much-needed therapeutic option to patients suffering from PH-HFpEF,” said Alise Reicin, M.D., President and Chief Executive Officer of Tectonic. “We are deeply grateful to the clinical investigators, study coordinators, and, most importantly, the patients and their families whose participation makes this vital research possible. The strong momentum we experienced during enrollment underscores the significant unmet medical need in PH-HFpEF, especially in patients with CpcPH. With the trial now fully enrolled, we look forward to the upcoming topline results for APEX, expected in early Q1 2027, which will help further characterize the therapeutic profile of our candidate and guide our strategy moving forward.” </w:t>
      </w:r>
    </w:p>
    <w:p>
      <w:pPr>
        <w:pStyle w:val="TextBody"/>
        <w:bidi w:val="0"/>
        <w:spacing w:before="240" w:after="0"/>
        <w:jc w:val="left"/>
        <w:rPr>
          <w:rFonts w:ascii="Times New Roman" w:hAnsi="Times New Roman"/>
          <w:sz w:val="20"/>
        </w:rPr>
      </w:pPr>
      <w:r>
        <w:rPr>
          <w:rFonts w:ascii="Times New Roman" w:hAnsi="Times New Roman"/>
          <w:sz w:val="20"/>
        </w:rPr>
        <w:t>The APEX Phase 2 clinical trial enrolled a total of 191 patients across 14 countries of which 137 patients were enrolled with CpcPH and PVR</w:t>
      </w:r>
      <w:r>
        <w:rPr>
          <w:rFonts w:ascii="Times New Roman" w:hAnsi="Times New Roman"/>
          <w:sz w:val="20"/>
          <w:u w:val="single"/>
        </w:rPr>
        <w:t>&gt;</w:t>
      </w:r>
      <w:r>
        <w:rPr>
          <w:rFonts w:ascii="Times New Roman" w:hAnsi="Times New Roman"/>
          <w:sz w:val="20"/>
        </w:rPr>
        <w:t>3 WU at baseline, consistent with the goal for this patient population to represent approximately 70% of the overall patients enrolled in APEX. In the APEX clinical trial, the mean baseline PVR in the overall patient population and the subset of patients with CpcPH and PVR</w:t>
      </w:r>
      <w:r>
        <w:rPr>
          <w:rFonts w:ascii="Times New Roman" w:hAnsi="Times New Roman"/>
          <w:sz w:val="20"/>
          <w:u w:val="single"/>
        </w:rPr>
        <w:t>&gt;</w:t>
      </w:r>
      <w:r>
        <w:rPr>
          <w:rFonts w:ascii="Times New Roman" w:hAnsi="Times New Roman"/>
          <w:sz w:val="20"/>
        </w:rPr>
        <w:t xml:space="preserve">3 WU was 4.2 WU¹ and 5.2 WU¹, respectively. Tectonic expects topline results from the APEX clinical trial in early Q1 2027. </w:t>
      </w:r>
    </w:p>
    <w:p>
      <w:pPr>
        <w:pStyle w:val="TextBody"/>
        <w:bidi w:val="0"/>
        <w:spacing w:before="240" w:after="0"/>
        <w:jc w:val="left"/>
        <w:rPr>
          <w:rFonts w:ascii="Times New Roman" w:hAnsi="Times New Roman"/>
          <w:sz w:val="20"/>
        </w:rPr>
      </w:pPr>
      <w:r>
        <w:rPr>
          <w:rFonts w:ascii="Times New Roman" w:hAnsi="Times New Roman"/>
          <w:sz w:val="20"/>
        </w:rPr>
        <w:t>The APEX Phase 2 clinical trial is a global, randomized, double-blind, placebo-controlled, proof-of-concept trial designed to evaluate the safety and efficacy of two dose regimens of TX45 administered subcutaneously (“SC”) in patients with PH-HFpEF, enriched for patients with CpcPH. Patients were randomized to receive 300 mg SC (2 ml injection) once monthly of TX45, 300 mg SC every other week of TX45, or a placebo. Change from baseline in PVR in the PVR</w:t>
      </w:r>
      <w:r>
        <w:rPr>
          <w:rFonts w:ascii="Times New Roman" w:hAnsi="Times New Roman"/>
          <w:sz w:val="20"/>
          <w:u w:val="single"/>
        </w:rPr>
        <w:t>&gt;</w:t>
      </w:r>
      <w:r>
        <w:rPr>
          <w:rFonts w:ascii="Times New Roman" w:hAnsi="Times New Roman"/>
          <w:sz w:val="20"/>
        </w:rPr>
        <w:t xml:space="preserve">3 WU population is the primary endpoint of the trial.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¹</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Baseline characteristics are preliminary and subjective to change.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About Group 2 Pulmonary Hypertension in HFpEF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World Health Organization has defined 5 groups of pulmonary hypertension (“PH”). Tectonic is focused on the Group 2 subtype, a condition that develops due to left-sided heart disease, specifically PH-HFpEF. In patients with PH-HFpEF, chronic heart failure leads to increased blood pressure in the pulmonary arteries, exerting severe strain on the right side of the heart, which adapts poorly to the increased pressure. This increased pulmonary pressure gradually causes worsening exercise capacity, shortness of breath and right-sided heart failure, which can lead to death. PH-HFpEF is further segmented based on pulmonary hemodynamics into Isolated, post-capillary PH (“IpcPH”) and CpcPH. CpcPH is more severe, accounts for about one third to one half of the 1.4 million PH-HFpEF patients in the U.S. and is characterized by additional, abnormal changes to the pulmonary vasculature, leading to an increase in PVR. Although several Group 1 PH (Pulmonary Arterial Hypertension, “PAH”) medications have been explored in Group 2 PH, to date, no medications have been approved for its treatment. </w:t>
      </w:r>
    </w:p>
    <w:p>
      <w:pPr>
        <w:pStyle w:val="TextBody"/>
        <w:bidi w:val="0"/>
        <w:spacing w:before="360" w:after="0"/>
        <w:jc w:val="left"/>
        <w:rPr>
          <w:rFonts w:ascii="Times New Roman" w:hAnsi="Times New Roman"/>
          <w:sz w:val="20"/>
        </w:rPr>
      </w:pPr>
      <w:r>
        <w:rPr>
          <w:rFonts w:ascii="Times New Roman" w:hAnsi="Times New Roman"/>
          <w:b/>
          <w:sz w:val="20"/>
        </w:rPr>
        <w:t>About TX45, a long-acting Fc-relaxin fusion protein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TX45 is an Fc-relaxin fusion protein with optimized pharmacokinetics and biophysical properties that activates the RXFP1 receptor, the G-protein coupled receptor target of the hormone relaxin. Relaxin is an endogenous protein, expressed at low levels in both men and women that is a pulmonary and systemic vasodilator with lusitropic, anti-fibrotic and anti-inflammatory activity.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w:t>
      </w:r>
    </w:p>
    <w:p>
      <w:pPr>
        <w:pStyle w:val="TextBody"/>
        <w:bidi w:val="0"/>
        <w:spacing w:before="360" w:after="0"/>
        <w:jc w:val="left"/>
        <w:rPr>
          <w:rFonts w:ascii="Times New Roman" w:hAnsi="Times New Roman"/>
          <w:sz w:val="20"/>
        </w:rPr>
      </w:pPr>
      <w:r>
        <w:rPr>
          <w:rFonts w:ascii="Times New Roman" w:hAnsi="Times New Roman"/>
          <w:b/>
          <w:sz w:val="20"/>
        </w:rPr>
        <w:t>About Tectonic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rPr>
        <w:t>Tectonic Therapeutic</w:t>
      </w:r>
      <w:r>
        <w:rPr>
          <w:rFonts w:ascii="Times New Roman" w:hAnsi="Times New Roman"/>
          <w:sz w:val="20"/>
        </w:rPr>
        <w:t> is a clinical-stage biotechnology company focused on the discovery and development of therapeutic proteins and antibodies that modulate the activity of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w:t>
      </w:r>
      <w:r>
        <w:rPr>
          <w:rFonts w:ascii="Times New Roman" w:hAnsi="Times New Roman"/>
          <w:sz w:val="20"/>
          <w:u w:val="single"/>
        </w:rPr>
        <w:t> https://tectonictx.com/</w:t>
      </w:r>
      <w:r>
        <w:rPr>
          <w:rFonts w:ascii="Times New Roman" w:hAnsi="Times New Roman"/>
          <w:sz w:val="20"/>
        </w:rPr>
        <w:t xml:space="preserve"> and follow us on </w:t>
      </w:r>
      <w:r>
        <w:rPr>
          <w:rFonts w:ascii="Times New Roman" w:hAnsi="Times New Roman"/>
          <w:sz w:val="20"/>
          <w:u w:val="single"/>
        </w:rPr>
        <w:t>LinkedIn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expected results of current clinical trials of Tectonic’s product candidates, including the ongoing APEX Phase 2 clinical trials for its lead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product candidate, TX45, in patients with PH-HFpEF.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in the Middle East,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for the quarter ended March 31, 2026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w:t>
      </w:r>
    </w:p>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240" w:after="0"/>
        <w:jc w:val="left"/>
        <w:rPr>
          <w:rFonts w:ascii="Times New Roman" w:hAnsi="Times New Roman"/>
          <w:sz w:val="20"/>
        </w:rPr>
      </w:pPr>
      <w:r>
        <w:rPr>
          <w:rFonts w:ascii="Times New Roman" w:hAnsi="Times New Roman"/>
          <w:sz w:val="20"/>
          <w:u w:val="single"/>
        </w:rPr>
        <w:t>Investors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Dan Ferry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daniel@lifesciadvisors.com </w:t>
      </w:r>
    </w:p>
    <w:p>
      <w:pPr>
        <w:pStyle w:val="TextBody"/>
        <w:bidi w:val="0"/>
        <w:spacing w:before="0" w:after="0"/>
        <w:jc w:val="left"/>
        <w:rPr>
          <w:rFonts w:ascii="Times New Roman" w:hAnsi="Times New Roman"/>
          <w:sz w:val="20"/>
        </w:rPr>
      </w:pPr>
      <w:r>
        <w:rPr>
          <w:rFonts w:ascii="Times New Roman" w:hAnsi="Times New Roman"/>
          <w:sz w:val="20"/>
        </w:rPr>
        <w:t xml:space="preserve">(617) 430-7576 </w:t>
      </w:r>
    </w:p>
    <w:p>
      <w:pPr>
        <w:pStyle w:val="TextBody"/>
        <w:bidi w:val="0"/>
        <w:spacing w:before="240" w:after="0"/>
        <w:jc w:val="left"/>
        <w:rPr>
          <w:rFonts w:ascii="Times New Roman" w:hAnsi="Times New Roman"/>
          <w:sz w:val="20"/>
        </w:rPr>
      </w:pPr>
      <w:r>
        <w:rPr>
          <w:rFonts w:ascii="Times New Roman" w:hAnsi="Times New Roman"/>
          <w:sz w:val="20"/>
          <w:u w:val="single"/>
        </w:rPr>
        <w:t>Media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Kathryn Morris </w:t>
      </w:r>
    </w:p>
    <w:p>
      <w:pPr>
        <w:pStyle w:val="TextBody"/>
        <w:bidi w:val="0"/>
        <w:spacing w:before="0" w:after="0"/>
        <w:jc w:val="left"/>
        <w:rPr>
          <w:rFonts w:ascii="Times New Roman" w:hAnsi="Times New Roman"/>
          <w:sz w:val="20"/>
        </w:rPr>
      </w:pPr>
      <w:r>
        <w:rPr>
          <w:rFonts w:ascii="Times New Roman" w:hAnsi="Times New Roman"/>
          <w:sz w:val="20"/>
        </w:rPr>
        <w:t xml:space="preserve">The Yates Network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kathryn@theyatesnetwork.com </w:t>
      </w:r>
    </w:p>
    <w:p>
      <w:pPr>
        <w:pStyle w:val="TextBody"/>
        <w:bidi w:val="0"/>
        <w:spacing w:before="0" w:after="0"/>
        <w:jc w:val="left"/>
        <w:rPr>
          <w:rFonts w:ascii="Times New Roman" w:hAnsi="Times New Roman"/>
          <w:sz w:val="20"/>
        </w:rPr>
      </w:pPr>
      <w:r>
        <w:rPr>
          <w:rFonts w:ascii="Times New Roman" w:hAnsi="Times New Roman"/>
          <w:sz w:val="20"/>
        </w:rPr>
        <w:t xml:space="preserve">(914) 204-6412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2077</Words>
  <Characters>12060</Characters>
  <CharactersWithSpaces>14154</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