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9,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0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tc>
      </w:tr>
      <w:tr>
        <w:trPr>
          <w:trHeight w:val="423"/>
        </w:trPr>
        <w:tc>
          <w:tcPr>
            <w:tcW w:w="55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100 Technology Square</w:t>
            </w:r>
          </w:p>
        </w:tc>
        <w:tc>
          <w:tcPr>
            <w:tcW w:w="4060" w:type="dxa"/>
            <w:vAlign w:val="bottom"/>
          </w:tcPr>
          <w:p>
            <w:pPr>
              <w:spacing w:after="0"/>
              <w:rPr>
                <w:sz w:val="24"/>
                <w:szCs w:val="24"/>
                <w:color w:val="auto"/>
              </w:rPr>
            </w:pPr>
          </w:p>
        </w:tc>
      </w:t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Sixth Floor</w:t>
            </w:r>
          </w:p>
        </w:tc>
        <w:tc>
          <w:tcPr>
            <w:tcW w:w="4060" w:type="dxa"/>
            <w:vAlign w:val="bottom"/>
          </w:tcPr>
          <w:p>
            <w:pPr>
              <w:spacing w:after="0"/>
              <w:rPr>
                <w:sz w:val="18"/>
                <w:szCs w:val="18"/>
                <w:color w:val="auto"/>
              </w:rPr>
            </w:pPr>
          </w:p>
        </w:tc>
      </w:tr>
      <w:tr>
        <w:trPr>
          <w:trHeight w:val="229"/>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0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Option and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Geoff MacKay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Technology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Arthur R. McGivern,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Xu,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570-1000</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26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9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9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registers additional shares of common stock under the Registrant’s 2018 Stock Option and Incentive Plan, as amended (the “2018 Plan”). The 3,700,000 additional shares represent an increase in the number of shares of common stock reserved for issuance under the 2018 Plan, which increase was approved by the Registrant’s stockholders on June 8, 2022 at the Registrant’s 2022 Annual Meeting of Stockholders.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additional shares described above are of the same class as other securities relating to the 2018 Plan for which the Registrant’s registration statements filed on Form S-8 (Registration No. 333-225788) on June 21, 2018, on Form S-8 (Registration No. 333-230494) on March 25, 2019, on Form S-8 (Registration No. 333-237203) on March 16, 2020, on Form S-8 (Registration No. 333-241400) on August 6, 2020, on Form S-8 (Registration No. 333-254466) on March 18, 2021 and on Form S-8 (Registration No. 333-263655) on March 17, 2022, are effective. The information contained in the Registrant’s registration statement on Form S-8 (Registration No. 333-225788) is hereby incorporated by reference pursuant to General Instruction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7"/>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8"/>
              </w:rPr>
              <w:t>Part II</w:t>
            </w:r>
          </w:p>
        </w:tc>
      </w:tr>
      <w:tr>
        <w:trPr>
          <w:trHeight w:val="432"/>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0" w:type="dxa"/>
            <w:vAlign w:val="bottom"/>
            <w:gridSpan w:val="10"/>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480" w:type="dxa"/>
            <w:vAlign w:val="bottom"/>
            <w:gridSpan w:val="14"/>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20" w:type="dxa"/>
            <w:vAlign w:val="bottom"/>
            <w:gridSpan w:val="7"/>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18"/>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No.</w:t>
            </w:r>
          </w:p>
        </w:tc>
        <w:tc>
          <w:tcPr>
            <w:tcW w:w="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8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Fourth Amended and Restated Certificate of Incorporation of the Registrant (filed as Exhibit 3.1 to the Registrant’s Current Report on</w:t>
              </w:r>
            </w:hyperlink>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Form 8-K filed on June 25, 2018 (File No. 001-38537) and incorporated herein by reference)</w:t>
              </w:r>
            </w:hyperlink>
          </w:p>
        </w:tc>
        <w:tc>
          <w:tcPr>
            <w:tcW w:w="3360" w:type="dxa"/>
            <w:vAlign w:val="bottom"/>
            <w:gridSpan w:val="2"/>
          </w:tcPr>
          <w:p>
            <w:pPr>
              <w:spacing w:after="0"/>
              <w:rPr>
                <w:sz w:val="17"/>
                <w:szCs w:val="17"/>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Amended and Restated By-laws (filed as Exhibit 3.2 to the Registrant’s Current Report on Form 8-K filed on June 25, 2018 (File No. 001-</w:t>
              </w:r>
            </w:hyperlink>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38537) and incorporated herein by reference)</w:t>
              </w:r>
            </w:hyperlink>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Second Amended and Restated Investors’ Rights Agreement among the Registrant and certain of its stockholders, dated January 9, 2018</w:t>
              </w:r>
            </w:hyperlink>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(filed as Exhibit 4.2 to the Registrant’s Registration Statement on Form S-1 filed on May 25, 2018 (File No. 333-225213) and incorporated</w:t>
              </w:r>
            </w:hyperlink>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herein by reference)</w:t>
              </w:r>
            </w:hyperlink>
          </w:p>
        </w:tc>
        <w:tc>
          <w:tcPr>
            <w:tcW w:w="85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Goodwin Procter LLP</w:t>
            </w:r>
          </w:p>
        </w:tc>
        <w:tc>
          <w:tcPr>
            <w:tcW w:w="7620" w:type="dxa"/>
            <w:vAlign w:val="bottom"/>
            <w:gridSpan w:val="9"/>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w:t>
            </w:r>
          </w:p>
        </w:tc>
        <w:tc>
          <w:tcPr>
            <w:tcW w:w="4220" w:type="dxa"/>
            <w:vAlign w:val="bottom"/>
            <w:gridSpan w:val="3"/>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5820" w:type="dxa"/>
            <w:vAlign w:val="bottom"/>
            <w:gridSpan w:val="6"/>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2018 Stock Option and Incentive Plan and forms of award agreements thereunder (filed as Exhibit 10.2 to the Registrant’s Second</w:t>
              </w:r>
            </w:hyperlink>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Amendment to the Registration Statement on Form S-1 filed on June 11, 2018 (File No. 333-225213) and incorporated herein by reference)</w:t>
              </w:r>
            </w:hyperlink>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First Amendment to the Stock Option and Incentive Plan (filed as Exhibit 10.1 to the Registrant’s Current Report on Form 8-K filed on</w:t>
              </w:r>
            </w:hyperlink>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June 9, 2020 (File No. 001-38537) and incorporated herein by reference)</w:t>
              </w:r>
            </w:hyperlink>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6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Second Amendment to the Stock Option and Incentive Plan (filed as Exhibit 10.1 to the Registrant’s Current Report on Form 8-K filed on</w:t>
              </w:r>
            </w:hyperlink>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June 10, 2022 (File No. 001-38537) and incorporated herein by reference)</w:t>
              </w:r>
            </w:hyperlink>
          </w:p>
        </w:tc>
        <w:tc>
          <w:tcPr>
            <w:tcW w:w="4720" w:type="dxa"/>
            <w:vAlign w:val="bottom"/>
            <w:gridSpan w:val="4"/>
          </w:tcPr>
          <w:p>
            <w:pPr>
              <w:spacing w:after="0"/>
              <w:rPr>
                <w:sz w:val="17"/>
                <w:szCs w:val="17"/>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880" w:type="dxa"/>
            <w:vAlign w:val="bottom"/>
            <w:gridSpan w:val="11"/>
          </w:tcPr>
          <w:p>
            <w:pPr>
              <w:spacing w:after="0"/>
              <w:rPr>
                <w:sz w:val="24"/>
                <w:szCs w:val="24"/>
                <w:color w:val="auto"/>
              </w:rPr>
            </w:pPr>
          </w:p>
        </w:tc>
      </w:tr>
    </w:tbl>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2022.</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Geoff MacKay</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8"/>
              </w:rPr>
              <w:t>Director, President, Chief Executive Officer and</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536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MacKay</w:t>
            </w:r>
          </w:p>
        </w:tc>
        <w:tc>
          <w:tcPr>
            <w:tcW w:w="536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Erik Ostrowski</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Chief Financial Officer and Principal Financial</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536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rPr>
              <w:t>and Accounting Officer</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Erik Ostrowski</w:t>
            </w:r>
          </w:p>
        </w:tc>
        <w:tc>
          <w:tcPr>
            <w:tcW w:w="536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Booth</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Bruce Booth, D.Phil.</w:t>
            </w:r>
          </w:p>
        </w:tc>
        <w:tc>
          <w:tcPr>
            <w:tcW w:w="5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Ian T. Clark</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Ian T. Clark</w:t>
            </w:r>
          </w:p>
        </w:tc>
        <w:tc>
          <w:tcPr>
            <w:tcW w:w="5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Phillip B. Donenberg</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Phillip B. Donenberg</w:t>
            </w:r>
          </w:p>
        </w:tc>
        <w:tc>
          <w:tcPr>
            <w:tcW w:w="5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Gail M. Farfel</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Gail M. Farfel, Ph.D.</w:t>
            </w:r>
          </w:p>
        </w:tc>
        <w:tc>
          <w:tcPr>
            <w:tcW w:w="5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Annalisa Jenkins</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Annalisa Jenkins, M.B.B.S., F.R.C.P.</w:t>
            </w:r>
          </w:p>
        </w:tc>
        <w:tc>
          <w:tcPr>
            <w:tcW w:w="5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Christopher Paige</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Paige, Ph.D.</w:t>
            </w:r>
          </w:p>
        </w:tc>
        <w:tc>
          <w:tcPr>
            <w:tcW w:w="5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Philip Vickers</w:t>
            </w:r>
          </w:p>
        </w:tc>
        <w:tc>
          <w:tcPr>
            <w:tcW w:w="536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 Vickers, Ph.D.</w:t>
            </w:r>
          </w:p>
        </w:tc>
        <w:tc>
          <w:tcPr>
            <w:tcW w:w="5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3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Technology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7"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or about the date hereof relating to an aggregate of 3,700,000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$0.0001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AVROBIO,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may be issued pursuant to the Company’s 2018 Stock Option and Incentive Plan, as amended (the “</w:t>
      </w:r>
      <w:r>
        <w:rPr>
          <w:rFonts w:ascii="Times New Roman" w:cs="Times New Roman" w:eastAsia="Times New Roman" w:hAnsi="Times New Roman"/>
          <w:sz w:val="18"/>
          <w:szCs w:val="18"/>
          <w:u w:val="single" w:color="auto"/>
          <w:color w:val="auto"/>
        </w:rPr>
        <w:t>2018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2018 Plan, will be validly issued, fully paid and nonassessable.</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4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2018 Stock Option and Incentive Plan of AVROBIO, Inc. of our report dated March 17, 2022, with respect to the consolidated financial statements of AVROBIO, Inc. included in its Annual Report (Form 10-K) for the year ended December 31, 2021, filed with the Securities and Exchange Commission.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320" w:type="dxa"/>
            <w:vAlign w:val="bottom"/>
            <w:tcBorders>
              <w:top w:val="single" w:sz="8" w:color="auto"/>
              <w:left w:val="single" w:sz="8" w:color="auto"/>
              <w:right w:val="single" w:sz="8" w:color="auto"/>
            </w:tcBorders>
          </w:tcPr>
          <w:p>
            <w:pPr>
              <w:spacing w:after="0"/>
              <w:rPr>
                <w:sz w:val="18"/>
                <w:szCs w:val="18"/>
                <w:color w:val="auto"/>
              </w:rPr>
            </w:pPr>
          </w:p>
        </w:tc>
        <w:tc>
          <w:tcPr>
            <w:tcW w:w="318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6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38"/>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09"/>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Rule 457(h)</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3,700,000 (2)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 (3)</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$3,330,000.00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.0000927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$308.70</w:t>
            </w:r>
          </w:p>
        </w:tc>
      </w:tr>
      <w:tr>
        <w:trPr>
          <w:trHeight w:val="210"/>
        </w:trPr>
        <w:tc>
          <w:tcPr>
            <w:tcW w:w="1320" w:type="dxa"/>
            <w:vAlign w:val="bottom"/>
            <w:tcBorders>
              <w:left w:val="single" w:sz="8" w:color="auto"/>
              <w:bottom w:val="single" w:sz="8" w:color="auto"/>
            </w:tcBorders>
          </w:tcPr>
          <w:p>
            <w:pPr>
              <w:spacing w:after="0"/>
              <w:rPr>
                <w:sz w:val="18"/>
                <w:szCs w:val="18"/>
                <w:color w:val="auto"/>
              </w:rPr>
            </w:pPr>
          </w:p>
        </w:tc>
        <w:tc>
          <w:tcPr>
            <w:tcW w:w="350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5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$3,330,000.00</w:t>
            </w:r>
          </w:p>
        </w:tc>
        <w:tc>
          <w:tcPr>
            <w:tcW w:w="8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$308.70</w:t>
            </w:r>
          </w:p>
        </w:tc>
      </w:tr>
      <w:tr>
        <w:trPr>
          <w:trHeight w:val="209"/>
        </w:trPr>
        <w:tc>
          <w:tcPr>
            <w:tcW w:w="1320" w:type="dxa"/>
            <w:vAlign w:val="bottom"/>
            <w:tcBorders>
              <w:left w:val="single" w:sz="8" w:color="auto"/>
              <w:bottom w:val="single" w:sz="8" w:color="auto"/>
            </w:tcBorders>
          </w:tcPr>
          <w:p>
            <w:pPr>
              <w:spacing w:after="0"/>
              <w:rPr>
                <w:sz w:val="18"/>
                <w:szCs w:val="18"/>
                <w:color w:val="auto"/>
              </w:rPr>
            </w:pPr>
          </w:p>
        </w:tc>
        <w:tc>
          <w:tcPr>
            <w:tcW w:w="350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5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320" w:type="dxa"/>
            <w:vAlign w:val="bottom"/>
            <w:tcBorders>
              <w:left w:val="single" w:sz="8" w:color="auto"/>
              <w:bottom w:val="single" w:sz="8" w:color="auto"/>
            </w:tcBorders>
          </w:tcPr>
          <w:p>
            <w:pPr>
              <w:spacing w:after="0"/>
              <w:rPr>
                <w:sz w:val="18"/>
                <w:szCs w:val="18"/>
                <w:color w:val="auto"/>
              </w:rPr>
            </w:pPr>
          </w:p>
        </w:tc>
        <w:tc>
          <w:tcPr>
            <w:tcW w:w="3500" w:type="dxa"/>
            <w:vAlign w:val="bottom"/>
            <w:tcBorders>
              <w:bottom w:val="single" w:sz="8" w:color="auto"/>
            </w:tcBorders>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5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$308.70</w:t>
            </w:r>
          </w:p>
        </w:tc>
      </w:tr>
    </w:tbl>
    <w:p>
      <w:pPr>
        <w:spacing w:after="0" w:line="198" w:lineRule="exact"/>
        <w:rPr>
          <w:sz w:val="20"/>
          <w:szCs w:val="20"/>
          <w:color w:val="auto"/>
        </w:rPr>
      </w:pPr>
    </w:p>
    <w:p>
      <w:pPr>
        <w:ind w:left="500" w:right="40" w:hanging="492"/>
        <w:spacing w:after="0" w:line="255"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common stock which become issuable under the Registrant’s 2018 Stock Option and Incentive Plan, as amended (the “2018 Plan”)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Times New Roman" w:cs="Times New Roman" w:eastAsia="Times New Roman" w:hAnsi="Times New Roman"/>
          <w:sz w:val="18"/>
          <w:szCs w:val="18"/>
          <w:color w:val="auto"/>
        </w:rPr>
      </w:pPr>
    </w:p>
    <w:p>
      <w:pPr>
        <w:ind w:left="500" w:right="260" w:hanging="492"/>
        <w:spacing w:after="0" w:line="250"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additional 3,700,000 shares issuable under the 2018 Plan. These 3,700,000 shares represent an increase in the number of shares of common stock reserved for issuance under the 2018 Plan, which increase was approved by the Registrant’s stockholders on June 8, 2022 at the Registrant’s 2022 Annual Meeting of Stockholders. Shares available for issuance under the 2018 Plan were previously registered on a registration statement on Form S-8 filed with the Securities and Exchange Commission on June 21, 2018 (Registration No. 333-225788), March 25, 2019 (Registration No. 333-230494), March 16, 2020 (Registration No. 333-237203), August 6, 2020 (Registration No. 333-241400), March 18, 2021 (Registration No. 333-254466) and March 17, 2022 (Registration No. 333-263655).</w:t>
      </w:r>
    </w:p>
    <w:p>
      <w:pPr>
        <w:spacing w:after="0" w:line="2" w:lineRule="exact"/>
        <w:rPr>
          <w:rFonts w:ascii="Times New Roman" w:cs="Times New Roman" w:eastAsia="Times New Roman" w:hAnsi="Times New Roman"/>
          <w:sz w:val="18"/>
          <w:szCs w:val="18"/>
          <w:color w:val="auto"/>
        </w:rPr>
      </w:pPr>
    </w:p>
    <w:p>
      <w:pPr>
        <w:ind w:left="500" w:right="360" w:hanging="492"/>
        <w:spacing w:after="0" w:line="260"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of the Securities Act, and based on the average of the high and low sales prices of the Registrant’s common stock, as quoted on the Nasdaq Global Select Market,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14" Type="http://schemas.openxmlformats.org/officeDocument/2006/relationships/hyperlink" Target="https://www.sec.gov/Archives/edgar/data/1681087/000119312518202460/d153924dex31.htm" TargetMode="External"/><Relationship Id="rId15" Type="http://schemas.openxmlformats.org/officeDocument/2006/relationships/hyperlink" Target="https://www.sec.gov/Archives/edgar/data/1681087/000119312518202460/d153924dex32.htm" TargetMode="External"/><Relationship Id="rId16" Type="http://schemas.openxmlformats.org/officeDocument/2006/relationships/hyperlink" Target="https://www.sec.gov/Archives/edgar/data/1681087/000119312518175024/d562006dex42.htm" TargetMode="External"/><Relationship Id="rId17" Type="http://schemas.openxmlformats.org/officeDocument/2006/relationships/hyperlink" Target="https://www.sec.gov/Archives/edgar/data/1681087/000119312518188630/d562006dex102.htm" TargetMode="External"/><Relationship Id="rId18" Type="http://schemas.openxmlformats.org/officeDocument/2006/relationships/hyperlink" Target="https://www.sec.gov/Archives/edgar/data/0001681087/000156459020028774/avro-ex101_30.htm" TargetMode="External"/><Relationship Id="rId19" Type="http://schemas.openxmlformats.org/officeDocument/2006/relationships/hyperlink" Target="https://www.sec.gov/Archives/edgar/data/1681087/000156459022022999/avro-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2022-08-09T18:31:42Z</dcterms:created>
  <dcterms:modified xsi:type="dcterms:W3CDTF">2022-08-09T18:31:42Z</dcterms:modified>
</cp:coreProperties>
</file>